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jc w:val="left"/>
      </w:pPr>
      <w:r>
        <w:rPr>
          <w:rFonts w:ascii="Times New Roman" w:cs="Times New Roman" w:eastAsia="Times New Roman" w:hAnsi="Times New Roman"/>
          <w:b w:val="false"/>
          <w:bCs w:val="false"/>
          <w:i/>
          <w:iCs/>
          <w:sz w:val="22"/>
          <w:szCs w:val="22"/>
        </w:rPr>
        <w:t xml:space="preserve">Review Article (Critical Narrative Review)</w:t>
      </w:r>
    </w:p>
    <w:p>
      <w:pPr>
        <w:spacing w:after="240" w:before="0" w:line="360" w:lineRule="auto"/>
        <w:jc w:val="left"/>
      </w:pPr>
      <w:r>
        <w:rPr>
          <w:rFonts w:ascii="Times New Roman" w:cs="Times New Roman" w:eastAsia="Times New Roman" w:hAnsi="Times New Roman"/>
          <w:b/>
          <w:bCs/>
          <w:i w:val="false"/>
          <w:iCs w:val="false"/>
          <w:sz w:val="32"/>
          <w:szCs w:val="32"/>
        </w:rPr>
        <w:t xml:space="preserve">Migraine Beyond CGRP: Unresolved Mechanisms, the Non-Responder Problem and a Critical Appraisal of Ayurvedic Approaches to Ardhavabhedaka</w:t>
      </w:r>
    </w:p>
    <w:p>
      <w:pPr>
        <w:spacing w:after="160" w:before="0" w:line="360" w:lineRule="auto"/>
        <w:jc w:val="left"/>
      </w:pPr>
      <w:r>
        <w:rPr>
          <w:rFonts w:ascii="Times New Roman" w:cs="Times New Roman" w:eastAsia="Times New Roman" w:hAnsi="Times New Roman"/>
          <w:b/>
          <w:bCs/>
          <w:i w:val="false"/>
          <w:iCs w:val="false"/>
          <w:sz w:val="24"/>
          <w:szCs w:val="24"/>
        </w:rPr>
        <w:t xml:space="preserve">Running title: </w:t>
      </w:r>
      <w:r>
        <w:rPr>
          <w:rFonts w:ascii="Times New Roman" w:cs="Times New Roman" w:eastAsia="Times New Roman" w:hAnsi="Times New Roman"/>
          <w:b w:val="false"/>
          <w:bCs w:val="false"/>
          <w:i w:val="false"/>
          <w:iCs w:val="false"/>
          <w:sz w:val="24"/>
          <w:szCs w:val="24"/>
        </w:rPr>
        <w:t xml:space="preserve">Migraine beyond CGRP and Ardhavabhedaka</w:t>
      </w:r>
    </w:p>
    <w:p>
      <w:pPr>
        <w:spacing w:after="160" w:before="0" w:line="360" w:lineRule="auto"/>
        <w:jc w:val="left"/>
      </w:pPr>
      <w:r>
        <w:rPr>
          <w:rFonts w:ascii="Times New Roman" w:cs="Times New Roman" w:eastAsia="Times New Roman" w:hAnsi="Times New Roman"/>
          <w:b/>
          <w:bCs/>
          <w:i w:val="false"/>
          <w:iCs w:val="false"/>
          <w:sz w:val="24"/>
          <w:szCs w:val="24"/>
        </w:rPr>
        <w:t xml:space="preserve">Authors: </w:t>
      </w:r>
      <w:r>
        <w:rPr>
          <w:rFonts w:ascii="Times New Roman" w:cs="Times New Roman" w:eastAsia="Times New Roman" w:hAnsi="Times New Roman"/>
          <w:b w:val="false"/>
          <w:bCs w:val="false"/>
          <w:i w:val="false"/>
          <w:iCs w:val="false"/>
          <w:sz w:val="24"/>
          <w:szCs w:val="24"/>
        </w:rPr>
        <w:t xml:space="preserve">[Author 1]</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[Author 2]</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[Author 3]</w:t>
      </w:r>
      <w:r>
        <w:rPr>
          <w:rFonts w:ascii="Times New Roman" w:cs="Times New Roman" w:eastAsia="Times New Roman" w:hAnsi="Times New Roman"/>
          <w:b w:val="false"/>
          <w:bCs w:val="false"/>
          <w:i w:val="false"/>
          <w:iCs w:val="false"/>
          <w:sz w:val="24"/>
          <w:szCs w:val="24"/>
          <w:vertAlign w:val="superscript"/>
        </w:rPr>
        <w:t xml:space="preserve">1</w:t>
      </w:r>
    </w:p>
    <w:p>
      <w:pPr>
        <w:spacing w:after="40" w:before="0" w:line="360" w:lineRule="auto"/>
        <w:jc w:val="left"/>
      </w:pP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[Department, Institution, City, State, PIN, Country]</w:t>
      </w:r>
    </w:p>
    <w:p>
      <w:pPr>
        <w:spacing w:after="160" w:before="0" w:line="360" w:lineRule="auto"/>
        <w:jc w:val="left"/>
      </w:pP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[Department, Institution, City, State, PIN, Country]</w:t>
      </w:r>
    </w:p>
    <w:p>
      <w:pPr>
        <w:spacing w:after="160" w:before="0" w:line="360" w:lineRule="auto"/>
        <w:jc w:val="left"/>
      </w:pPr>
      <w:r>
        <w:rPr>
          <w:rFonts w:ascii="Times New Roman" w:cs="Times New Roman" w:eastAsia="Times New Roman" w:hAnsi="Times New Roman"/>
          <w:b/>
          <w:bCs/>
          <w:i w:val="false"/>
          <w:iCs w:val="false"/>
          <w:sz w:val="24"/>
          <w:szCs w:val="24"/>
        </w:rPr>
        <w:t xml:space="preserve">Corresponding author: </w:t>
      </w:r>
      <w:r>
        <w:rPr>
          <w:rFonts w:ascii="Times New Roman" w:cs="Times New Roman" w:eastAsia="Times New Roman" w:hAnsi="Times New Roman"/>
          <w:b w:val="false"/>
          <w:bCs w:val="false"/>
          <w:i w:val="false"/>
          <w:iCs w:val="false"/>
          <w:sz w:val="24"/>
          <w:szCs w:val="24"/>
        </w:rPr>
        <w:t xml:space="preserve">[Name, postal address, e-mail, ORCID]</w:t>
      </w:r>
    </w:p>
    <w:p>
      <w:pPr>
        <w:spacing w:after="360" w:before="0" w:line="360" w:lineRule="auto"/>
        <w:jc w:val="left"/>
      </w:pPr>
      <w:r>
        <w:rPr>
          <w:rFonts w:ascii="Times New Roman" w:cs="Times New Roman" w:eastAsia="Times New Roman" w:hAnsi="Times New Roman"/>
          <w:b/>
          <w:bCs/>
          <w:i w:val="false"/>
          <w:iCs w:val="false"/>
          <w:sz w:val="24"/>
          <w:szCs w:val="24"/>
        </w:rPr>
        <w:t>Word count: abstract 250 words; main text 6,327 words (excluding title page, abstract, headings, tables, figure legends, citation numbers and references). Tables: 2. Figures: 2. References: 60.</w:t>
      </w:r>
      <w:r>
        <w:rPr>
          <w:rFonts w:ascii="Times New Roman" w:cs="Times New Roman" w:eastAsia="Times New Roman" w:hAnsi="Times New Roman"/>
          <w:b w:val="false"/>
          <w:bCs w:val="false"/>
          <w:i w:val="false"/>
          <w:iCs w:val="false"/>
          <w:sz w:val="24"/>
          <w:szCs w:val="24"/>
        </w:rPr>
      </w:r>
    </w:p>
    <w:p>
      <w:pPr>
        <w:pStyle w:val="Heading1"/>
        <w:spacing w:after="160" w:before="240" w:line="360" w:lineRule="auto"/>
        <w:jc w:val="left"/>
      </w:pPr>
      <w:r>
        <w:rPr>
          <w:rFonts w:ascii="Times New Roman" w:cs="Times New Roman" w:eastAsia="Times New Roman" w:hAnsi="Times New Roman"/>
          <w:b/>
          <w:bCs/>
          <w:i w:val="false"/>
          <w:iCs w:val="false"/>
          <w:sz w:val="28"/>
          <w:szCs w:val="28"/>
        </w:rPr>
        <w:t xml:space="preserve">Abstract</w:t>
      </w:r>
    </w:p>
    <w:p>
      <w:pPr>
        <w:spacing w:after="160" w:before="0" w:line="360" w:lineRule="auto"/>
        <w:jc w:val="both"/>
      </w:pPr>
      <w:r>
        <w:rPr>
          <w:rFonts w:ascii="Times New Roman" w:cs="Times New Roman" w:eastAsia="Times New Roman" w:hAnsi="Times New Roman"/>
          <w:b/>
          <w:bCs/>
          <w:i w:val="false"/>
          <w:iCs w:val="false"/>
          <w:sz w:val="24"/>
          <w:szCs w:val="24"/>
        </w:rPr>
        <w:t xml:space="preserve">Background:</w:t>
      </w:r>
      <w:r>
        <w:rPr>
          <w:rFonts w:ascii="Times New Roman" w:cs="Times New Roman" w:eastAsia="Times New Roman" w:hAnsi="Times New Roman"/>
          <w:b w:val="false"/>
          <w:bCs w:val="false"/>
          <w:i w:val="false"/>
          <w:iCs w:val="false"/>
          <w:sz w:val="24"/>
          <w:szCs w:val="24"/>
        </w:rPr>
        <w:t xml:space="preserve"> Migraine affects roughly one billion people and ranked third among nervous-system causes of disability-adjusted life-years in the Global Burden of Disease 2021 study. Drugs targeting calcitonin gene-related peptide (CGRP) transformed prevention. About half of treated patients, however, still fail to halve their monthly migraine days.</w:t>
      </w:r>
    </w:p>
    <w:p>
      <w:pPr>
        <w:spacing w:after="160" w:before="0" w:line="360" w:lineRule="auto"/>
        <w:jc w:val="both"/>
      </w:pPr>
      <w:r>
        <w:rPr>
          <w:rFonts w:ascii="Times New Roman" w:cs="Times New Roman" w:eastAsia="Times New Roman" w:hAnsi="Times New Roman"/>
          <w:b/>
          <w:bCs/>
          <w:i w:val="false"/>
          <w:iCs w:val="false"/>
          <w:sz w:val="24"/>
          <w:szCs w:val="24"/>
        </w:rPr>
        <w:t xml:space="preserve">Objective:</w:t>
      </w:r>
      <w:r>
        <w:rPr>
          <w:rFonts w:ascii="Times New Roman" w:cs="Times New Roman" w:eastAsia="Times New Roman" w:hAnsi="Times New Roman"/>
          <w:b w:val="false"/>
          <w:bCs w:val="false"/>
          <w:i w:val="false"/>
          <w:iCs w:val="false"/>
          <w:sz w:val="24"/>
          <w:szCs w:val="24"/>
        </w:rPr>
        <w:t xml:space="preserve"> To examine why CGRP-era therapy stalls, and whether Ayurvedic approaches to Ardhavabhedaka, the classical correlate of migraine, offer testable options for patients it leaves behind.</w:t>
      </w:r>
    </w:p>
    <w:p>
      <w:pPr>
        <w:spacing w:after="160" w:before="0" w:line="360" w:lineRule="auto"/>
        <w:jc w:val="both"/>
      </w:pPr>
      <w:r>
        <w:rPr>
          <w:rFonts w:ascii="Times New Roman" w:cs="Times New Roman" w:eastAsia="Times New Roman" w:hAnsi="Times New Roman"/>
          <w:b/>
          <w:bCs/>
          <w:i w:val="false"/>
          <w:iCs w:val="false"/>
          <w:sz w:val="24"/>
          <w:szCs w:val="24"/>
        </w:rPr>
        <w:t xml:space="preserve">Methods:</w:t>
      </w:r>
      <w:r>
        <w:rPr>
          <w:rFonts w:ascii="Times New Roman" w:cs="Times New Roman" w:eastAsia="Times New Roman" w:hAnsi="Times New Roman"/>
          <w:b w:val="false"/>
          <w:bCs w:val="false"/>
          <w:i w:val="false"/>
          <w:iCs w:val="false"/>
          <w:sz w:val="24"/>
          <w:szCs w:val="24"/>
        </w:rPr>
        <w:t xml:space="preserve"> Critical narrative review of PubMed/MEDLINE, ScienceDirect and Google Scholar to August 2026, prioritising phase 3 trials, human provocation studies and guidelines; Ayurvedic clinical studies were appraised for diagnosis, control, blinding, outcome choice and sample size.</w:t>
      </w:r>
    </w:p>
    <w:p>
      <w:pPr>
        <w:spacing w:after="160" w:before="0" w:line="360" w:lineRule="auto"/>
        <w:jc w:val="both"/>
      </w:pPr>
      <w:r>
        <w:rPr>
          <w:rFonts w:ascii="Times New Roman" w:cs="Times New Roman" w:eastAsia="Times New Roman" w:hAnsi="Times New Roman"/>
          <w:b/>
          <w:bCs/>
          <w:i w:val="false"/>
          <w:iCs w:val="false"/>
          <w:sz w:val="24"/>
          <w:szCs w:val="24"/>
        </w:rPr>
        <w:t xml:space="preserve">Results:</w:t>
      </w:r>
      <w:r>
        <w:rPr>
          <w:rFonts w:ascii="Times New Roman" w:cs="Times New Roman" w:eastAsia="Times New Roman" w:hAnsi="Times New Roman"/>
          <w:b w:val="false"/>
          <w:bCs w:val="false"/>
          <w:i w:val="false"/>
          <w:iCs w:val="false"/>
          <w:sz w:val="24"/>
          <w:szCs w:val="24"/>
        </w:rPr>
        <w:t xml:space="preserve"> Migraine behaves as a cyclical brain-state disorder beginning in the hypothalamus. Ubrogepant taken during the prodrome prevented moderate or severe headache in 46% of events versus 29% with placebo. Over placebo, antibodies and gepants gain just 1–2.5 migraine days monthly. PACAP38 provokes attacks despite CGRP blockade, levcromakalim triggered attacks in all 16 patients tested, and an anti-PACAP antibody cut monthly migraine days by 6.2 versus 4.2 in treatment-resistant patients. Ayurvedic evidence is thin. Add-on yoga has the strongest randomised support; ginger matched sumatriptan acutely but failed as prophylaxis, while curcumin, coriander and cinnamon each rest on single small trials. One-fifth of Ayurvedic products bought online contained heavy metals.</w:t>
      </w:r>
    </w:p>
    <w:p>
      <w:pPr>
        <w:spacing w:after="160" w:before="0" w:line="360" w:lineRule="auto"/>
        <w:jc w:val="both"/>
      </w:pPr>
      <w:r>
        <w:rPr>
          <w:rFonts w:ascii="Times New Roman" w:cs="Times New Roman" w:eastAsia="Times New Roman" w:hAnsi="Times New Roman"/>
          <w:b/>
          <w:bCs/>
          <w:i w:val="false"/>
          <w:iCs w:val="false"/>
          <w:sz w:val="24"/>
          <w:szCs w:val="24"/>
        </w:rPr>
        <w:t xml:space="preserve">Conclusions:</w:t>
      </w:r>
      <w:r>
        <w:rPr>
          <w:rFonts w:ascii="Times New Roman" w:cs="Times New Roman" w:eastAsia="Times New Roman" w:hAnsi="Times New Roman"/>
          <w:b w:val="false"/>
          <w:bCs w:val="false"/>
          <w:i w:val="false"/>
          <w:iCs w:val="false"/>
          <w:sz w:val="24"/>
          <w:szCs w:val="24"/>
        </w:rPr>
        <w:t xml:space="preserve"> Several Ayurvedic interventions have plausible targets (TRPV1, nuclear factor-κB, nasal trigeminal access). None is ready for routine use. Each warrants ICHD-3-based, adequately blinded trials with batch-tested products, ideally in CGRP partial responders.</w:t>
      </w:r>
    </w:p>
    <w:p>
      <w:pPr>
        <w:spacing w:after="360" w:before="0" w:line="360" w:lineRule="auto"/>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migraine; calcitonin gene-related peptide; pituitary adenylate cyclase-activating polypeptide; Ardhavabhedaka; Nasya; </w:t>
      </w:r>
      <w:r>
        <w:rPr>
          <w:rFonts w:ascii="Times New Roman" w:cs="Times New Roman" w:eastAsia="Times New Roman" w:hAnsi="Times New Roman"/>
          <w:b w:val="false"/>
          <w:bCs w:val="false"/>
          <w:i/>
          <w:iCs/>
          <w:sz w:val="24"/>
          <w:szCs w:val="24"/>
        </w:rPr>
        <w:t xml:space="preserve">Zingiber officinale</w:t>
      </w:r>
      <w:r>
        <w:rPr>
          <w:rFonts w:ascii="Times New Roman" w:cs="Times New Roman" w:eastAsia="Times New Roman" w:hAnsi="Times New Roman"/>
          <w:b w:val="false"/>
          <w:bCs w:val="false"/>
          <w:i w:val="false"/>
          <w:iCs w:val="false"/>
          <w:sz w:val="24"/>
          <w:szCs w:val="24"/>
        </w:rPr>
        <w:t xml:space="preserve">; integrative medicine</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1. Introduction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Few disorders cost this much while looking so unremarkable in an outpatient room. Migraine affects roughly one billion people, and it peaks across precisely the decades in which people work and raise children. The Global Burden of Disease 2021 analysis ranked it third among nervous-system conditions for age-standardised disability-adjusted life-years, behind only stroke and neonatal encephalopathy [1,2]. India carries a heavy share of that. It carries it largely unassisted: a community-based survey in Karnataka found extensive headache-attributed disability, most of it managed without specialist involvement, with migraine accounting for a large fraction of the working time lost [3].</w:t>
      </w:r>
    </w:p>
    <w:p>
      <w:pPr>
        <w:spacing w:after="160" w:before="0" w:line="360" w:lineRule="auto"/>
        <w:jc w:val="both"/>
      </w:pPr>
      <w:r>
        <w:rPr>
          <w:rFonts w:ascii="Times New Roman" w:cs="Times New Roman" w:eastAsia="Times New Roman" w:hAnsi="Times New Roman"/>
          <w:b w:val="false"/>
          <w:bCs w:val="false"/>
          <w:i w:val="false"/>
          <w:iCs w:val="false"/>
          <w:sz w:val="24"/>
          <w:szCs w:val="24"/>
        </w:rPr>
        <w:t>Pharmacology trailed the biology for three decades. Triptans were designed as cranial vasoconstrictors and only later understood to act in part on trigeminal neurons. The preventives in routine use had been borrowed wholesale from cardiology, epilepsy and psychiatry, and prescribers chose among them less by mechanism than by which adverse effect a given patient could live with. Calcitonin gene-related peptide (CGRP) broke the pattern. It moved from a peptide measured in cranial venous blood to a fully validated target, so that four monoclonal antibodies and a family of small-molecule receptor antagonists, the gepants, now occupy ground once held by propranolol and topiramate [4]. The American Headache Society endorsed CGRP-targeted therapy as a first-line preventive option in 2024 [5]. Whether CGRP matters is no longer the interesting question.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The interesting question is why blocking it leaves so many patients roughly where they started. In STRIVE, half of those on the higher erenumab dose did not achieve even a halving of their monthly migraine days; among patients who had already failed two to four older preventives, the responder rate fell to 30% [6,7]. Something other than CGRP drives their attacks. Several candidate mechanisms are available (pituitary adenylate cyclase-activating polypeptide, ATP-sensitive potassium channels, amylin signalling, a hypothalamic change of state), and all of them are only now reaching human testing [8–10].</w:t>
      </w:r>
    </w:p>
    <w:p>
      <w:pPr>
        <w:spacing w:after="160" w:before="0" w:line="360" w:lineRule="auto"/>
        <w:jc w:val="both"/>
      </w:pPr>
      <w:r>
        <w:rPr>
          <w:rFonts w:ascii="Times New Roman" w:cs="Times New Roman" w:eastAsia="Times New Roman" w:hAnsi="Times New Roman"/>
          <w:b w:val="false"/>
          <w:bCs w:val="false"/>
          <w:i w:val="false"/>
          <w:iCs w:val="false"/>
          <w:sz w:val="24"/>
          <w:szCs w:val="24"/>
        </w:rPr>
        <w:t>Ayurveda enters the argument at this point, and it enters carrying a problem of its own. The classical texts describe Ardhavabhedaka, a periodic one-sided head pain that maps closely onto migraine, along with nasal, dietary, herbal and procedural treatments for it [11,12], and Indian patients use those treatments widely, often alongside conventional drugs and usually without telling their neurologist. The supporting evidence is thinner than that practice implies. It amounts to a scatter of small trials and case series padded out with single-compound pharmacology, rarely constructed around ICHD-3 diagnostic criteria or the outcome measures a headache specialist would accept [13,14].</w:t>
      </w:r>
    </w:p>
    <w:p>
      <w:pPr>
        <w:spacing w:after="160" w:before="0" w:line="360" w:lineRule="auto"/>
        <w:jc w:val="both"/>
      </w:pPr>
      <w:r>
        <w:rPr>
          <w:rFonts w:ascii="Times New Roman" w:cs="Times New Roman" w:eastAsia="Times New Roman" w:hAnsi="Times New Roman"/>
          <w:b w:val="false"/>
          <w:bCs w:val="false"/>
          <w:i w:val="false"/>
          <w:iCs w:val="false"/>
          <w:sz w:val="24"/>
          <w:szCs w:val="24"/>
        </w:rPr>
        <w:t>Our line throughout is deliberately critical. Migraine is reconstructed first as a disorder of brain state rather than of blood vessels, after which we examine where the CGRP-era drugs succeed and where they stall. Only then are Ayurvedic claims brought in, and they are held to the same mechanistic and clinical standards as everything preceding them. Reconciliation for its own sake would be worthless. What we want to establish is which Ayurvedic interventions carry enough biological plausibility and human evidence to justify rigorous trials in the particular patients modern pharmacology is failing.</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2. Literature search and evidence appraisal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We searched PubMed/MEDLINE, ScienceDirect and Google Scholar from inception to August 2026. "Migraine" was combined with three blocks of terms: pathophysiology (hypothalamus; cortical spreading depolarisation; trigeminovascular; CGRP; PACAP; KATP; amylin; TRP channels), therapeutics (triptan; gepant; ditan; erenumab; fremanezumab; galcanezumab; eptinezumab; atogepant; onabotulinumtoxinA) and Ayurveda (Ardhavabhedaka; Suryavarta; Shiroroga; Nasya; Shirodhara; Pathyadi; </w:t>
      </w:r>
      <w:r>
        <w:rPr>
          <w:rFonts w:ascii="Times New Roman" w:cs="Times New Roman" w:eastAsia="Times New Roman" w:hAnsi="Times New Roman"/>
          <w:b w:val="false"/>
          <w:bCs w:val="false"/>
          <w:i/>
          <w:iCs/>
          <w:sz w:val="24"/>
          <w:szCs w:val="24"/>
        </w:rPr>
        <w:t xml:space="preserve">Zingiber officinale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Curcuma longa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Coriandrum sativum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Cinnamomum</w:t>
      </w:r>
      <w:r>
        <w:rPr>
          <w:rFonts w:ascii="Times New Roman" w:cs="Times New Roman" w:eastAsia="Times New Roman" w:hAnsi="Times New Roman"/>
          <w:b w:val="false"/>
          <w:bCs w:val="false"/>
          <w:i w:val="false"/>
          <w:iCs w:val="false"/>
          <w:sz w:val="24"/>
          <w:szCs w:val="24"/>
        </w:rPr>
        <w:t xml:space="preserve">; yoga). We also hand-searched the reference lists of retrieved reviews and guidelines. Conference abstracts were excluded, as were non-English reports lacking an English abstract and any source we could not trace to a peer-reviewed journal or a recognised classical edition.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is a critical narrative review. We did not pool data. Biomedical claims rest preferentially on phase 3 randomised trials, human provocation studies, genome-wide association data and society guidelines; for Ayurvedic claims we sought every clinical study indexed in PubMed, including those in AYU and the Journal of Ayurveda and Integrative Medicine, and added mechanistic work only for botanicals with at least one human study. Classical descriptions come from standard translations of the Charaka and Sushruta Samhitas [11,12].</w:t>
      </w:r>
    </w:p>
    <w:p>
      <w:pPr>
        <w:spacing w:after="160" w:before="0" w:line="360" w:lineRule="auto"/>
        <w:jc w:val="both"/>
      </w:pPr>
      <w:r>
        <w:rPr>
          <w:rFonts w:ascii="Times New Roman" w:cs="Times New Roman" w:eastAsia="Times New Roman" w:hAnsi="Times New Roman"/>
          <w:b w:val="false"/>
          <w:bCs w:val="false"/>
          <w:i w:val="false"/>
          <w:iCs w:val="false"/>
          <w:sz w:val="24"/>
          <w:szCs w:val="24"/>
        </w:rPr>
        <w:t>Judging the quality of each Ayurvedic study required a short and explicit checklist. Five questions, in practice. Had migraine been diagnosed against ICHD-3 or ICHD-2 criteria, and was there a concurrent control group with blinded allocation? Outcomes had to follow International Headache Society trial guidance, which means monthly migraine days, the 50% responder rate and two-hour pain freedom. Arm size mattered too, so we noted whether either arm exceeded 50 participants, and the grades in Table 2 are pragmatic judgements assembled from those answers rather than formal GRADE ratings.</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3. Before the pain: migraine as a change of brain state</w:t>
      </w:r>
    </w:p>
    <w:p>
      <w:pPr>
        <w:pStyle w:val="Heading2"/>
        <w:keepNext/>
        <w:spacing w:after="100" w:before="160" w:line="360" w:lineRule="auto"/>
        <w:jc w:val="left"/>
      </w:pPr>
      <w:r>
        <w:rPr>
          <w:rFonts w:ascii="Times New Roman" w:cs="Times New Roman" w:eastAsia="Times New Roman" w:hAnsi="Times New Roman"/>
          <w:b/>
          <w:bCs/>
          <w:i/>
          <w:iCs/>
          <w:sz w:val="24"/>
          <w:szCs w:val="24"/>
        </w:rPr>
        <w:t>3.1. What happens before the pain</w:t>
      </w:r>
    </w:p>
    <w:p>
      <w:pPr>
        <w:spacing w:after="160" w:before="0" w:line="360" w:lineRule="auto"/>
        <w:jc w:val="both"/>
      </w:pPr>
      <w:r>
        <w:rPr>
          <w:rFonts w:ascii="Times New Roman" w:cs="Times New Roman" w:eastAsia="Times New Roman" w:hAnsi="Times New Roman"/>
          <w:b w:val="false"/>
          <w:bCs w:val="false"/>
          <w:i w:val="false"/>
          <w:iCs w:val="false"/>
          <w:sz w:val="24"/>
          <w:szCs w:val="24"/>
        </w:rPr>
        <w:t>Many patients yawn repeatedly, crave sweet food, feel the neck stiffen, tire easily or begin squinting at ordinary light hours before the headache arrives, sometimes a full day ahead [15,16]. No vascular theory accommodates that collection of symptoms. A hypothalamic one accommodates it without strain.</w:t>
      </w:r>
    </w:p>
    <w:p>
      <w:pPr>
        <w:spacing w:after="160" w:before="0" w:line="360" w:lineRule="auto"/>
        <w:jc w:val="both"/>
      </w:pPr>
      <w:r>
        <w:rPr>
          <w:rFonts w:ascii="Times New Roman" w:cs="Times New Roman" w:eastAsia="Times New Roman" w:hAnsi="Times New Roman"/>
          <w:b w:val="false"/>
          <w:bCs w:val="false"/>
          <w:i w:val="false"/>
          <w:iCs w:val="false"/>
          <w:sz w:val="24"/>
          <w:szCs w:val="24"/>
        </w:rPr>
        <w:t>Clinicians tend to think in attacks; patients live in cycles. Each episode is conventionally divided into premonitory, aura, headache and postdrome phases, with aura appearing in roughly a third of patients, and the interictal brain is not quiet either: neurophysiological studies find reduced habituation to repeated sensory stimuli and altered thalamocortical processing between attacks [15,16]. Read that way, migraine becomes a disorder of sensory gain whose set point drifts across days, and the attack is the moment the drift crosses threshold. Triggers look less like causes than nudges. A skipped meal, a lost night's sleep, a fall in oestrogen: each is applied to a system already sitting close to its edge.</w:t>
      </w:r>
    </w:p>
    <w:p>
      <w:pPr>
        <w:spacing w:after="160" w:before="0" w:line="360" w:lineRule="auto"/>
        <w:jc w:val="both"/>
      </w:pPr>
      <w:r>
        <w:rPr>
          <w:rFonts w:ascii="Times New Roman" w:cs="Times New Roman" w:eastAsia="Times New Roman" w:hAnsi="Times New Roman"/>
          <w:b w:val="false"/>
          <w:bCs w:val="false"/>
          <w:i w:val="false"/>
          <w:iCs w:val="false"/>
          <w:sz w:val="24"/>
          <w:szCs w:val="24"/>
        </w:rPr>
        <w:t>An unusual experiment supplied the direct human evidence. Schulte and May scanned a single patient on each of 30 consecutive days, and three spontaneous attacks fell inside that window. Hypothalamic activity rose through the 24 h before headache onset and coupled to the spinal trigeminal nuclei; once pain began, the coupling shifted to the dorsal rostral pons [17]. One patient is thin ground. Subsequent imaging in small groups has pointed the same way [16], and the observation reframes the attack as the terminal stage of a process already running well before the first throb (Figure 1).</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Pharmacology has now tested that reframing directly. In the PRODROME crossover trial, ubrogepant 100 mg taken during prodromal symptoms, before any headache had started, prevented moderate or severe headache within 24 h in 46% of treated events against 29% with placebo [18]. A CGRP-receptor antagonist that works before pain implies that CGRP signalling is already active in the premonitory window. Treatment, in other words, can begin earlier than most guidelines assume.</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3.2. Aura, spreading depolarisation and a fluid route to the ganglion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Cortical spreading depolarisation (CSD) is the accepted substrate of aura: a slow wave of neuronal and glial depolarisation, followed by prolonged electrical silence, that creeps across the cortex at roughly 3 mm/min [16]. How a cortical event reaches pain fibres lying in the meninges was, for years, the weak link in the chain.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Karatas and colleagues supplied one answer in mice. CSD opened neuronal pannexin-1 megachannels, activated the inflammasome, released high-mobility group box 1, and triggered nuclear factor-κB translocation in astrocytes; the astrocytes then expressed cyclooxygenase-2 and inducible nitric oxide synthase at the glia limitans, and trigeminal afferents in the overlying meninges fired [19]. That is a paracrine route across the brain surface. A second route surfaced in 2024, when Kaag Rasmussen et al. showed that cerebrospinal fluid gains direct access to the trigeminal ganglion, which sits outside the blood–brain barrier, and that after CSD this fluid carries an altered cargo of receptor ligands, CGRP among them, capable of activating ganglion neurons [20].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Two cautions belong here rather than in a footnote. Most people with migraine never experience aura, and nobody has shown that silent spreading depolarisation occurs in migraine without aura. Both mechanisms also come from rodents in which CSD was induced by potassium chloride or optogenetic stimulation, at intensities the human cortex may never reach on its own.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Monogenic forms sharpen the link between excitability and aura. Mutations in </w:t>
      </w:r>
      <w:r>
        <w:rPr>
          <w:rFonts w:ascii="Times New Roman" w:cs="Times New Roman" w:eastAsia="Times New Roman" w:hAnsi="Times New Roman"/>
          <w:b w:val="false"/>
          <w:bCs w:val="false"/>
          <w:i/>
          <w:iCs/>
          <w:sz w:val="24"/>
          <w:szCs w:val="24"/>
        </w:rPr>
        <w:t xml:space="preserve">CACNA1A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ATP1A2</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SCN1A</w:t>
      </w:r>
      <w:r>
        <w:rPr>
          <w:rFonts w:ascii="Times New Roman" w:cs="Times New Roman" w:eastAsia="Times New Roman" w:hAnsi="Times New Roman"/>
          <w:b w:val="false"/>
          <w:bCs w:val="false"/>
          <w:i w:val="false"/>
          <w:iCs w:val="false"/>
          <w:sz w:val="24"/>
          <w:szCs w:val="24"/>
        </w:rPr>
        <w:t xml:space="preserve"> cause familial hemiplegic migraine, and knock-in mice carrying them show a lowered threshold for spreading depolarisation, through increased glutamate release or impaired clearance of glutamate and potassium from the synapse [15,16]. Common migraine is polygenic and far less dramatic. Still, the monogenic models establish that cortical excitability sits upstream of the aura rather than downstream of it.</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4. The trigeminovascular system and its peptide messengers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Every migraine-specific drug now on the market acts, directly or not, on one anatomical system: pseudounipolar trigeminal neurons whose peripheral fibres innervate dural and pial vessels and whose central terminals synapse in the trigeminocervical complex [21]. Activation releases vasoactive neuropeptides at both ends. The system's peripheral end, ganglion included, lies outside the blood–brain barrier, an anatomical accident that explains why antibodies of roughly 150 kDa, which barely enter the brain, work at all.</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4.1. CGRP and its two receptors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Three observations anchor CGRP. Its concentration rises in cranial venous blood during attacks [4]. Intravenous CGRP provokes delayed migraine-like attacks in people with migraine [22], and neutralising the peptide or blocking its receptor prevents attacks in placebo-controlled trials [6,23].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Within the ganglion, CGRP is made mainly by small, unmyelinated C-fibre neurons, whereas its canonical receptor (a heterodimer of calcitonin receptor-like receptor and receptor activity-modifying protein 1, CLR/RAMP1) localises to thinly myelinated Aδ fibres, satellite glia and vascular smooth muscle [4]. Why does that segregation matter? It suggests that CGRP works as a paracrine signal inside the ganglion, not only as a vasodilator at the dura.</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second receptor complicates the pharmacology. CGRP also binds AMY1, formed by the calcitonin receptor with RAMP1, which is equally the receptor through which amylin acts. Erenumab targets CLR/RAMP1; fremanezumab, galcanezumab and eptinezumab neutralise CGRP itself. That distinction looked academic until Ghanizada et al. showed that pramlintide, an amylin analogue, provokes migraine-like attacks in patients [9]. Amylin signalling through AMY1 would survive ligand neutralisation of CGRP entirely, which makes it a live suspect in some antibody failures.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CGRP is not a migraine molecule that merely happens to exist elsewhere. Few vasodilators are more potent; the peptide also protects tissue during ischaemia and takes part in gut motility and wound repair [4]. Blocking it for years was a leap of faith. Post-marketing experience has been reassuring without being blank: constipation, occasionally severe, and raised blood pressure prompted label changes for erenumab, and no trial has yet shown what long-term blockade means for a patient who later suffers a myocardial infarction or stroke [5].</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4.2. PACAP: a route around CGRP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Pituitary adenylate cyclase-activating polypeptide-38 (PACAP38) belongs to the secretin-glucagon family and signals through PAC1, VPAC1 and VPAC2 receptors, all present in the trigeminovascular system. When Schytz and colleagues infused it intravenously, 58% of patients with migraine without aura developed delayed migraine-like attacks [24].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More telling is a 2025 randomised trial in which blocking CGRP signalling failed to prevent PACAP38-provoked attacks [25]. PACAP can drive an attack without CGRP. The first therapeutic test followed quickly: Lu AG09222, an antibody against the PACAP ligand, reduced monthly migraine days over weeks 1–4 by 6.2 at 750 mg versus 4.2 with placebo, in a phase 2 trial restricted to people who had failed two to four previous preventives [10]. Phase 2 results measured over four weeks are fragile. Still, a two-day separation in precisely the population CGRP drugs serve worst is hard to dismiss.</w:t>
      </w:r>
    </w:p>
    <w:p>
      <w:pPr>
        <w:pStyle w:val="Heading2"/>
        <w:keepNext/>
        <w:spacing w:after="100" w:before="160" w:line="360" w:lineRule="auto"/>
        <w:jc w:val="left"/>
      </w:pPr>
      <w:r>
        <w:rPr>
          <w:rFonts w:ascii="Times New Roman" w:cs="Times New Roman" w:eastAsia="Times New Roman" w:hAnsi="Times New Roman"/>
          <w:b/>
          <w:bCs/>
          <w:i/>
          <w:iCs/>
          <w:sz w:val="24"/>
          <w:szCs w:val="24"/>
        </w:rPr>
        <w:t>4.3. Where the peptides converge: KATP channels</w:t>
      </w:r>
    </w:p>
    <w:p>
      <w:pPr>
        <w:spacing w:after="160" w:before="0" w:line="360" w:lineRule="auto"/>
        <w:jc w:val="both"/>
      </w:pPr>
      <w:r>
        <w:rPr>
          <w:rFonts w:ascii="Times New Roman" w:cs="Times New Roman" w:eastAsia="Times New Roman" w:hAnsi="Times New Roman"/>
          <w:b w:val="false"/>
          <w:bCs w:val="false"/>
          <w:i w:val="false"/>
          <w:iCs w:val="false"/>
          <w:sz w:val="24"/>
          <w:szCs w:val="24"/>
        </w:rPr>
        <w:t>CGRP and PACAP both raise intracellular cyclic AMP, and much of what follows converges on potassium channels in arterial smooth muscle, where levcromakalim, an opener of ATP-sensitive potassium (KATP) channels, triggered migraine attacks in every one of the 16 patients who received it in a crossover provocation study [8]. No other human trigger approaches that reliability. If opening these channels suffices to start an attack, closing them ought to help. The obstacle is chemistry, not logic. Glibenclamide and the related sulfonylureas shut KATP channels in pancreatic β-cells long before reaching useful vascular concentrations, and selective blockers of the vascular Kir6.1/SUR2B isoform have proved stubbornly hard to synthesise.</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4.4. Genes and TRP channels</w:t>
      </w:r>
    </w:p>
    <w:p>
      <w:pPr>
        <w:spacing w:after="160" w:before="0" w:line="360" w:lineRule="auto"/>
        <w:jc w:val="both"/>
      </w:pPr>
      <w:r>
        <w:rPr>
          <w:rFonts w:ascii="Times New Roman" w:cs="Times New Roman" w:eastAsia="Times New Roman" w:hAnsi="Times New Roman"/>
          <w:b w:val="false"/>
          <w:bCs w:val="false"/>
          <w:i w:val="false"/>
          <w:iCs w:val="false"/>
          <w:sz w:val="24"/>
          <w:szCs w:val="24"/>
        </w:rPr>
        <w:t>Genetics supports a picture that is neuronal and vascular at once. A 2022 genome-wide meta-analysis covering 102,084 cases identified 123 risk loci, with enrichment in vascular tissue as well as central nervous system tissue, and two of those loci contain genes encoding targets of approved drugs: CALCA/CALCB for CGRP, HTR1F for lasmiditan [26]. Common variants explain only a small slice of heritability. None yet predicts response to a given drug.</w:t>
      </w:r>
      <w:r>
        <w:rPr>
          <w:rFonts w:ascii="Times New Roman" w:cs="Times New Roman" w:eastAsia="Times New Roman" w:hAnsi="Times New Roman"/>
          <w:b w:val="false"/>
          <w:bCs w:val="false"/>
          <w:i/>
          <w:iCs/>
          <w:sz w:val="24"/>
          <w:szCs w:val="24"/>
        </w:rPr>
      </w:r>
      <w:r>
        <w:rPr>
          <w:rFonts w:ascii="Times New Roman" w:cs="Times New Roman" w:eastAsia="Times New Roman" w:hAnsi="Times New Roman"/>
          <w:b w:val="false"/>
          <w:bCs w:val="false"/>
          <w:i w:val="false"/>
          <w:iCs w:val="false"/>
          <w:sz w:val="24"/>
          <w:szCs w:val="24"/>
        </w:rPr>
      </w:r>
      <w:r>
        <w:rPr>
          <w:rFonts w:ascii="Times New Roman" w:cs="Times New Roman" w:eastAsia="Times New Roman" w:hAnsi="Times New Roman"/>
          <w:b w:val="false"/>
          <w:bCs w:val="false"/>
          <w:i/>
          <w:iCs/>
          <w:sz w:val="24"/>
          <w:szCs w:val="24"/>
        </w:rPr>
      </w:r>
      <w:r>
        <w:rPr>
          <w:rFonts w:ascii="Times New Roman" w:cs="Times New Roman" w:eastAsia="Times New Roman" w:hAnsi="Times New Roman"/>
          <w:b w:val="false"/>
          <w:bCs w:val="false"/>
          <w:i w:val="false"/>
          <w:iCs w:val="false"/>
          <w:sz w:val="24"/>
          <w:szCs w:val="24"/>
        </w:rPr>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Transient receptor potential (TRP) channels sit at the interface between environment and nociceptor. TRPA1 responds to oxidants, cold and airborne irritants, including umbellulone from the Californian "headache tree", while TRPV1 co-localises with CGRP in trigeminal C fibres and releases it when activated [27]. These channels matter for this review because several spices central to Ayurvedic practice act on them.</w:t>
      </w:r>
    </w:p>
    <w:p>
      <w:pPr>
        <w:spacing w:after="0" w:before="120"/>
      </w:pPr>
      <w:r>
        <w:rPr>
          <w:rFonts w:ascii="Times New Roman" w:cs="Times New Roman" w:eastAsia="Times New Roman" w:hAnsi="Times New Roman"/>
          <w:b w:val="false"/>
          <w:bCs w:val="false"/>
          <w:i w:val="false"/>
          <w:iCs w:val="false"/>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4F6F7" w:color="auto" w:val="clear"/>
            <w:tcMar>
              <w:top w:type="dxa" w:w="120"/>
              <w:left w:type="dxa" w:w="160"/>
              <w:bottom w:type="dxa" w:w="120"/>
              <w:right w:type="dxa" w:w="160"/>
            </w:tcMar>
          </w:tcPr>
          <w:p>
            <w:pPr>
              <w:spacing w:after="600" w:before="600" w:line="240"/>
              <w:jc w:val="center"/>
            </w:pPr>
            <w:r>
              <w:rPr>
                <w:rFonts w:ascii="Times New Roman" w:cs="Times New Roman" w:eastAsia="Times New Roman" w:hAnsi="Times New Roman"/>
                <w:b/>
                <w:bCs/>
                <w:i w:val="false"/>
                <w:iCs w:val="false"/>
                <w:color w:val="555555"/>
                <w:sz w:val="22"/>
                <w:szCs w:val="22"/>
              </w:rPr>
              <w:t xml:space="preserve">[ Insert Figure 1 here ]</w:t>
            </w:r>
          </w:p>
        </w:tc>
      </w:tr>
    </w:tbl>
    <w:p>
      <w:pPr>
        <w:spacing w:after="60" w:before="120" w:line="360" w:lineRule="auto"/>
        <w:jc w:val="left"/>
      </w:pPr>
      <w:r>
        <w:rPr>
          <w:rFonts w:ascii="Times New Roman" w:cs="Times New Roman" w:eastAsia="Times New Roman" w:hAnsi="Times New Roman"/>
          <w:b/>
          <w:bCs/>
          <w:i w:val="false"/>
          <w:iCs w:val="false"/>
          <w:sz w:val="22"/>
          <w:szCs w:val="22"/>
        </w:rPr>
        <w:t xml:space="preserve">Figure 1. The migraine attack as a multistage brain-state disorder, with sites of action of current and emerging drugs</w:t>
      </w:r>
    </w:p>
    <w:p>
      <w:pPr>
        <w:spacing w:after="160" w:line="276"/>
        <w:jc w:val="both"/>
      </w:pPr>
      <w:r>
        <w:rPr>
          <w:rFonts w:ascii="Times New Roman" w:cs="Times New Roman" w:eastAsia="Times New Roman" w:hAnsi="Times New Roman"/>
          <w:b w:val="false"/>
          <w:bCs w:val="false"/>
          <w:i w:val="false"/>
          <w:iCs w:val="false"/>
          <w:sz w:val="20"/>
          <w:szCs w:val="20"/>
        </w:rPr>
        <w:t xml:space="preserve">(A) Premonitory phase: hypothalamic activation, functionally coupled to the spinal trigeminal nuclei, begins up to 24 h before headache; ubrogepant taken at this stage prevents many attacks. (B) Aura: cortical spreading depolarisation opens neuronal pannexin-1 channels and drives astrocytic NF-κB signalling at the glia limitans; cerebrospinal fluid carrying CGRP and other ligands reaches the trigeminal ganglion directly. (C) Trigeminovascular activation outside the blood–brain barrier: CGRP and PACAP38 act on CLR/RAMP1, AMY1 and PAC1/VPAC receptors, converging on cAMP-dependent opening of KATP channels in arterial smooth muscle; TRPV1 and TRPA1 on C-fibre terminals link environmental and dietary stimuli to neuropeptide release. (D) Central sensitisation in the trigeminocervical complex and thalamus underlies cutaneous allodynia, the stage at which peripherally acting drugs lose efficacy. Grey badges mark drug targets.</w:t>
      </w:r>
    </w:p>
    <w:p>
      <w:pPr>
        <w:spacing w:after="200" w:before="0"/>
      </w:pPr>
      <w:r>
        <w:rPr>
          <w:rFonts w:ascii="Times New Roman" w:cs="Times New Roman" w:eastAsia="Times New Roman" w:hAnsi="Times New Roman"/>
          <w:b w:val="false"/>
          <w:bCs w:val="false"/>
          <w:i w:val="false"/>
          <w:iCs w:val="false"/>
          <w:sz w:val="8"/>
          <w:szCs w:val="8"/>
        </w:rPr>
        <w:t xml:space="preserve"> </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5. Therapeutics in the CGRP era: what the trials show and what they hide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Table 1 lays out the registration-trial evidence for mechanism-based therapies, from triptans to the first anti-PACAP antibody. Three features of that evidence deserve more than a tabular line.</w:t>
      </w:r>
    </w:p>
    <w:p>
      <w:pPr>
        <w:keepNext/>
        <w:spacing w:after="100" w:before="200" w:line="360" w:lineRule="auto"/>
        <w:jc w:val="left"/>
      </w:pPr>
      <w:r>
        <w:rPr>
          <w:rFonts w:ascii="Times New Roman" w:cs="Times New Roman" w:eastAsia="Times New Roman" w:hAnsi="Times New Roman"/>
          <w:b/>
          <w:bCs/>
          <w:i w:val="false"/>
          <w:iCs w:val="false"/>
          <w:sz w:val="22"/>
          <w:szCs w:val="22"/>
        </w:rPr>
        <w:t xml:space="preserve">Table 1. Mechanism-based migraine therapeutics: targets, registration or proof-of-concept trial results, and practical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826"/>
        <w:gridCol w:w="1700"/>
      </w:tblGrid>
      <w:tr>
        <w:trPr>
          <w:tblHeader/>
        </w:trPr>
        <w:tc>
          <w:tcPr>
            <w:tcW w:type="dxa" w:w="18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Class and agent</w:t>
            </w:r>
          </w:p>
        </w:tc>
        <w:tc>
          <w:tcPr>
            <w:tcW w:type="dxa" w:w="18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Target and site of action</w:t>
            </w:r>
          </w:p>
        </w:tc>
        <w:tc>
          <w:tcPr>
            <w:tcW w:type="dxa" w:w="19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Key trial (population)</w:t>
            </w:r>
          </w:p>
        </w:tc>
        <w:tc>
          <w:tcPr>
            <w:tcW w:type="dxa" w:w="1826"/>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Primary result, active vs placebo</w:t>
            </w:r>
          </w:p>
        </w:tc>
        <w:tc>
          <w:tcPr>
            <w:tcW w:type="dxa" w:w="17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Limitations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Triptan: sumatriptan 100 mg (oral)</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5-HT1B/1D agonist; trigeminal terminals and cranial arteries</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Meta-analysis of 53 RCTs [28]</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Two-hour pain freedom 29%</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Vasoconstrictive; contraindicated in coronary and cerebrovascular disease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Ditan: lasmiditan 200 mg (oral)</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5-HT1F agonist; neuronal, no vasoconstriction</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SAMURAI (episodic migraine) [29]</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Two-hour pain freedom 32.2% vs 15.3%</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Dizziness; no driving for 8 h after a dose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Gepants, acute: rimegepant 75 mg; ubrogepant 100 mg (oral)</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CLR/RAMP1 receptor antagonists</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Phase 3 trials [30,31]</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Two-hour pain freedom 21.2% vs 10.9% (rimegepant); 21.2% vs 11.8% (ubrogepant)</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Lower absolute efficacy than triptans; usable with vascular disease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Gepant, intranasal: zavegepant 10 mg</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CLR/RAMP1 antagonist; nasal delivery</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Phase 3 [32]</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Two-hour pain freedom 24% vs 15%</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Taste disturbance common; single-attack design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Gepant in the prodrome: ubrogepant 100 mg</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CLR/RAMP1 antagonist given before headache</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PRODROME crossover [18]</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 moderate or severe headache at 24 h: 46% vs 29% of treated events</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Requires reliable recognition of prodrome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Gepant, preventive: atogepant 60 mg daily (oral)</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CLR/RAMP1 antagonist</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ADVANCE, episodic [33]; PROGRESS, chronic [34]</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Monthly migraine days −4.2 vs −2.5; −6.9 vs −5.1</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Constipation, nausea; large placebo response in chronic migraine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Receptor antibody: erenumab 140 mg monthly (SC)</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CLR/RAMP1 receptor, peripheral</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STRIVE [6]; LIBERTY, 2–4 prior failures [7]</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Monthly migraine days −3.7 vs −1.8; 50% responders 30% vs 14% in LIBERTY</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Constipation and hypertension in post-marketing reports [5]</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Ligand antibodies: fremanezumab (SC); galcanezumab 120 mg (SC); eptinezumab 300 mg (IV)</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CGRP peptide, peripheral</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HALO chronic [23]; EVOLVE-1 [35]; PROMISE-1 [36]</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Headache days −4.6 vs −2.5; monthly migraine days −4.7 vs −2.8; −4.3 vs −3.2</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Leave amylin signalling at AMY1 untouched [9]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OnabotulinumtoxinA 155–195 U every 12 weeks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SNAP-25 cleavage; reduced peripheral neuropeptide release</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PREEMPT 2, chronic migraine [37]</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Headache days −9.0 vs −6.7</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Licensed for chronic migraine only; procedural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Anti-PACAP antibody: Lu AG09222 750 mg (IV)</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PACAP38 ligand</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Phase 2, 2–4 prior preventive failures [10]</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Monthly migraine days, weeks 1–4: −6.2 vs −4.2</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Four-week window; phase 3 data awaited</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Investigational: KATP channel blockers; AMY1 antagonists</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Kir6.1/SUR2B in arterial smooth muscle; calcitonin receptor/RAMP1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Human provocation studies [8,9]</w:t>
            </w:r>
          </w:p>
        </w:tc>
        <w:tc>
          <w:tcPr>
            <w:tcW w:type="dxa" w:w="182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Levcromakalim provoked attacks in 16 of 16 patients</w:t>
            </w:r>
          </w:p>
        </w:tc>
        <w:tc>
          <w:tcPr>
            <w:tcW w:type="dxa" w:w="17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 selective, clinically usable blocker yet</w:t>
            </w:r>
          </w:p>
        </w:tc>
      </w:tr>
    </w:tbl>
    <w:p>
      <w:pPr>
        <w:spacing w:after="240" w:before="80" w:line="240"/>
      </w:pPr>
      <w:r>
        <w:rPr>
          <w:rFonts w:ascii="Times New Roman" w:cs="Times New Roman" w:eastAsia="Times New Roman" w:hAnsi="Times New Roman"/>
          <w:b w:val="false"/>
          <w:bCs w:val="false"/>
          <w:i w:val="false"/>
          <w:iCs w:val="false"/>
          <w:sz w:val="18"/>
          <w:szCs w:val="18"/>
        </w:rPr>
        <w:t xml:space="preserve">5-HT, 5-hydroxytryptamine; AMY1, amylin 1 receptor; CGRP, calcitonin gene-related peptide; CLR, calcitonin receptor-like receptor; IV, intravenous; KATP, ATP-sensitive potassium channel; PACAP, pituitary adenylate cyclase-activating polypeptide; RAMP1, receptor activity-modifying protein 1; RCT, randomised controlled trial; SC, subcutaneous; SNAP-25, synaptosomal-associated protein of 25 kDa. Cross-trial comparisons are not valid because populations, endpoints and placebo rates differ.</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5.1. Acute treatment: a ceiling nobody has broken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Did gepants beat triptans? Not on the numbers. Sumatriptan 100 mg left 29% of patients pain-free at 2 h in the 2001 meta-analysis of 53 trials [28]. Rimegepant 75 mg managed 21.2% against 10.9% with placebo, ubrogepant 100 mg 21.2% against 11.8%, and intranasal zavegepant 10 mg 24% against 15% [30–32]. Cross-trial comparison is treacherous (placebo rates crept upward across two decades of changing trial design); even so, nobody can argue from these data that gepants are stronger analgesics.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Their advantage lies elsewhere. Gepants do not constrict arteries, so patients with coronary or cerebrovascular disease, for whom triptans are contraindicated, finally have a migraine-specific acute option. Lasmiditan, a 5-HT1F agonist with no vasoconstrictor activity, reached two-hour pain freedom in 32.2% at 200 mg versus 15.3% with placebo in SAMURAI [29]. Its price is paid centrally: dizziness was the commonest adverse event, and the label bars driving for eight hours after a dose, which rules it out for many working adults. Gepants have also blurred the old boundary between acute and preventive treatment. Atogepant was developed for daily prevention [33,34], rimegepant is licensed for acute and for preventive use in several jurisdictions [5], and ubrogepant has now been tested in the premonitory phase [18]. That flexibility helps patients whose attack frequency fluctuates. Non-response becomes harder to read as well, because a drug taken at the wrong point in the cycle can fail for reasons unrelated to its target.</w:t>
      </w:r>
    </w:p>
    <w:p>
      <w:pPr>
        <w:spacing w:after="160" w:before="0" w:line="360" w:lineRule="auto"/>
        <w:jc w:val="both"/>
      </w:pPr>
      <w:r>
        <w:rPr>
          <w:rFonts w:ascii="Times New Roman" w:cs="Times New Roman" w:eastAsia="Times New Roman" w:hAnsi="Times New Roman"/>
          <w:b w:val="false"/>
          <w:bCs w:val="false"/>
          <w:i w:val="false"/>
          <w:iCs w:val="false"/>
          <w:sz w:val="24"/>
          <w:szCs w:val="24"/>
        </w:rPr>
        <w:t>Timing may matter more than molecule. Burstein and colleagues found that triptans rendered 93% of attacks pain-free when taken before cutaneous allodynia had developed, against only 15% once it was established [38], and allodynia marks the point at which central trigeminovascular neurons begin firing independently of peripheral input. A drug given afterwards is chasing a process it can no longer reach.</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5.2. Prevention: modest averages, wide scatter</w:t>
      </w:r>
    </w:p>
    <w:p>
      <w:pPr>
        <w:spacing w:after="160" w:before="0" w:line="360" w:lineRule="auto"/>
        <w:jc w:val="both"/>
      </w:pPr>
      <w:r>
        <w:rPr>
          <w:rFonts w:ascii="Times New Roman" w:cs="Times New Roman" w:eastAsia="Times New Roman" w:hAnsi="Times New Roman"/>
          <w:b w:val="false"/>
          <w:bCs w:val="false"/>
          <w:i w:val="false"/>
          <w:iCs w:val="false"/>
          <w:sz w:val="24"/>
          <w:szCs w:val="24"/>
        </w:rPr>
        <w:t>The preventive trials make sobering reading once their results are set out in absolute terms. Erenumab 140 mg reduced monthly migraine days by 3.7 in STRIVE, against 1.8 on placebo [6]. Galcanezumab 120 mg managed 4.7 against 2.8 in EVOLVE-1 [35], and intravenous eptinezumab 300 mg 4.3 against 3.2 in PROMISE-1 [36]. Oral atogepant 60 mg came in at 4.2 against 2.5 in ADVANCE [33]. Chronic migraine is worse. Placebo response swells there, and the active-arm figures swell with it: fremanezumab given monthly cut headache days of at least moderate severity by 4.6 against 2.5 [23], atogepant 60 mg once daily brought monthly migraine days down by 6.9 against 5.1 in PROGRESS [34], and onabotulinumtoxinA, still the benchmark in chronic migraine, lowered headache days by 9.0 against 6.7 in PREEMPT 2 [37].</w:t>
      </w:r>
    </w:p>
    <w:p>
      <w:pPr>
        <w:spacing w:after="160" w:before="0" w:line="360" w:lineRule="auto"/>
        <w:jc w:val="both"/>
      </w:pPr>
      <w:r>
        <w:rPr>
          <w:rFonts w:ascii="Times New Roman" w:cs="Times New Roman" w:eastAsia="Times New Roman" w:hAnsi="Times New Roman"/>
          <w:b w:val="false"/>
          <w:bCs w:val="false"/>
          <w:i w:val="false"/>
          <w:iCs w:val="false"/>
          <w:sz w:val="24"/>
          <w:szCs w:val="24"/>
        </w:rPr>
        <w:t>Subtract placebo and the average gain shrinks to between 1 and 2.5 days a month. Responder rates say the same thing from another angle. In STRIVE, 50.0% of patients on erenumab 140 mg halved their migraine days against 26.6% on placebo [6], which works out at roughly four patients treated for one to respond who would not have responded anyway. In LIBERTY the corresponding figures were 30% and 14% [7]. Averages of that kind conceal wide individual variation. Some patients become almost attack-free, others notice nothing at all, and a mean drawn across that spread misleads enthusiasts and sceptics in equal measure.</w:t>
      </w:r>
    </w:p>
    <w:p>
      <w:pPr>
        <w:pStyle w:val="Heading2"/>
        <w:keepNext/>
        <w:spacing w:after="100" w:before="160" w:line="360" w:lineRule="auto"/>
        <w:jc w:val="left"/>
      </w:pPr>
      <w:r>
        <w:rPr>
          <w:rFonts w:ascii="Times New Roman" w:cs="Times New Roman" w:eastAsia="Times New Roman" w:hAnsi="Times New Roman"/>
          <w:b/>
          <w:bCs/>
          <w:i/>
          <w:iCs/>
          <w:sz w:val="24"/>
          <w:szCs w:val="24"/>
        </w:rPr>
        <w:t>5.3. Why patients stay on these drugs, and who cannot get them</w:t>
      </w:r>
    </w:p>
    <w:p>
      <w:pPr>
        <w:spacing w:after="160" w:before="0" w:line="360" w:lineRule="auto"/>
        <w:jc w:val="both"/>
      </w:pPr>
      <w:r>
        <w:rPr>
          <w:rFonts w:ascii="Times New Roman" w:cs="Times New Roman" w:eastAsia="Times New Roman" w:hAnsi="Times New Roman"/>
          <w:b w:val="false"/>
          <w:bCs w:val="false"/>
          <w:i w:val="false"/>
          <w:iCs w:val="false"/>
          <w:sz w:val="24"/>
          <w:szCs w:val="24"/>
        </w:rPr>
        <w:t>Persistence, not efficacy, is what the CGRP-targeted drugs changed most. Patients abandoned the older oral preventives at striking rates. A United States claims analysis in chronic migraine found only about a quarter still taking their first oral preventive six months after starting it. Fewer than one in five remained at a year [39]. Monthly or quarterly injections with few systemic adverse effects kept people on treatment instead. That tolerability profile, rather than any leap in potency, underpins the 2024 American Headache Society position that CGRP-targeted drugs may be used first-line without prior failure of older agents [5].</w:t>
      </w:r>
    </w:p>
    <w:p>
      <w:pPr>
        <w:spacing w:after="160" w:before="0" w:line="360" w:lineRule="auto"/>
        <w:jc w:val="both"/>
      </w:pPr>
      <w:r>
        <w:rPr>
          <w:rFonts w:ascii="Times New Roman" w:cs="Times New Roman" w:eastAsia="Times New Roman" w:hAnsi="Times New Roman"/>
          <w:b w:val="false"/>
          <w:bCs w:val="false"/>
          <w:i w:val="false"/>
          <w:iCs w:val="false"/>
          <w:sz w:val="24"/>
          <w:szCs w:val="24"/>
        </w:rPr>
        <w:t>For most patients in India this debate remains largely theoretical. Cost and patchy availability keep the antibodies and gepants out of reach for the majority, as they do across most low- and middle-income health systems [2,3]. Generic triptans are cheap in India. Getting them used properly in primary care is a cheaper first step than waiting for newer drugs to become affordable, and whatever Ayurveda can or cannot deliver, that access gap is a large part of why so many patients try it.</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6. The non-responder problem</w:t>
      </w:r>
    </w:p>
    <w:p>
      <w:pPr>
        <w:spacing w:after="160" w:before="0" w:line="360" w:lineRule="auto"/>
        <w:jc w:val="both"/>
      </w:pPr>
      <w:r>
        <w:rPr>
          <w:rFonts w:ascii="Times New Roman" w:cs="Times New Roman" w:eastAsia="Times New Roman" w:hAnsi="Times New Roman"/>
          <w:b w:val="false"/>
          <w:bCs w:val="false"/>
          <w:i w:val="false"/>
          <w:iCs w:val="false"/>
          <w:sz w:val="24"/>
          <w:szCs w:val="24"/>
        </w:rPr>
        <w:t>At least five explanations compete for why blocking CGRP fails, and they overlap considerably. The first is simply the wrong peptide. PACAP38 provokes attacks that CGRP blockade does not prevent [25], amylin acts through a receptor ligand antibodies leave untouched [9], and KATP opening sits downstream of both [8]. A patient whose attacks run mainly through one of those routes may never respond to a CGRP antibody, however long the trial of therapy continues. Does switching help? The logic says it might. A patient who fails a ligand antibody and moves to erenumab, or makes the reverse move, is testing a different pharmacology at the AMY1 receptor, and a gepant tests yet another by occupying the receptor with a small molecule rather than an antibody. Switching is common practice all the same, and the evidence that it rescues non-responders comes mostly from open-label series. A PACAP antibody would be the first option to test a different ligand altogether, should phase 3 confirm the phase 2 signal [10].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Chronification is the second. As attack frequency climbs (and particularly once headache occupies 15 or more days a month), central sensitisation becomes self-sustaining, and the allodynia data suggest that peripherally restricted drugs lose purchase once it sets in [38]. Antibodies are peripherally restricted almost by definition.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Medication overuse is the third, and the most fixable. Medication-overuse headache affects an estimated 1–2% of the general population; it is defined by headache on 15 or more days a month alongside regular overuse of acute drugs for more than three months, with thresholds of 10 or more days a month for triptans, ergots, opioids and combination analgesics and 15 or more for simple analgesics [40]. Left unscreened, it confounds any preventive trial, and whether a preventive can succeed without first withdrawing the overused drug remains contested [40].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Phenotype is the fourth. In a prospective multicentre cohort of 864 patients treated with anti-CGRP antibodies, unilateral pain and a good previous response to triptans predicted benefit at 24 weeks [41]. Patients whose headaches look like textbook trigeminovascular migraine, in other words, do best. The corollary, that patients whose headaches have lost these features respond less, fits clinical experience but has not been tested prospectively.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Sex hormones are the fifth. Women with episodic migraine and a regular menstrual cycle showed higher CGRP concentrations during menstruation than matched controls, linking late-luteal oestrogen withdrawal to CGRP release [42]. That helps explain the stubbornness of menstrually related attacks. Why some women respond to CGRP blockade and others do not, it leaves unexplained.</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None of these explanations has produced a biomarker a clinician can order. Response still has to be discovered by trial and error, 3–6 months per agent, in patients who have usually been failing treatment for years. That is the gap into which complementary therapies step, and it is the standard against which they should be judged.</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7. Ardhavabhedaka: the classical account and a biological reading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Sanskrit name is literal. Ardha means half, and avabhedaka is that which splits or pierces. Charaka describes the condition in the Trimarmiya Siddhi chapter, attributing it to Vata alone or Vata combined with Kapha, provoked by dry food, overeating or eating before the previous meal has digested, exposure to the cold easterly wind and to frost, excessive sexual activity, overexertion, strenuous exercise and suppression of natural urges [11]. The aggravated doshas seize half of the head. Pain affects the neck, eyebrow, temple, ear, eye and forehead of one side, is likened to the cut of a weapon or the friction of a fire-drill, recurs every ten days or every fortnight or without fixed pattern, and in severe cases threatens sight and hearing [11].</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Sushruta counts eleven Shiroroga and classifies Ardhavabhedaka as tridoshaja, placing it beside Suryavarta, in which pain rises and wanes with the sun, and Anantavata, in which pain radiates between the neck, temple and eye [12]. Treatment across both texts leans on Shirovirechana (therapeutic nasal evacuation) and other forms of Nasya, internal and external oleation and fomentation. In contemporary practice, local cauterisation (Agnikarma) is added for resistant cases [43].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Read against ICHD-3, the resemblance to migraine without aura is striking on three counts [13]. The pain is unilateral. It is episodic, with pain-free intervals and a stated periodicity close to that of high-frequency episodic migraine. And the trigger list reads like a modern headache diary: irregular or excessive meals, cold wind, exertion, and suppression of urges, among which the classical list of thirteen non-suppressible urges includes hunger and sleep.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Correspondence is not identity. Those same descriptions would capture patients whom ICHD-3 assigns to cluster headache, hemicrania continua or even sinus disease, and Suryavarta has been equated with frontal sinusitis as often as with migraine. Trials that enrol "Ardhavabhedaka" without ICHD-3 confirmation are therefore enrolling a mixed population, which alone could explain why their results scatter. Nor does the threat to sight and hearing map cleanly onto aura; some authors read it that way, and we think the reading goes too far.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What of the doshas? Vata's classical qualities (dry, cold, mobile, irregular) describe a system prone to abrupt change of state, which is a coherent metaphor for the hypothalamic cycling described earlier; Kapha's involvement fits the heaviness and nausea of some attacks, and their length. We offer this as a heuristic for choosing trial populations and outcomes. It is not a mechanistic equivalence, and presenting it as one would do neither tradition any service.</w:t>
      </w:r>
    </w:p>
    <w:p>
      <w:pPr>
        <w:spacing w:after="160" w:before="0" w:line="360" w:lineRule="auto"/>
        <w:jc w:val="both"/>
      </w:pPr>
      <w:r>
        <w:rPr>
          <w:rFonts w:ascii="Times New Roman" w:cs="Times New Roman" w:eastAsia="Times New Roman" w:hAnsi="Times New Roman"/>
          <w:b w:val="false"/>
          <w:bCs w:val="false"/>
          <w:i w:val="false"/>
          <w:iCs w:val="false"/>
          <w:sz w:val="24"/>
          <w:szCs w:val="24"/>
        </w:rPr>
        <w:t>Suryavarta deserves a second look for a different reason. Its defining feature is pain that waxes with the rising sun and wanes by evening, which echoes the circadian timing many patients describe, and the hypothalamus implicated in the premonitory phase also houses the body's master clock [12,15]. That parallel is suggestive, nothing more. It does hand trialists an unusually cheap stratification variable: record the clock time of onset.</w:t>
      </w:r>
    </w:p>
    <w:p>
      <w:pPr>
        <w:spacing w:after="160" w:before="0" w:line="360" w:lineRule="auto"/>
        <w:jc w:val="both"/>
      </w:pPr>
      <w:r>
        <w:rPr>
          <w:rFonts w:ascii="Times New Roman" w:cs="Times New Roman" w:eastAsia="Times New Roman" w:hAnsi="Times New Roman"/>
          <w:b w:val="false"/>
          <w:bCs w:val="false"/>
          <w:i w:val="false"/>
          <w:iCs w:val="false"/>
          <w:sz w:val="24"/>
          <w:szCs w:val="24"/>
        </w:rPr>
        <w:t>Treatment logic follows from the pathology. Where dry, mobile Vata is held to be the driver, the correction is unctuous and warm: internal oleation with medicated ghee or oil, oil application to the head, and Nasya using the oils the texts reserve for Vata-predominant head disorders [11,12]. Where Kapha participates, emphasis moves toward evacuative Shirovirechana with pungent, drying drugs. Diet and daily routine carry equal weight in these texts. Regular mealtimes, protection from cold wind, avoidance of night vigils and non-suppression of natural urges appear as prescriptions rather than as mere prohibitions. A modern headache clinic would recognise most of that list as trigger management and sleep hygiene. The traditions part company over mechanism, not over the value of regularity.</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8. Clinical evidence for Ayurvedic and allied interventions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When Soman and colleagues reviewed the clinical literature in 2022 they found twelve eligible studies (six randomised trials, five non-randomised studies and a pilot), and eleven reported benefit from Ayurvedic monotherapy [14]. Near-unanimous positive results from small trials should worry a reader more than reassure one. Our own appraisal, summarised in Table 2, finds most of this work small, single-centre and unblinded, with a few exceptions that deserve attention.</w:t>
      </w:r>
    </w:p>
    <w:p>
      <w:pPr>
        <w:keepNext/>
        <w:spacing w:after="100" w:before="200" w:line="360" w:lineRule="auto"/>
        <w:jc w:val="left"/>
      </w:pPr>
      <w:r>
        <w:rPr>
          <w:rFonts w:ascii="Times New Roman" w:cs="Times New Roman" w:eastAsia="Times New Roman" w:hAnsi="Times New Roman"/>
          <w:b/>
          <w:bCs/>
          <w:i w:val="false"/>
          <w:iCs w:val="false"/>
          <w:sz w:val="22"/>
          <w:szCs w:val="22"/>
        </w:rPr>
        <w:t xml:space="preserve">Table 2. Ayurvedic and allied interventions for migraine (Ardhavabhedaka): proposed targets, human evidence and appraisal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50"/>
        <w:gridCol w:w="1400"/>
        <w:gridCol w:w="2376"/>
        <w:gridCol w:w="1100"/>
        <w:gridCol w:w="1500"/>
      </w:tblGrid>
      <w:tr>
        <w:trPr>
          <w:tblHeader/>
        </w:trPr>
        <w:tc>
          <w:tcPr>
            <w:tcW w:type="dxa" w:w="13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Intervention</w:t>
            </w:r>
          </w:p>
        </w:tc>
        <w:tc>
          <w:tcPr>
            <w:tcW w:type="dxa" w:w="135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Classical or proposed rationale</w:t>
            </w:r>
          </w:p>
        </w:tc>
        <w:tc>
          <w:tcPr>
            <w:tcW w:type="dxa" w:w="14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Candidate biological target</w:t>
            </w:r>
          </w:p>
        </w:tc>
        <w:tc>
          <w:tcPr>
            <w:tcW w:type="dxa" w:w="2376"/>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Human evidence (design, n, main finding)</w:t>
            </w:r>
          </w:p>
        </w:tc>
        <w:tc>
          <w:tcPr>
            <w:tcW w:type="dxa" w:w="11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Grade*</w:t>
            </w:r>
          </w:p>
        </w:tc>
        <w:tc>
          <w:tcPr>
            <w:tcW w:type="dxa" w:w="1500"/>
            <w:tcBorders>
              <w:top w:val="single" w:color="808080" w:sz="4"/>
              <w:left w:val="single" w:color="808080" w:sz="4"/>
              <w:bottom w:val="single" w:color="808080" w:sz="4"/>
              <w:right w:val="single" w:color="808080" w:sz="4"/>
            </w:tcBorders>
            <w:shd w:fill="E7ECEF" w:color="auto" w:val="clear"/>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18"/>
                <w:szCs w:val="18"/>
              </w:rPr>
              <w:t xml:space="preserve">Main limitation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Shunthi (</w:t>
            </w:r>
            <w:r>
              <w:rPr>
                <w:rFonts w:ascii="Times New Roman" w:cs="Times New Roman" w:eastAsia="Times New Roman" w:hAnsi="Times New Roman"/>
                <w:b w:val="false"/>
                <w:bCs w:val="false"/>
                <w:i/>
                <w:iCs/>
                <w:sz w:val="18"/>
                <w:szCs w:val="18"/>
              </w:rPr>
              <w:t xml:space="preserve">Zingiber officinale</w:t>
            </w:r>
            <w:r>
              <w:rPr>
                <w:rFonts w:ascii="Times New Roman" w:cs="Times New Roman" w:eastAsia="Times New Roman" w:hAnsi="Times New Roman"/>
                <w:b w:val="false"/>
                <w:bCs w:val="false"/>
                <w:i w:val="false"/>
                <w:iCs w:val="false"/>
                <w:sz w:val="18"/>
                <w:szCs w:val="18"/>
              </w:rPr>
              <w:t xml:space="preserve"> rhizome)</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Kapha-Vata pacifying, digestive; anti-emetic</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TRPV1 agonism with desensitisation on CGRP-containing C fibres [27,44]</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Acute: DB-RCT vs sumatriptan, n=100, similar efficacy [45]; DB-RCT add-on to ketoprofen, n=60, better relief at 1–2 h [46]; meta-analysis of 3 RCTs, RR 1.79 for 2-h pain freedom [47]. Prophylaxis: DB-RCT, n=107, no benefit [48]</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Moderate (acute); moderate, negative (prevention)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Extracts and doses differ across trials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Haridra (</w:t>
            </w:r>
            <w:r>
              <w:rPr>
                <w:rFonts w:ascii="Times New Roman" w:cs="Times New Roman" w:eastAsia="Times New Roman" w:hAnsi="Times New Roman"/>
                <w:b w:val="false"/>
                <w:bCs w:val="false"/>
                <w:i/>
                <w:iCs/>
                <w:sz w:val="18"/>
                <w:szCs w:val="18"/>
              </w:rPr>
              <w:t xml:space="preserve">Curcuma longa</w:t>
            </w:r>
            <w:r>
              <w:rPr>
                <w:rFonts w:ascii="Times New Roman" w:cs="Times New Roman" w:eastAsia="Times New Roman" w:hAnsi="Times New Roman"/>
                <w:b w:val="false"/>
                <w:bCs w:val="false"/>
                <w:i w:val="false"/>
                <w:iCs w:val="false"/>
                <w:sz w:val="18"/>
                <w:szCs w:val="18"/>
              </w:rPr>
              <w:t xml:space="preserve">); constituent of Pathyadi decoction</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Anti-inflammatory component of classical Shiroroga formulations</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NF-κB inhibition; antioxidant [49]</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Rat nitroglycerin model: less hyperalgesia and oxidative stress [49]; RCT, n=100, 8 weeks nano-curcumin 80 mg with or without CoQ10 300 mg: fewer, shorter, milder attacks [50]</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Nano-formulation not equivalent to traditional preparations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Dhanyaka (</w:t>
            </w:r>
            <w:r>
              <w:rPr>
                <w:rFonts w:ascii="Times New Roman" w:cs="Times New Roman" w:eastAsia="Times New Roman" w:hAnsi="Times New Roman"/>
                <w:b w:val="false"/>
                <w:bCs w:val="false"/>
                <w:i/>
                <w:iCs/>
                <w:sz w:val="18"/>
                <w:szCs w:val="18"/>
              </w:rPr>
              <w:t xml:space="preserve">Coriandrum sativum</w:t>
            </w:r>
            <w:r>
              <w:rPr>
                <w:rFonts w:ascii="Times New Roman" w:cs="Times New Roman" w:eastAsia="Times New Roman" w:hAnsi="Times New Roman"/>
                <w:b w:val="false"/>
                <w:bCs w:val="false"/>
                <w:i w:val="false"/>
                <w:iCs w:val="false"/>
                <w:sz w:val="18"/>
                <w:szCs w:val="18"/>
              </w:rPr>
              <w:t xml:space="preserve"> fruit syrup)</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Cooling, Pitta-pacifying in classical use</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Not established</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Triple-blind RCT, n=68, add-on to valproate for 1 month: attack frequency roughly halved, duration −5.7 h [51]</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Single centre; short follow-up</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Tvak (</w:t>
            </w:r>
            <w:r>
              <w:rPr>
                <w:rFonts w:ascii="Times New Roman" w:cs="Times New Roman" w:eastAsia="Times New Roman" w:hAnsi="Times New Roman"/>
                <w:b w:val="false"/>
                <w:bCs w:val="false"/>
                <w:i/>
                <w:iCs/>
                <w:sz w:val="18"/>
                <w:szCs w:val="18"/>
              </w:rPr>
              <w:t xml:space="preserve">Cinnamomum</w:t>
            </w:r>
            <w:r>
              <w:rPr>
                <w:rFonts w:ascii="Times New Roman" w:cs="Times New Roman" w:eastAsia="Times New Roman" w:hAnsi="Times New Roman"/>
                <w:b w:val="false"/>
                <w:bCs w:val="false"/>
                <w:i w:val="false"/>
                <w:iCs w:val="false"/>
                <w:sz w:val="18"/>
                <w:szCs w:val="18"/>
              </w:rPr>
              <w:t xml:space="preserve"> bark powder)</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Warming, Kapha-Vata pacifying</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IL-6 and nitric oxide reduction; TRPA1 activation by cinnamaldehyde [27]</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DB-RCT, n=50, 600 mg three times daily for 2 months: lower frequency, severity and duration; lower serum IL-6 and NO [52]</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Small; mechanism unresolved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Pathyadi decoction with Agnikarma</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Classical for Ardhavabhedaka and Suryavarta</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Polyherbal; speculative</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Pilot, n=15, 30 days: relief of headache, photophobia, phonophobia [43]</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Very 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 control; unblinded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Classical multimodal protocol (five medicines, diet, lifestyle)</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Dosha-directed management</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Not defined</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Open-label, 406 enrolled, 204 completed; headache resolved in 35.2% of completers [53]</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Very 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50% attrition; no control</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Nasya (Vrihatajivakadya oil)</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Nasal route as the principal access to the head in Shiroroga [11,12]</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Olfactory and trigeminal nose-to-brain transport [54]</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DB-RCT of two oil viscosities, n=90, 14 days: both improved, no adverse events [55]</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Low</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 inert comparator; delivery unmeasured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Shirodhara</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Vata-pacifying; calms the mind</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Autonomic and neuroendocrine tone [56]</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RCT in 16 healthy women: lower state anxiety and noradrenaline, higher NK-cell activity [56]</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Very low (indirect)</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 trial in migraine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Yoga, alone or after Panchakarma</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Regulated daily routine and conduct (Dinacharya, Sadvritta)</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Stress and autonomic regulation</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RCT (CONTAIN), n=160, 3 months add-on: headache frequency reduced by a further 3.53 [57]; non-randomised, n=60, Panchakarma plus yoga vs NSAIDs [58]</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Moderate (yoga); very low (package)</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Unblinded; 29% attrition in CONTAIN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Ayush M-3 (polyherbal)</w:t>
            </w:r>
          </w:p>
        </w:tc>
        <w:tc>
          <w:tcPr>
            <w:tcW w:type="dxa" w:w="135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Formulation developed for migraine</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Not reported</w:t>
            </w:r>
          </w:p>
        </w:tc>
        <w:tc>
          <w:tcPr>
            <w:tcW w:type="dxa" w:w="2376"/>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Multicentre DB-RCT protocol only [59]</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Not gradable</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18"/>
                <w:szCs w:val="18"/>
              </w:rPr>
              <w:t xml:space="preserve">Results awaited</w:t>
            </w:r>
          </w:p>
        </w:tc>
      </w:tr>
    </w:tbl>
    <w:p>
      <w:pPr>
        <w:spacing w:after="240" w:before="80" w:line="240"/>
      </w:pPr>
      <w:r>
        <w:rPr>
          <w:rFonts w:ascii="Times New Roman" w:cs="Times New Roman" w:eastAsia="Times New Roman" w:hAnsi="Times New Roman"/>
          <w:b w:val="false"/>
          <w:bCs w:val="false"/>
          <w:i w:val="false"/>
          <w:iCs w:val="false"/>
          <w:sz w:val="18"/>
          <w:szCs w:val="18"/>
        </w:rPr>
        <w:t xml:space="preserve">*Pragmatic grade based on five criteria (ICHD diagnosis, concurrent control, blinding, outcomes aligned with International Headache Society guidance, more than 50 participants per arm): moderate, four or five met; low, two or three; very low, one or none. CGRP, calcitonin gene-related peptide; CoQ10, coenzyme Q10; DB-RCT, double-blind randomised controlled trial; IL-6, interleukin-6; NF-κB, nuclear factor kappa B; NK, natural killer; NO, nitric oxide; NSAIDs, non-steroidal anti-inflammatory drugs; RR, relative risk; TRPA1/TRPV1, transient receptor potential ankyrin 1/vanilloid 1.</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8.1. Classical multimodal protocols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Most clinical reports test packages rather than single interventions. Vaidya et al. offered a 90-day protocol of five Ayurvedic medicines with dietary and lifestyle regulation to 406 patients with migraine without aura; 204 completed it, and headache disappeared entirely in 72 (35.2%) of the completers [53]. Half the cohort was lost. Without a control group the remaining effect cannot be separated from regression to the mean or from the placebo response, which in the preventive trials of Table 1 left 25–40% of placebo recipients as responders [6,35]. Kanakhara and Chaudhari's 15-patient pilot paired weekly dot-type Agnikarma with 40 mL of Pathyadi decoction twice daily for 30 days; the decoction is a Sharangadhara formulation of </w:t>
      </w:r>
      <w:r>
        <w:rPr>
          <w:rFonts w:ascii="Times New Roman" w:cs="Times New Roman" w:eastAsia="Times New Roman" w:hAnsi="Times New Roman"/>
          <w:b w:val="false"/>
          <w:bCs w:val="false"/>
          <w:i/>
          <w:iCs/>
          <w:sz w:val="24"/>
          <w:szCs w:val="24"/>
        </w:rPr>
        <w:t xml:space="preserve">Terminalia chebula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Terminalia bellirica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Phyllanthus emblica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Andrographis paniculata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Curcuma longa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Azadirachta indica</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Tinospora cordifolia</w:t>
      </w:r>
      <w:r>
        <w:rPr>
          <w:rFonts w:ascii="Times New Roman" w:cs="Times New Roman" w:eastAsia="Times New Roman" w:hAnsi="Times New Roman"/>
          <w:b w:val="false"/>
          <w:bCs w:val="false"/>
          <w:i w:val="false"/>
          <w:iCs w:val="false"/>
          <w:sz w:val="24"/>
          <w:szCs w:val="24"/>
        </w:rPr>
        <w:t xml:space="preserve">, and the authors reported relief of headache, photophobia and phonophobia [43]. Neither study blinded assessors. Both are hypothesis-generating at best.</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8.2. Nasya and the nose-to-brain route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Nasya is the Ayurvedic intervention with the clearest modern analogue. Intranasal drugs can reach the brain along olfactory and trigeminal nerve pathways, bypassing the blood–brain barrier in part [54], and the zavegepant phase 3 programme showed that the nasal route can deliver a migraine drug with clinically useful speed [32]. Singh et al. ran one of the few double-blind trials in this literature, randomising 90 patients to 14 days of Vrihatajivakadya oil, six drops per nostril, prepared at two different viscosities; the two groups improved alike, with no adverse events recorded [55]. Classical pharmaceutics grades medicated oils by the degree of cooking: mridu, madhyama or khara paka, which changes viscosity and, in principle, residence time on the mucosa. The design answers that formulation question well. Efficacy is another matter: no inert comparator was used.</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Plausibility should not be confused with delivery. Sesame-oil-based preparations coat the nasal mucosa and clear slowly, delivering their constituents in amounts nobody has measured; no published study has detected a phytoconstituent in cerebrospinal fluid after Nasya. Any analogy with 10 mg of a characterised small molecule is loose. It should stay loose until pharmacokinetic work tightens it.</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8.3. Shirodhara and autonomic state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Shirodhara, the steady pouring of warm medicated oil across the forehead, has a mechanistic literature out of proportion to its clinical one. In a randomised controlled study of 16 healthy women, Uebaba and colleagues found that a single 30-minute session lowered state anxiety and plasma noradrenaline, induced an altered state of consciousness and raised natural killer cell activity [56]. Stress, and more precisely the letdown after stress, is among the commonest migraine triggers, and the premonitory hypothalamic changes described earlier give the idea a target. No randomised trial has yet tested Shirodhara against ICHD-3-defined migraine with monthly migraine days as the outcome. Oil temperature, flow rate, session length and the oil itself also vary from one centre to the next, so even a positive trial would need a protocol others could reproduce.</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8.4. Yoga, with and without Ayurveda</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strongest trial in this whole area is not strictly Ayurvedic at all. In CONTAIN, conducted at the All India Institute of Medical Sciences, New Delhi, 160 patients with episodic migraine were randomised to medical therapy with or without a structured yoga programme; among the 114 who completed three months, yoga reduced monthly headache frequency by a further 3.53 episodes, with parallel gains in intensity, disability and acute medication use [57]. CONTAIN used International Classification of Headache Disorders criteria, randomised allocation and outcomes a neurologist would recognise. Its limits are the familiar ones for behavioural trials: participants could not be blinded, 29% did not finish, and three months says little about durability. Sharma et al. compared 30 patients given Panchakarma followed by yoga therapy for 90 days with 30 who continued NSAIDs alone; pain intensity and headache-related quality of life improved only in the first group [58]. Allocation was not randomised, and the package design leaves open which ingredient did the work.</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field may soon have a larger test. India's Central Council for Research in Ayurvedic Sciences has published the protocol for a multicentre, randomised, double-blind, placebo-controlled trial of the polyherbal formulation Ayush M-3 in migraine [59]. A protocol is a promise, not a result.</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9. Phytopharmacology mapped onto migraine targets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If Ayurvedic botanicals help migraine, they should act somewhere in the cascade described in the first half of this review. For three of them there is at least a candidate site (coriander, the fourth, has none yet), and for ginger there is enough human evidence to argue about (Figure 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Polyherbal decoctions pose a different problem from single extracts. Pathyadi decoction combines seven botanicals [43], and its advocates argue that the combination, not any one constituent, carries the effect. That claim is testable, yet almost never tested. A factorial design, or at minimum a comparison of the whole formulation against its best-characterised component, would show whether the other six ingredients earn their place; until then, arguments built on curcumin or any other single molecule describe what might happen, not what a decoction does.</w:t>
      </w:r>
    </w:p>
    <w:p>
      <w:pPr>
        <w:pStyle w:val="Heading2"/>
        <w:keepNext/>
        <w:spacing w:after="100" w:before="160" w:line="360" w:lineRule="auto"/>
        <w:jc w:val="left"/>
      </w:pPr>
      <w:r>
        <w:rPr>
          <w:rFonts w:ascii="Times New Roman" w:cs="Times New Roman" w:eastAsia="Times New Roman" w:hAnsi="Times New Roman"/>
          <w:b/>
          <w:bCs/>
          <w:i/>
          <w:iCs/>
          <w:sz w:val="24"/>
          <w:szCs w:val="24"/>
        </w:rPr>
        <w:t>9.1. Ginger (Shunthi): acute adjunct, failed preventive</w:t>
      </w:r>
    </w:p>
    <w:p>
      <w:pPr>
        <w:spacing w:after="160" w:before="0" w:line="360" w:lineRule="auto"/>
        <w:jc w:val="both"/>
      </w:pPr>
      <w:r>
        <w:rPr>
          <w:rFonts w:ascii="Times New Roman" w:cs="Times New Roman" w:eastAsia="Times New Roman" w:hAnsi="Times New Roman"/>
          <w:b w:val="false"/>
          <w:bCs w:val="false"/>
          <w:i w:val="false"/>
          <w:iCs w:val="false"/>
          <w:sz w:val="24"/>
          <w:szCs w:val="24"/>
        </w:rPr>
        <w:t>Gingerols, the pungent principles of Zingiber officinale, act as agonists at TRPV1 (formerly VR1), with potency rising as alkyl chain length increases [44]. A TRPV1 agonist for headache sounds backwards. It stops sounding backwards once one recalls that sustained agonism leaves the channel refractory, the principle behind topical capsaicin analgesia, and on trigeminal C fibres, where TRPV1 and CGRP co-localise [27], such desensitisation could in principle blunt CGRP release.</w:t>
      </w:r>
      <w:r>
        <w:rPr>
          <w:rFonts w:ascii="Times New Roman" w:cs="Times New Roman" w:eastAsia="Times New Roman" w:hAnsi="Times New Roman"/>
          <w:b w:val="false"/>
          <w:bCs w:val="false"/>
          <w:i/>
          <w:iCs/>
          <w:sz w:val="24"/>
          <w:szCs w:val="24"/>
        </w:rPr>
      </w:r>
      <w:r>
        <w:rPr>
          <w:rFonts w:ascii="Times New Roman" w:cs="Times New Roman" w:eastAsia="Times New Roman" w:hAnsi="Times New Roman"/>
          <w:b w:val="false"/>
          <w:bCs w:val="false"/>
          <w:i w:val="false"/>
          <w:iCs w:val="false"/>
          <w:sz w:val="24"/>
          <w:szCs w:val="24"/>
        </w:rPr>
      </w:r>
    </w:p>
    <w:p>
      <w:pPr>
        <w:spacing w:after="160" w:before="0" w:line="360" w:lineRule="auto"/>
        <w:jc w:val="both"/>
      </w:pPr>
      <w:r>
        <w:rPr>
          <w:rFonts w:ascii="Times New Roman" w:cs="Times New Roman" w:eastAsia="Times New Roman" w:hAnsi="Times New Roman"/>
          <w:b w:val="false"/>
          <w:bCs w:val="false"/>
          <w:i w:val="false"/>
          <w:iCs w:val="false"/>
          <w:sz w:val="24"/>
          <w:szCs w:val="24"/>
        </w:rPr>
        <w:t>The clinical data split cleanly by indication. Used acutely, ginger powder matched sumatriptan across five consecutive attacks in a double-blind trial of 100 patients, with fewer adverse effects [45], and adding 400 mg of an extract standardised to 5% active ingredient to ketoprofen improved pain relief at 1, 1.5 and 2 h in 60 patients [46]. Pooling three randomised trials returned a relative risk of 1.79 (95% CI 1.04–3.09) for two-hour pain freedom, with a lower bound barely above one [47]. Prophylaxis is another matter. The same Brazilian group randomised 107 patients to 200 mg of extract three times daily or to placebo for three months and found nothing [48]. Ginger is plausibly useful as an acute adjunct. As a preventive it has no support.</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9.2. Turmeric (Haridra): inflammation, oxidative stress and a bioavailability wall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Curcumin, the principal curcuminoid of </w:t>
      </w:r>
      <w:r>
        <w:rPr>
          <w:rFonts w:ascii="Times New Roman" w:cs="Times New Roman" w:eastAsia="Times New Roman" w:hAnsi="Times New Roman"/>
          <w:b w:val="false"/>
          <w:bCs w:val="false"/>
          <w:i/>
          <w:iCs/>
          <w:sz w:val="24"/>
          <w:szCs w:val="24"/>
        </w:rPr>
        <w:t xml:space="preserve">Curcuma longa</w:t>
      </w:r>
      <w:r>
        <w:rPr>
          <w:rFonts w:ascii="Times New Roman" w:cs="Times New Roman" w:eastAsia="Times New Roman" w:hAnsi="Times New Roman"/>
          <w:b w:val="false"/>
          <w:bCs w:val="false"/>
          <w:i w:val="false"/>
          <w:iCs w:val="false"/>
          <w:sz w:val="24"/>
          <w:szCs w:val="24"/>
        </w:rPr>
        <w:t xml:space="preserve"> and a constituent of Pathyadi decoction, suppresses nuclear factor-κB signalling and scavenges reactive oxygen species. In rats given nitroglycerin, a standard human and animal migraine trigger, curcumin pretreatment attenuated hyperalgesia and oxidative-stress markers [49]. In humans, an eight-week trial in which 100 patients were randomised to nano-curcumin, coenzyme Q10, the two combined, or placebo found reduced attack frequency, severity and duration, with the combination performing best [50].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catch is formulation. Native curcumin is poorly absorbed and rapidly conjugated, so a nano-formulation result says little about traditional preparations of turmeric rhizome, still less about a decoction in which curcumin is one constituent among many.</w:t>
      </w:r>
    </w:p>
    <w:p>
      <w:pPr>
        <w:pStyle w:val="Heading2"/>
        <w:keepNext/>
        <w:spacing w:after="100" w:before="160" w:line="360" w:lineRule="auto"/>
        <w:jc w:val="left"/>
      </w:pPr>
      <w:r>
        <w:rPr>
          <w:rFonts w:ascii="Times New Roman" w:cs="Times New Roman" w:eastAsia="Times New Roman" w:hAnsi="Times New Roman"/>
          <w:b/>
          <w:bCs/>
          <w:i/>
          <w:iCs/>
          <w:sz w:val="24"/>
          <w:szCs w:val="24"/>
        </w:rPr>
        <w:t xml:space="preserve">9.3. Coriander (Dhanyaka) and cinnamon (Tvak)</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Both spices come from the Persian rather than the Ayurvedic trial literature, although both appear throughout Ayurvedic pharmacopoeias. In a triple-blind trial, 68 patients taking sodium valproate 500 mg daily were randomised to 15 mL of </w:t>
      </w:r>
      <w:r>
        <w:rPr>
          <w:rFonts w:ascii="Times New Roman" w:cs="Times New Roman" w:eastAsia="Times New Roman" w:hAnsi="Times New Roman"/>
          <w:b w:val="false"/>
          <w:bCs w:val="false"/>
          <w:i/>
          <w:iCs/>
          <w:sz w:val="24"/>
          <w:szCs w:val="24"/>
        </w:rPr>
        <w:t xml:space="preserve">Coriandrum sativum</w:t>
      </w:r>
      <w:r>
        <w:rPr>
          <w:rFonts w:ascii="Times New Roman" w:cs="Times New Roman" w:eastAsia="Times New Roman" w:hAnsi="Times New Roman"/>
          <w:b w:val="false"/>
          <w:bCs w:val="false"/>
          <w:i w:val="false"/>
          <w:iCs w:val="false"/>
          <w:sz w:val="24"/>
          <w:szCs w:val="24"/>
        </w:rPr>
        <w:t xml:space="preserve"> fruit syrup or placebo syrup three times a day for a month; attack frequency fell by about half and duration by 5.7 h [51]. In 50 patients, cinnamon powder (600 mg three times daily for two months) reduced attack frequency, severity and duration and lowered serum interleukin-6 and nitric oxide [52]. Nitric oxide is not a trivial marker here; nitroglycerin, a nitric oxide donor, is the prototypical experimental migraine trigger [49]. Each trial was small and single-centre. Neither measured CGRP.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Cinnamon carries its own tension. Cinnamaldehyde, the dominant volatile of cinnamon bark, activates TRPA1, the same channel through which umbellulone provokes headache [27]. Perhaps oral dosing never delivers trigeminal concentrations; perhaps desensitisation outweighs activation, as argued above for ginger at TRPV1; perhaps the benefit runs through an unrelated anti-inflammatory route. Zareie's trial cannot tell these apart.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That last gap runs through the whole literature. We found no adequately powered human study showing that any Ayurvedic botanical lowers circulating CGRP or PACAP in migraine, and none enrolling patients who had failed CGRP-targeted therapy.</w:t>
      </w:r>
    </w:p>
    <w:p>
      <w:pPr>
        <w:spacing w:after="0" w:before="120"/>
      </w:pPr>
      <w:r>
        <w:rPr>
          <w:rFonts w:ascii="Times New Roman" w:cs="Times New Roman" w:eastAsia="Times New Roman" w:hAnsi="Times New Roman"/>
          <w:b w:val="false"/>
          <w:bCs w:val="false"/>
          <w:i w:val="false"/>
          <w:iCs w:val="false"/>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4F6F7" w:color="auto" w:val="clear"/>
            <w:tcMar>
              <w:top w:type="dxa" w:w="120"/>
              <w:left w:type="dxa" w:w="160"/>
              <w:bottom w:type="dxa" w:w="120"/>
              <w:right w:type="dxa" w:w="160"/>
            </w:tcMar>
          </w:tcPr>
          <w:p>
            <w:pPr>
              <w:spacing w:after="600" w:before="600" w:line="240"/>
              <w:jc w:val="center"/>
            </w:pPr>
            <w:r>
              <w:rPr>
                <w:rFonts w:ascii="Times New Roman" w:cs="Times New Roman" w:eastAsia="Times New Roman" w:hAnsi="Times New Roman"/>
                <w:b/>
                <w:bCs/>
                <w:i w:val="false"/>
                <w:iCs w:val="false"/>
                <w:color w:val="555555"/>
                <w:sz w:val="22"/>
                <w:szCs w:val="22"/>
              </w:rPr>
              <w:t xml:space="preserve">[ Insert Figure 2 here ]</w:t>
            </w:r>
          </w:p>
        </w:tc>
      </w:tr>
    </w:tbl>
    <w:p>
      <w:pPr>
        <w:spacing w:after="60" w:before="120" w:line="360" w:lineRule="auto"/>
        <w:jc w:val="left"/>
      </w:pPr>
      <w:r>
        <w:rPr>
          <w:rFonts w:ascii="Times New Roman" w:cs="Times New Roman" w:eastAsia="Times New Roman" w:hAnsi="Times New Roman"/>
          <w:b/>
          <w:bCs/>
          <w:i w:val="false"/>
          <w:iCs w:val="false"/>
          <w:sz w:val="22"/>
          <w:szCs w:val="22"/>
        </w:rPr>
        <w:t xml:space="preserve">Figure 2. Heuristic correspondence between the classical pathogenesis of Ardhavabhedaka and the biomedical model of migraine, with Ayurvedic interventions mapped to candidate targets</w:t>
      </w:r>
    </w:p>
    <w:p>
      <w:pPr>
        <w:spacing w:after="160" w:line="276"/>
        <w:jc w:val="both"/>
      </w:pPr>
      <w:r>
        <w:rPr>
          <w:rFonts w:ascii="Times New Roman" w:cs="Times New Roman" w:eastAsia="Times New Roman" w:hAnsi="Times New Roman"/>
          <w:b w:val="false"/>
          <w:bCs w:val="false"/>
          <w:i w:val="false"/>
          <w:iCs w:val="false"/>
          <w:sz w:val="20"/>
          <w:szCs w:val="20"/>
        </w:rPr>
        <w:t xml:space="preserve">Left: classical causative factors (Nidana), dosha aggravation and localisation described for Ardhavabhedaka. Right: the corresponding biomedical sequence of triggers, hypothalamic state change and trigeminovascular activation. Dashed arrows indicate correspondence, not equivalence. Bottom: interventions linked to proposed targets, with border colour showing the strength of human evidence (green, moderate; amber, low; red, very low or indirect; grey, protocol only). Rasa shastra products require heavy-metal testing before clinical use.</w:t>
      </w:r>
    </w:p>
    <w:p>
      <w:pPr>
        <w:spacing w:after="200" w:before="0"/>
      </w:pPr>
      <w:r>
        <w:rPr>
          <w:rFonts w:ascii="Times New Roman" w:cs="Times New Roman" w:eastAsia="Times New Roman" w:hAnsi="Times New Roman"/>
          <w:b w:val="false"/>
          <w:bCs w:val="false"/>
          <w:i w:val="false"/>
          <w:iCs w:val="false"/>
          <w:sz w:val="8"/>
          <w:szCs w:val="8"/>
        </w:rPr>
        <w:t xml:space="preserve"> </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10. Integrative practice: what can reasonably be said today</w:t>
      </w:r>
    </w:p>
    <w:p>
      <w:pPr>
        <w:spacing w:after="160" w:before="0" w:line="360" w:lineRule="auto"/>
        <w:jc w:val="both"/>
      </w:pPr>
      <w:r>
        <w:rPr>
          <w:rFonts w:ascii="Times New Roman" w:cs="Times New Roman" w:eastAsia="Times New Roman" w:hAnsi="Times New Roman"/>
          <w:b w:val="false"/>
          <w:bCs w:val="false"/>
          <w:i w:val="false"/>
          <w:iCs w:val="false"/>
          <w:sz w:val="24"/>
          <w:szCs w:val="24"/>
        </w:rPr>
        <w:t>Patients will not wait for better trials. Many already combine Ayurvedic remedies with conventional drugs, which leaves the clinician needing something to say now, and yoga taught by trained instructors and added to standard care has randomised evidence behind it with few risks [57]. Ginger taken early in an attack is a reasonable adjunct for patients who want a non-drug option or cannot use triptans, provided expectations stay modest [45,47]. As a daily preventive it has already failed [48].</w:t>
      </w:r>
    </w:p>
    <w:p>
      <w:pPr>
        <w:spacing w:after="160" w:before="0" w:line="360" w:lineRule="auto"/>
        <w:jc w:val="both"/>
      </w:pPr>
      <w:r>
        <w:rPr>
          <w:rFonts w:ascii="Times New Roman" w:cs="Times New Roman" w:eastAsia="Times New Roman" w:hAnsi="Times New Roman"/>
          <w:b w:val="false"/>
          <w:bCs w:val="false"/>
          <w:i w:val="false"/>
          <w:iCs w:val="false"/>
          <w:sz w:val="24"/>
          <w:szCs w:val="24"/>
        </w:rPr>
        <w:t>Turmeric, coriander and cinnamon leave agnosticism as the only defensible position. Small positive trials, plausible mechanisms, no replication. Nasya and Shirodhara performed by trained practitioners appear safe in the limited reports available, and they remain unproven, so neither should displace a preventive that is already working.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Two cautions apply whatever else is decided. Products should come from manufacturers who test every batch for heavy metals, rasa shastra preparations above all [60]. Patients juggling several acute remedies, herbal or otherwise, should be asked how many days a month they treat anything, because the frequent acute use that defines medication overuse seldom begins with a single drug [40]. One question is usually enough. Asking without judgement which Ayurvedic or herbal products a patient takes is the cheapest safety measure available, and it catches contaminated preparations, duplicated analgesics and quietly abandoned preventives before any of them does harm.</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11. Where the evidence fails, and what would fix it</w:t>
      </w:r>
    </w:p>
    <w:p>
      <w:pPr>
        <w:spacing w:after="160" w:before="0" w:line="360" w:lineRule="auto"/>
        <w:jc w:val="both"/>
      </w:pPr>
      <w:r>
        <w:rPr>
          <w:rFonts w:ascii="Times New Roman" w:cs="Times New Roman" w:eastAsia="Times New Roman" w:hAnsi="Times New Roman"/>
          <w:b w:val="false"/>
          <w:bCs w:val="false"/>
          <w:i w:val="false"/>
          <w:iCs w:val="false"/>
          <w:sz w:val="24"/>
          <w:szCs w:val="24"/>
        </w:rPr>
        <w:t>Where does this evidence fail most often? Diagnosis, first of all. Many Ayurvedic trials enrol by classical description alone, so their populations mix migraine with other primary and secondary headaches. Outcomes come second. Composite symptom scores devised for a single study cannot be set against monthly migraine days or two-hour pain freedom, the outcomes International Headache Society guidance and every registration trial in Table 1 rely on. Blinding is third, and here the problem is structural rather than careless. Nasya, Shirodhara, Agnikarma and yoga cannot be delivered blind, and in a condition where a quarter or more of placebo recipients respond, an unblinded trial of a sensory-rich procedure will almost always look positive.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Standardisation is the fourth weakness. Few studies report marker compounds (gingerols, curcuminoids, andrographolide), extraction ratios or batch testing, which makes replication impossible. Safety is not a formality either: when Saper et al. analysed Ayurvedic products sold online, 20.7% contained detectable lead, mercury or arsenic, with rasa shastra preparations the worst offenders [60]. Herb-drug interactions with antiepileptic, beta-blocking or antidepressant preventives remain almost entirely unstudied. Several migraine studies in this literature state that no adverse events occurred, a phrase that more often reflects the absence of systematic collection than the absence of harm. Prespecified adverse-event forms, liver and renal panels for multi-month botanical exposure, and heavy-metal testing of the trial batch should be routine.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What follows is a concrete agenda. Trials should enrol patients diagnosed by ICHD-3, report monthly migraine days and acute-medication days, and screen for medication overuse before randomisation [13,40]. Standardised ginger belongs in acute-treatment trials, ideally in the prodromal window that PRODROME has shown to be pharmacologically accessible [18], while curcumin and cinnamon belong in add-on preventive trials. Which population would be most informative? The one CGRP drugs serve worst: partial responders after three months of an antibody, randomised to add-on botanical or matched placebo. Such a design tests a biologically coherent hypothesis, namely that oxidative, inflammatory or TRP-mediated routes independent of CGRP sustain residual attacks [25,27]. Patients would also get an answer to the question they actually ask.</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Sample sizes need the same discipline. With a between-patient standard deviation of about three monthly migraine days, typical of the trials in Table 1, detecting a difference of one and a half days with 80% power at a two-sided alpha of 0.05 requires roughly 64 completers per arm, and allowing for 20% attrition pushes enrolment toward 80 per arm. Almost no Ayurvedic migraine trial has come near that size. Stratifying randomisation by prakriti would let investigators test the tradition's own claim that constitution predicts response, a hypothesis that is at least falsifiable, and one the gepant programmes never had reason to ask.</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Human provocation models offer a faster test than any of these. CGRP, PACAP38 and levcromakalim each provoke attacks on a predictable timetable [8,22,24], and the 2025 PACAP38 trial showed that a pretreatment design can isolate a single pathway [25]. Pretreating patients with standardised ginger or curcumin before a PACAP38 or levcromakalim infusion would show within weeks whether either botanical blunts a CGRP-independent route. An open-label decoction trial cannot deliver that answer in years.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Procedural therapies need a different architecture: sham-controlled Nasya using an inert oil of matched viscosity, and attention-matched controls for Shirodhara and yoga. Whole-system Ayurvedic care, individualised by prakriti and dosha assessment, deserves pragmatic trials of its own rather than being forced into single-agent designs that strip it of its logic.</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Prospective registration with the Clinical Trials Registry–India, with the primary outcome fixed before the first patient is enrolled, would also lift the suspicion of selective reporting that hangs over much of this literature. None of this is exotic methodology. Gepant programmes did exactly this, and the bar should not be lower because the intervention is older.</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12. Conclusions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Migraine now looks like a cyclical disorder of brain state. It begins in the hypothalamus hours before pain and reaches the trigeminovascular system through several peptide channels; CGRP is the best characterised of these, not the only one. CGRP-targeted drugs are better tolerated, and far better persisted with, than anything before them. They are not more powerful. Roughly half of patients remain inadequately served, particularly those with chronic migraine, medication overuse, or attacks driven by PACAP, amylin or KATP signalling.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Ayurveda describes Ardhavabhedaka with real clinical acuity, and several of its interventions have plausible targets in this biology: TRPV1 for ginger, nuclear factor-κB and oxidative stress for curcumin, nasal access to trigeminal pathways for Nasya, autonomic state for Shirodhara and yoga. Only yoga and acute ginger rest on reasonable human evidence.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rest are hypotheses. Test them properly (ICHD-3 diagnosis, standard outcomes, blinding wherever it is feasible, batch-tested products) and test them in the patients modern pharmacology is leaving behind, before anyone recommends them to those patients.</w:t>
      </w:r>
    </w:p>
    <w:p>
      <w:pPr>
        <w:pStyle w:val="Heading1"/>
        <w:keepNext/>
        <w:spacing w:after="120" w:before="280" w:line="360" w:lineRule="auto"/>
        <w:jc w:val="left"/>
      </w:pPr>
      <w:r>
        <w:rPr>
          <w:rFonts w:ascii="Times New Roman" w:cs="Times New Roman" w:eastAsia="Times New Roman" w:hAnsi="Times New Roman"/>
          <w:b/>
          <w:bCs/>
          <w:i w:val="false"/>
          <w:iCs w:val="false"/>
          <w:sz w:val="26"/>
          <w:szCs w:val="26"/>
        </w:rPr>
        <w:t xml:space="preserve">Declarations</w:t>
      </w:r>
    </w:p>
    <w:p>
      <w:pPr>
        <w:spacing w:after="80" w:before="0" w:line="360" w:lineRule="auto"/>
        <w:jc w:val="both"/>
      </w:pPr>
      <w:r>
        <w:rPr>
          <w:rFonts w:ascii="Times New Roman" w:cs="Times New Roman" w:eastAsia="Times New Roman" w:hAnsi="Times New Roman"/>
          <w:b/>
          <w:bCs/>
          <w:i w:val="false"/>
          <w:iCs w:val="false"/>
          <w:sz w:val="24"/>
          <w:szCs w:val="24"/>
        </w:rPr>
        <w:t xml:space="preserve">Funding: </w:t>
      </w:r>
      <w:r>
        <w:rPr>
          <w:rFonts w:ascii="Times New Roman" w:cs="Times New Roman" w:eastAsia="Times New Roman" w:hAnsi="Times New Roman"/>
          <w:b w:val="false"/>
          <w:bCs w:val="false"/>
          <w:i w:val="false"/>
          <w:iCs w:val="false"/>
          <w:sz w:val="24"/>
          <w:szCs w:val="24"/>
        </w:rPr>
        <w:t xml:space="preserve">[None / specify].</w:t>
      </w:r>
    </w:p>
    <w:p>
      <w:pPr>
        <w:spacing w:after="80" w:before="0" w:line="360" w:lineRule="auto"/>
        <w:jc w:val="both"/>
      </w:pPr>
      <w:r>
        <w:rPr>
          <w:rFonts w:ascii="Times New Roman" w:cs="Times New Roman" w:eastAsia="Times New Roman" w:hAnsi="Times New Roman"/>
          <w:b/>
          <w:bCs/>
          <w:i w:val="false"/>
          <w:iCs w:val="false"/>
          <w:sz w:val="24"/>
          <w:szCs w:val="24"/>
        </w:rPr>
        <w:t xml:space="preserve">Conflicts of interest: </w:t>
      </w:r>
      <w:r>
        <w:rPr>
          <w:rFonts w:ascii="Times New Roman" w:cs="Times New Roman" w:eastAsia="Times New Roman" w:hAnsi="Times New Roman"/>
          <w:b w:val="false"/>
          <w:bCs w:val="false"/>
          <w:i w:val="false"/>
          <w:iCs w:val="false"/>
          <w:sz w:val="24"/>
          <w:szCs w:val="24"/>
        </w:rPr>
        <w:t xml:space="preserve">[The authors declare no conflicts of interest / specify].</w:t>
      </w:r>
    </w:p>
    <w:p>
      <w:pPr>
        <w:spacing w:after="80" w:before="0" w:line="360" w:lineRule="auto"/>
        <w:jc w:val="both"/>
      </w:pPr>
      <w:r>
        <w:rPr>
          <w:rFonts w:ascii="Times New Roman" w:cs="Times New Roman" w:eastAsia="Times New Roman" w:hAnsi="Times New Roman"/>
          <w:b/>
          <w:bCs/>
          <w:i w:val="false"/>
          <w:iCs w:val="false"/>
          <w:sz w:val="24"/>
          <w:szCs w:val="24"/>
        </w:rPr>
        <w:t xml:space="preserve">Author contributions: </w:t>
      </w:r>
      <w:r>
        <w:rPr>
          <w:rFonts w:ascii="Times New Roman" w:cs="Times New Roman" w:eastAsia="Times New Roman" w:hAnsi="Times New Roman"/>
          <w:b w:val="false"/>
          <w:bCs w:val="false"/>
          <w:i w:val="false"/>
          <w:iCs w:val="false"/>
          <w:sz w:val="24"/>
          <w:szCs w:val="24"/>
        </w:rPr>
        <w:t xml:space="preserve">[Conceptualisation, literature search, writing and critical revision, per CRediT taxonomy].</w:t>
      </w:r>
    </w:p>
    <w:p>
      <w:pPr>
        <w:spacing w:after="80" w:before="0" w:line="360" w:lineRule="auto"/>
        <w:jc w:val="both"/>
      </w:pPr>
      <w:r>
        <w:rPr>
          <w:rFonts w:ascii="Times New Roman" w:cs="Times New Roman" w:eastAsia="Times New Roman" w:hAnsi="Times New Roman"/>
          <w:b/>
          <w:bCs/>
          <w:i w:val="false"/>
          <w:iCs w:val="false"/>
          <w:sz w:val="24"/>
          <w:szCs w:val="24"/>
        </w:rPr>
        <w:t xml:space="preserve">Data availability: </w:t>
      </w:r>
      <w:r>
        <w:rPr>
          <w:rFonts w:ascii="Times New Roman" w:cs="Times New Roman" w:eastAsia="Times New Roman" w:hAnsi="Times New Roman"/>
          <w:b w:val="false"/>
          <w:bCs w:val="false"/>
          <w:i w:val="false"/>
          <w:iCs w:val="false"/>
          <w:sz w:val="24"/>
          <w:szCs w:val="24"/>
        </w:rPr>
        <w:t xml:space="preserve">Not applicable; no new data were generated.</w:t>
      </w:r>
    </w:p>
    <w:p>
      <w:pPr>
        <w:spacing w:after="80" w:before="0" w:line="360" w:lineRule="auto"/>
        <w:jc w:val="both"/>
      </w:pPr>
      <w:r>
        <w:rPr>
          <w:rFonts w:ascii="Times New Roman" w:cs="Times New Roman" w:eastAsia="Times New Roman" w:hAnsi="Times New Roman"/>
          <w:b/>
          <w:bCs/>
          <w:i w:val="false"/>
          <w:iCs w:val="false"/>
          <w:sz w:val="24"/>
          <w:szCs w:val="24"/>
        </w:rPr>
        <w:t xml:space="preserve">Use of generative AI tools: </w:t>
      </w:r>
      <w:r>
        <w:rPr>
          <w:rFonts w:ascii="Times New Roman" w:cs="Times New Roman" w:eastAsia="Times New Roman" w:hAnsi="Times New Roman"/>
          <w:b w:val="false"/>
          <w:bCs w:val="false"/>
          <w:i w:val="false"/>
          <w:iCs w:val="false"/>
          <w:sz w:val="24"/>
          <w:szCs w:val="24"/>
        </w:rPr>
        <w:t xml:space="preserve">[Complete as required by the target journal's policy].</w:t>
      </w:r>
    </w:p>
    <w:p>
      <w:pPr>
        <w:pStyle w:val="Heading1"/>
        <w:spacing w:after="120" w:before="320" w:line="360" w:lineRule="auto"/>
        <w:jc w:val="left"/>
      </w:pPr>
      <w:r>
        <w:rPr>
          <w:rFonts w:ascii="Times New Roman" w:cs="Times New Roman" w:eastAsia="Times New Roman" w:hAnsi="Times New Roman"/>
          <w:b/>
          <w:bCs/>
          <w:i w:val="false"/>
          <w:iCs w:val="false"/>
          <w:sz w:val="26"/>
          <w:szCs w:val="26"/>
        </w:rPr>
        <w:t xml:space="preserve">References</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Steinmetz JD, Seeher KM, Schiess N, Nichols E, Cao B, Servili C, et al. Global, regional, and national burden of disorders affecting the nervous system, 1990-2021: a systematic analysis for the Global Burden of Disease Study 2021. Lancet Neurol. 2024;23(4):344-81. doi:10.1016/S1474-4422(24)00038-3</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Ashina M, Katsarava Z, Do TP, Buse DC, Pozo-Rosich P, Özge A, et al. Migraine: epidemiology and systems of care. Lancet. 2021;397(10283):1485-95. doi:10.1016/S0140-6736(20)32160-7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Rao GN, Kulkarni GB, Gururaj G, Stovner LJ, Steiner TJ. The burden attributable to headache disorders in India: estimates from a community-based study in Karnataka State. J Headache Pain. 2015;16:94. doi:10.1186/s10194-015-0574-9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Edvinsson L, Haanes KA, Warfvinge K, Krause DN. CGRP as the target of new migraine therapies - successful translation from bench to clinic. Nat Rev Neurol. 2018;14(6):338-50. doi:10.1038/s41582-018-0003-1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Charles AC, Digre KB, Goadsby PJ, Robbins MS, Hershey A; American Headache Society. Calcitonin gene-related peptide-targeting therapies are a first-line option for the prevention of migraine: An American Headache Society position statement update. Headache. 2024;64(4):333-41. doi:10.1111/head.14692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Goadsby PJ, Reuter U, Hallström Y, Broessner G, Bonner JH, Zhang F, et al. A controlled trial of erenumab for episodic migraine. N Engl J Med. 2017;377(22):2123-32. doi:10.1056/NEJMoa1705848</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Reuter U, Goadsby PJ, Lanteri-Minet M, Wen S, Hours-Zesiger P, Ferrari MD, et al. Efficacy and tolerability of erenumab in patients with episodic migraine in whom two-to-four previous preventive treatments were unsuccessful: a randomised, double-blind, placebo-controlled, phase 3b study. Lancet. 2018;392(10161):2280-7. doi:10.1016/S0140-6736(18)32534-0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Al-Karagholi MA, Hansen JM, Guo S, Olesen J, Ashina M. Opening of ATP-sensitive potassium channels causes migraine attacks: a new target for the treatment of migraine. Brain. 2019;142(9):2644-54. doi:10.1093/brain/awz199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Ghanizada H, Al-Karagholi MA, Walker CS, Arngrim N, Rees T, Petersen J, et al. Amylin analog pramlintide induces migraine-like attacks in patients. Ann Neurol. 2021;89(6):1157-71. doi:10.1002/ana.26072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Ashina M, Phul R, Khodaie M, Löf E, Florea I. A monoclonal antibody to PACAP for migraine prevention. N Engl J Med. 2024;391(9):800-9. doi:10.1056/NEJMoa2314577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Sharma RK, Dash B, translators. Agnivesa's Caraka Samhita: text with English translation and critical exposition based on Cakrapani Datta's Ayurveda Dipika. Vol. 6 (Siddhi Sthana, chapter 9: Trimarmiya Siddhi). Varanasi: Chowkhamba Sanskrit Series Office; 2009.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Sharma PV, editor and translator. Susruta Samhita with English translation of text and Dalhana's commentary. Vol. 3 (Uttara Tantra, chapters 25-26). Varanasi: Chaukhambha Visvabharati; 2010.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Headache Classification Committee of the International Headache Society (IHS). The International Classification of Headache Disorders, 3rd edition. Cephalalgia. 2018;38(1):1-211. doi:10.1177/0333102417738202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val="false"/>
          <w:bCs w:val="false"/>
          <w:i w:val="false"/>
          <w:iCs w:val="false"/>
          <w:sz w:val="22"/>
          <w:szCs w:val="22"/>
        </w:rPr>
        <w:t xml:space="preserve">Soman A, Venkatram S, Chikkanna U, Ramakrishna KK, Bhargav H, Mailankody P, et al. Ayurveda for management of migraine: a narrative review of clinical evidence. J Family Med Prim Care. 2022;11(8):4228-35. doi:10.4103/jfmpc.jfmpc_2109_21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15.	</w:t>
      </w:r>
      <w:r>
        <w:rPr>
          <w:rFonts w:ascii="Times New Roman" w:cs="Times New Roman" w:eastAsia="Times New Roman" w:hAnsi="Times New Roman"/>
          <w:b w:val="false"/>
          <w:bCs w:val="false"/>
          <w:i w:val="false"/>
          <w:iCs w:val="false"/>
          <w:sz w:val="22"/>
          <w:szCs w:val="22"/>
        </w:rPr>
        <w:t xml:space="preserve">Goadsby PJ, Holland PR, Martins-Oliveira M, Hoffmann J, Schankin C, Akerman S. Pathophysiology of migraine: a disorder of sensory processing. Physiol Rev. 2017;97(2):553-622. doi:10.1152/physrev.00034.2015</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16.	</w:t>
      </w:r>
      <w:r>
        <w:rPr>
          <w:rFonts w:ascii="Times New Roman" w:cs="Times New Roman" w:eastAsia="Times New Roman" w:hAnsi="Times New Roman"/>
          <w:b w:val="false"/>
          <w:bCs w:val="false"/>
          <w:i w:val="false"/>
          <w:iCs w:val="false"/>
          <w:sz w:val="22"/>
          <w:szCs w:val="22"/>
        </w:rPr>
        <w:t xml:space="preserve">Ferrari MD, Goadsby PJ, Burstein R, Kurth T, Ayata C, Charles A, et al. Migraine. Nat Rev Dis Primers. 2022;8(1):2. doi:10.1038/s41572-021-00328-4</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17.	</w:t>
      </w:r>
      <w:r>
        <w:rPr>
          <w:rFonts w:ascii="Times New Roman" w:cs="Times New Roman" w:eastAsia="Times New Roman" w:hAnsi="Times New Roman"/>
          <w:b w:val="false"/>
          <w:bCs w:val="false"/>
          <w:i w:val="false"/>
          <w:iCs w:val="false"/>
          <w:sz w:val="22"/>
          <w:szCs w:val="22"/>
        </w:rPr>
        <w:t xml:space="preserve">Schulte LH, May A. The migraine generator revisited: continuous scanning of the migraine cycle over 30 days and three spontaneous attacks. Brain. 2016;139(Pt 7):1987-93. doi:10.1093/brain/aww097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18.	</w:t>
      </w:r>
      <w:r>
        <w:rPr>
          <w:rFonts w:ascii="Times New Roman" w:cs="Times New Roman" w:eastAsia="Times New Roman" w:hAnsi="Times New Roman"/>
          <w:b w:val="false"/>
          <w:bCs w:val="false"/>
          <w:i w:val="false"/>
          <w:iCs w:val="false"/>
          <w:sz w:val="22"/>
          <w:szCs w:val="22"/>
        </w:rPr>
        <w:t xml:space="preserve">Dodick DW, Goadsby PJ, Schwedt TJ, Lipton RB, Liu C, Lu K, et al. Ubrogepant for the treatment of migraine attacks during the prodrome: a phase 3, multicentre, randomised, double-blind, placebo-controlled, crossover trial in the USA. Lancet. 2023;402(10419):2307-16. doi:10.1016/S0140-6736(23)01683-5</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19.	</w:t>
      </w:r>
      <w:r>
        <w:rPr>
          <w:rFonts w:ascii="Times New Roman" w:cs="Times New Roman" w:eastAsia="Times New Roman" w:hAnsi="Times New Roman"/>
          <w:b w:val="false"/>
          <w:bCs w:val="false"/>
          <w:i w:val="false"/>
          <w:iCs w:val="false"/>
          <w:sz w:val="22"/>
          <w:szCs w:val="22"/>
        </w:rPr>
        <w:t xml:space="preserve">Karatas H, Erdener SE, Gursoy-Ozdemir Y, Lule S, Eren-Koçak E, Sen ZD, et al. Spreading depression triggers headache by activating neuronal Panx1 channels. Science. 2013;339(6123):1092-5. doi:10.1126/science.1231897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20.	</w:t>
      </w:r>
      <w:r>
        <w:rPr>
          <w:rFonts w:ascii="Times New Roman" w:cs="Times New Roman" w:eastAsia="Times New Roman" w:hAnsi="Times New Roman"/>
          <w:b w:val="false"/>
          <w:bCs w:val="false"/>
          <w:i w:val="false"/>
          <w:iCs w:val="false"/>
          <w:sz w:val="22"/>
          <w:szCs w:val="22"/>
        </w:rPr>
        <w:t xml:space="preserve">Kaag Rasmussen M, Møllgård K, Bork PAR, Weikop P, Esmail T, Drici L, et al. Trigeminal ganglion neurons are directly activated by influx of CSF solutes in a migraine model. Science. 2024;385(6704):80-6. doi:10.1126/science.adl0544</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21.	</w:t>
      </w:r>
      <w:r>
        <w:rPr>
          <w:rFonts w:ascii="Times New Roman" w:cs="Times New Roman" w:eastAsia="Times New Roman" w:hAnsi="Times New Roman"/>
          <w:b w:val="false"/>
          <w:bCs w:val="false"/>
          <w:i w:val="false"/>
          <w:iCs w:val="false"/>
          <w:sz w:val="22"/>
          <w:szCs w:val="22"/>
        </w:rPr>
        <w:t xml:space="preserve">Ashina M, Hansen JM, Do TP, Melo-Carrillo A, Burstein R, Moskowitz MA. Migraine and the trigeminovascular system-40 years and counting. Lancet Neurol. 2019;18(8):795-804. doi:10.1016/S1474-4422(19)30185-1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22.	</w:t>
      </w:r>
      <w:r>
        <w:rPr>
          <w:rFonts w:ascii="Times New Roman" w:cs="Times New Roman" w:eastAsia="Times New Roman" w:hAnsi="Times New Roman"/>
          <w:b w:val="false"/>
          <w:bCs w:val="false"/>
          <w:i w:val="false"/>
          <w:iCs w:val="false"/>
          <w:sz w:val="22"/>
          <w:szCs w:val="22"/>
        </w:rPr>
        <w:t xml:space="preserve">Lassen LH, Haderslev PA, Jacobsen VB, Iversen HK, Sperling B, Olesen J. CGRP may play a causative role in migraine. Cephalalgia. 2002;22(1):54-61. doi:10.1046/j.1468-2982.2002.00310.x</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23.	</w:t>
      </w:r>
      <w:r>
        <w:rPr>
          <w:rFonts w:ascii="Times New Roman" w:cs="Times New Roman" w:eastAsia="Times New Roman" w:hAnsi="Times New Roman"/>
          <w:b w:val="false"/>
          <w:bCs w:val="false"/>
          <w:i w:val="false"/>
          <w:iCs w:val="false"/>
          <w:sz w:val="22"/>
          <w:szCs w:val="22"/>
        </w:rPr>
        <w:t xml:space="preserve">Silberstein SD, Dodick DW, Bigal ME, Yeung PP, Goadsby PJ, Blankenbiller T, et al. Fremanezumab for the preventive treatment of chronic migraine. N Engl J Med. 2017;377(22):2113-22. doi:10.1056/NEJMoa1709038</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24.	</w:t>
      </w:r>
      <w:r>
        <w:rPr>
          <w:rFonts w:ascii="Times New Roman" w:cs="Times New Roman" w:eastAsia="Times New Roman" w:hAnsi="Times New Roman"/>
          <w:b w:val="false"/>
          <w:bCs w:val="false"/>
          <w:i w:val="false"/>
          <w:iCs w:val="false"/>
          <w:sz w:val="22"/>
          <w:szCs w:val="22"/>
        </w:rPr>
        <w:t xml:space="preserve">Schytz HW, Birk S, Wienecke T, Kruuse C, Olesen J, Ashina M. PACAP38 induces migraine-like attacks in patients with migraine without aura. Brain. 2009;132(Pt 1):16-25. doi:10.1093/brain/awn307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25.	</w:t>
      </w:r>
      <w:r>
        <w:rPr>
          <w:rFonts w:ascii="Times New Roman" w:cs="Times New Roman" w:eastAsia="Times New Roman" w:hAnsi="Times New Roman"/>
          <w:b w:val="false"/>
          <w:bCs w:val="false"/>
          <w:i w:val="false"/>
          <w:iCs w:val="false"/>
          <w:sz w:val="22"/>
          <w:szCs w:val="22"/>
        </w:rPr>
        <w:t xml:space="preserve">Al-Karagholi MA, Zhuang ZA, Beich S, Ashina H, Ashina M. PACAP38-induced migraine attacks are independent of CGRP signaling: a randomized controlled trial. J Headache Pain. 2025;26(1):79. doi:10.1186/s10194-025-02022-2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26.	</w:t>
      </w:r>
      <w:r>
        <w:rPr>
          <w:rFonts w:ascii="Times New Roman" w:cs="Times New Roman" w:eastAsia="Times New Roman" w:hAnsi="Times New Roman"/>
          <w:b w:val="false"/>
          <w:bCs w:val="false"/>
          <w:i w:val="false"/>
          <w:iCs w:val="false"/>
          <w:sz w:val="22"/>
          <w:szCs w:val="22"/>
        </w:rPr>
        <w:t xml:space="preserve">Hautakangas H, Winsvold BS, Ruotsalainen SE, Bjornsdottir G, Harder AVE, Kogelman LJA, et al. Genome-wide analysis of 102,084 migraine cases identifies 123 risk loci and subtype-specific risk alleles. Nat Genet. 2022;54(2):152-60. doi:10.1038/s41588-021-00990-0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27.	</w:t>
      </w:r>
      <w:r>
        <w:rPr>
          <w:rFonts w:ascii="Times New Roman" w:cs="Times New Roman" w:eastAsia="Times New Roman" w:hAnsi="Times New Roman"/>
          <w:b w:val="false"/>
          <w:bCs w:val="false"/>
          <w:i w:val="false"/>
          <w:iCs w:val="false"/>
          <w:sz w:val="22"/>
          <w:szCs w:val="22"/>
        </w:rPr>
        <w:t xml:space="preserve">Iannone LF, De Logu F, Geppetti P, De Cesaris F. The role of TRP ion channels in migraine and headache. Neurosci Lett. 2022;768:136380. doi:10.1016/j.neulet.2021.136380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28.	</w:t>
      </w:r>
      <w:r>
        <w:rPr>
          <w:rFonts w:ascii="Times New Roman" w:cs="Times New Roman" w:eastAsia="Times New Roman" w:hAnsi="Times New Roman"/>
          <w:b w:val="false"/>
          <w:bCs w:val="false"/>
          <w:i w:val="false"/>
          <w:iCs w:val="false"/>
          <w:sz w:val="22"/>
          <w:szCs w:val="22"/>
        </w:rPr>
        <w:t xml:space="preserve">Ferrari MD, Roon KI, Lipton RB, Goadsby PJ. Oral triptans (serotonin 5-HT(1B/1D) agonists) in acute migraine treatment: a meta-analysis of 53 trials. Lancet. 2001;358(9294):1668-75. doi:10.1016/S0140-6736(01)06711-3</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29.	</w:t>
      </w:r>
      <w:r>
        <w:rPr>
          <w:rFonts w:ascii="Times New Roman" w:cs="Times New Roman" w:eastAsia="Times New Roman" w:hAnsi="Times New Roman"/>
          <w:b w:val="false"/>
          <w:bCs w:val="false"/>
          <w:i w:val="false"/>
          <w:iCs w:val="false"/>
          <w:sz w:val="22"/>
          <w:szCs w:val="22"/>
        </w:rPr>
        <w:t xml:space="preserve">Kuca B, Silberstein SD, Wietecha L, Berg PH, Dozier G, Lipton RB, et al. Lasmiditan is an effective acute treatment for migraine: a phase 3 randomized study. Neurology. 2018;91(24):e2222-32. doi:10.1212/WNL.0000000000006641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30.	</w:t>
      </w:r>
      <w:r>
        <w:rPr>
          <w:rFonts w:ascii="Times New Roman" w:cs="Times New Roman" w:eastAsia="Times New Roman" w:hAnsi="Times New Roman"/>
          <w:b w:val="false"/>
          <w:bCs w:val="false"/>
          <w:i w:val="false"/>
          <w:iCs w:val="false"/>
          <w:sz w:val="22"/>
          <w:szCs w:val="22"/>
        </w:rPr>
        <w:t xml:space="preserve">Lipton RB, Croop R, Stock EG, Stock DA, Morris BA, Frost M, et al. Rimegepant, an oral calcitonin gene-related peptide receptor antagonist, for migraine. N Engl J Med. 2019;381(2):142-9. doi:10.1056/NEJMoa1811090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31.	</w:t>
      </w:r>
      <w:r>
        <w:rPr>
          <w:rFonts w:ascii="Times New Roman" w:cs="Times New Roman" w:eastAsia="Times New Roman" w:hAnsi="Times New Roman"/>
          <w:b w:val="false"/>
          <w:bCs w:val="false"/>
          <w:i w:val="false"/>
          <w:iCs w:val="false"/>
          <w:sz w:val="22"/>
          <w:szCs w:val="22"/>
        </w:rPr>
        <w:t xml:space="preserve">Dodick DW, Lipton RB, Ailani J, Lu K, Finnegan M, Trugman JM, et al. Ubrogepant for the treatment of migraine. N Engl J Med. 2019;381(23):2230-41. doi:10.1056/NEJMoa1813049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32.	</w:t>
      </w:r>
      <w:r>
        <w:rPr>
          <w:rFonts w:ascii="Times New Roman" w:cs="Times New Roman" w:eastAsia="Times New Roman" w:hAnsi="Times New Roman"/>
          <w:b w:val="false"/>
          <w:bCs w:val="false"/>
          <w:i w:val="false"/>
          <w:iCs w:val="false"/>
          <w:sz w:val="22"/>
          <w:szCs w:val="22"/>
        </w:rPr>
        <w:t xml:space="preserve">Lipton RB, Croop R, Stock DA, Madonia J, Forshaw M, Lovegren M, et al. Safety, tolerability, and efficacy of zavegepant 10 mg nasal spray for the acute treatment of migraine in the USA: a phase 3, double-blind, randomised, placebo-controlled multicentre trial. Lancet Neurol. 2023;22(3):209-17. doi:10.1016/S1474-4422(22)00517-8</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33.	</w:t>
      </w:r>
      <w:r>
        <w:rPr>
          <w:rFonts w:ascii="Times New Roman" w:cs="Times New Roman" w:eastAsia="Times New Roman" w:hAnsi="Times New Roman"/>
          <w:b w:val="false"/>
          <w:bCs w:val="false"/>
          <w:i w:val="false"/>
          <w:iCs w:val="false"/>
          <w:sz w:val="22"/>
          <w:szCs w:val="22"/>
        </w:rPr>
        <w:t xml:space="preserve">Ailani J, Lipton RB, Goadsby PJ, Guo H, Miceli R, Severt L, et al. Atogepant for the preventive treatment of migraine. N Engl J Med. 2021;385(8):695-706. doi:10.1056/NEJMoa2035908</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34.	</w:t>
      </w:r>
      <w:r>
        <w:rPr>
          <w:rFonts w:ascii="Times New Roman" w:cs="Times New Roman" w:eastAsia="Times New Roman" w:hAnsi="Times New Roman"/>
          <w:b w:val="false"/>
          <w:bCs w:val="false"/>
          <w:i w:val="false"/>
          <w:iCs w:val="false"/>
          <w:sz w:val="22"/>
          <w:szCs w:val="22"/>
        </w:rPr>
        <w:t xml:space="preserve">Pozo-Rosich P, Ailani J, Ashina M, Goadsby PJ, Lipton RB, Reuter U, et al. Atogepant for the preventive treatment of chronic migraine (PROGRESS): a randomised, double-blind, placebo-controlled, phase 3 trial. Lancet. 2023;402(10404):775-85. doi:10.1016/S0140-6736(23)01049-8</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35.	</w:t>
      </w:r>
      <w:r>
        <w:rPr>
          <w:rFonts w:ascii="Times New Roman" w:cs="Times New Roman" w:eastAsia="Times New Roman" w:hAnsi="Times New Roman"/>
          <w:b w:val="false"/>
          <w:bCs w:val="false"/>
          <w:i w:val="false"/>
          <w:iCs w:val="false"/>
          <w:sz w:val="22"/>
          <w:szCs w:val="22"/>
        </w:rPr>
        <w:t xml:space="preserve">Stauffer VL, Dodick DW, Zhang Q, Carter JN, Ailani J, Conley RR. Evaluation of galcanezumab for the prevention of episodic migraine: the EVOLVE-1 randomized clinical trial. JAMA Neurol. 2018;75(9):1080-8. doi:10.1001/jamaneurol.2018.1212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36.	</w:t>
      </w:r>
      <w:r>
        <w:rPr>
          <w:rFonts w:ascii="Times New Roman" w:cs="Times New Roman" w:eastAsia="Times New Roman" w:hAnsi="Times New Roman"/>
          <w:b w:val="false"/>
          <w:bCs w:val="false"/>
          <w:i w:val="false"/>
          <w:iCs w:val="false"/>
          <w:sz w:val="22"/>
          <w:szCs w:val="22"/>
        </w:rPr>
        <w:t xml:space="preserve">Ashina M, Saper J, Cady R, Schaeffler BA, Biondi DM, Hirman J, et al. Eptinezumab in episodic migraine: a randomized, double-blind, placebo-controlled study (PROMISE-1). Cephalalgia. 2020;40(3):241-54. doi:10.1177/0333102420905132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37.	</w:t>
      </w:r>
      <w:r>
        <w:rPr>
          <w:rFonts w:ascii="Times New Roman" w:cs="Times New Roman" w:eastAsia="Times New Roman" w:hAnsi="Times New Roman"/>
          <w:b w:val="false"/>
          <w:bCs w:val="false"/>
          <w:i w:val="false"/>
          <w:iCs w:val="false"/>
          <w:sz w:val="22"/>
          <w:szCs w:val="22"/>
        </w:rPr>
        <w:t xml:space="preserve">Diener HC, Dodick DW, Aurora SK, Turkel CC, DeGryse RE, Lipton RB, et al. OnabotulinumtoxinA for treatment of chronic migraine: results from the double-blind, randomized, placebo-controlled phase of the PREEMPT 2 trial. Cephalalgia. 2010;30(7):804-14. doi:10.1177/0333102410364677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38.	</w:t>
      </w:r>
      <w:r>
        <w:rPr>
          <w:rFonts w:ascii="Times New Roman" w:cs="Times New Roman" w:eastAsia="Times New Roman" w:hAnsi="Times New Roman"/>
          <w:b w:val="false"/>
          <w:bCs w:val="false"/>
          <w:i w:val="false"/>
          <w:iCs w:val="false"/>
          <w:sz w:val="22"/>
          <w:szCs w:val="22"/>
        </w:rPr>
        <w:t xml:space="preserve">Burstein R, Collins B, Jakubowski M. Defeating migraine pain with triptans: a race against the development of cutaneous allodynia. Ann Neurol. 2004;55(1):19-26. doi:10.1002/ana.10786</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39.	</w:t>
      </w:r>
      <w:r>
        <w:rPr>
          <w:rFonts w:ascii="Times New Roman" w:cs="Times New Roman" w:eastAsia="Times New Roman" w:hAnsi="Times New Roman"/>
          <w:b w:val="false"/>
          <w:bCs w:val="false"/>
          <w:i w:val="false"/>
          <w:iCs w:val="false"/>
          <w:sz w:val="22"/>
          <w:szCs w:val="22"/>
        </w:rPr>
        <w:t xml:space="preserve">Hepp Z, Dodick DW, Varon SF, Chia J, Matthew N, Gillard P, et al. Persistence and switching patterns of oral migraine prophylactic medications among patients with chronic migraine: a retrospective claims analysis. Cephalalgia. 2017;37(5):470-85. doi:10.1177/0333102416678382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40.	</w:t>
      </w:r>
      <w:r>
        <w:rPr>
          <w:rFonts w:ascii="Times New Roman" w:cs="Times New Roman" w:eastAsia="Times New Roman" w:hAnsi="Times New Roman"/>
          <w:b w:val="false"/>
          <w:bCs w:val="false"/>
          <w:i w:val="false"/>
          <w:iCs w:val="false"/>
          <w:sz w:val="22"/>
          <w:szCs w:val="22"/>
        </w:rPr>
        <w:t xml:space="preserve">Ashina S, Terwindt GM, Steiner TJ, Lee MJ, Porreca F, Tassorelli C, et al. Medication overuse headache. Nat Rev Dis Primers. 2023;9(1):5. doi:10.1038/s41572-022-00415-0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41.	</w:t>
      </w:r>
      <w:r>
        <w:rPr>
          <w:rFonts w:ascii="Times New Roman" w:cs="Times New Roman" w:eastAsia="Times New Roman" w:hAnsi="Times New Roman"/>
          <w:b w:val="false"/>
          <w:bCs w:val="false"/>
          <w:i w:val="false"/>
          <w:iCs w:val="false"/>
          <w:sz w:val="22"/>
          <w:szCs w:val="22"/>
        </w:rPr>
        <w:t xml:space="preserve">Barbanti P, Egeo G, Aurilia C, Altamura C, d'Onofrio F, Finocchi C, et al. Predictors of response to anti-CGRP monoclonal antibodies: a 24-week, multicenter, prospective study on 864 migraine patients. J Headache Pain. 2022;23(1):138. doi:10.1186/s10194-022-01498-6</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42.	</w:t>
      </w:r>
      <w:r>
        <w:rPr>
          <w:rFonts w:ascii="Times New Roman" w:cs="Times New Roman" w:eastAsia="Times New Roman" w:hAnsi="Times New Roman"/>
          <w:b w:val="false"/>
          <w:bCs w:val="false"/>
          <w:i w:val="false"/>
          <w:iCs w:val="false"/>
          <w:sz w:val="22"/>
          <w:szCs w:val="22"/>
        </w:rPr>
        <w:t xml:space="preserve">Raffaelli B, Storch E, Overeem LH, Terhart M, Fitzek MP, Lange KS, et al. Sex hormones and calcitonin gene-related peptide in women with migraine: a cross-sectional, matched cohort study. Neurology. 2023;100(17):e1825-35. doi:10.1212/WNL.0000000000207114</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43.	</w:t>
      </w:r>
      <w:r>
        <w:rPr>
          <w:rFonts w:ascii="Times New Roman" w:cs="Times New Roman" w:eastAsia="Times New Roman" w:hAnsi="Times New Roman"/>
          <w:b w:val="false"/>
          <w:bCs w:val="false"/>
          <w:i w:val="false"/>
          <w:iCs w:val="false"/>
          <w:sz w:val="22"/>
          <w:szCs w:val="22"/>
        </w:rPr>
        <w:t xml:space="preserve">Kanakhara B, Chaudhari V. A pilot study on clinical efficacy of Agnikarma and Pathyadi decoction (an Ayurvedic formulation) in the management of Ardhavabhedaka (migraine). Ayu. 2018;39(1):56-61. doi:10.4103/ayu.AYU_84_17</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44.	</w:t>
      </w:r>
      <w:r>
        <w:rPr>
          <w:rFonts w:ascii="Times New Roman" w:cs="Times New Roman" w:eastAsia="Times New Roman" w:hAnsi="Times New Roman"/>
          <w:b w:val="false"/>
          <w:bCs w:val="false"/>
          <w:i w:val="false"/>
          <w:iCs w:val="false"/>
          <w:sz w:val="22"/>
          <w:szCs w:val="22"/>
        </w:rPr>
        <w:t xml:space="preserve">Dedov VN, Tran VH, Duke CC, Connor M, Christie MJ, Mandadi S, et al. Gingerols: a novel class of vanilloid receptor (VR1) agonists. Br J Pharmacol. 2002;137(6):793-8. doi:10.1038/sj.bjp.0704925</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45.	</w:t>
      </w:r>
      <w:r>
        <w:rPr>
          <w:rFonts w:ascii="Times New Roman" w:cs="Times New Roman" w:eastAsia="Times New Roman" w:hAnsi="Times New Roman"/>
          <w:b w:val="false"/>
          <w:bCs w:val="false"/>
          <w:i w:val="false"/>
          <w:iCs w:val="false"/>
          <w:sz w:val="22"/>
          <w:szCs w:val="22"/>
        </w:rPr>
        <w:t xml:space="preserve">Maghbooli M, Golipour F, Moghimi Esfandabadi A, Yousefi M. Comparison between the efficacy of ginger and sumatriptan in the ablative treatment of the common migraine. Phytother Res. 2014;28(3):412-5. doi:10.1002/ptr.4996</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46.	</w:t>
      </w:r>
      <w:r>
        <w:rPr>
          <w:rFonts w:ascii="Times New Roman" w:cs="Times New Roman" w:eastAsia="Times New Roman" w:hAnsi="Times New Roman"/>
          <w:b w:val="false"/>
          <w:bCs w:val="false"/>
          <w:i w:val="false"/>
          <w:iCs w:val="false"/>
          <w:sz w:val="22"/>
          <w:szCs w:val="22"/>
        </w:rPr>
        <w:t xml:space="preserve">Martins LB, Rodrigues AMDS, Rodrigues DF, Dos Santos LC, Teixeira AL, Ferreira AVM. Double-blind placebo-controlled randomized clinical trial of ginger (</w:t>
      </w:r>
      <w:r>
        <w:rPr>
          <w:rFonts w:ascii="Times New Roman" w:cs="Times New Roman" w:eastAsia="Times New Roman" w:hAnsi="Times New Roman"/>
          <w:b w:val="false"/>
          <w:bCs w:val="false"/>
          <w:i/>
          <w:iCs/>
          <w:sz w:val="22"/>
          <w:szCs w:val="22"/>
        </w:rPr>
        <w:t xml:space="preserve">Zingiber officinale</w:t>
      </w:r>
      <w:r>
        <w:rPr>
          <w:rFonts w:ascii="Times New Roman" w:cs="Times New Roman" w:eastAsia="Times New Roman" w:hAnsi="Times New Roman"/>
          <w:b w:val="false"/>
          <w:bCs w:val="false"/>
          <w:i w:val="false"/>
          <w:iCs w:val="false"/>
          <w:sz w:val="22"/>
          <w:szCs w:val="22"/>
        </w:rPr>
        <w:t xml:space="preserve"> Rosc.) addition in migraine acute treatment. Cephalalgia. 2019;39(1):68-76. doi:10.1177/0333102418776016</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47.	</w:t>
      </w:r>
      <w:r>
        <w:rPr>
          <w:rFonts w:ascii="Times New Roman" w:cs="Times New Roman" w:eastAsia="Times New Roman" w:hAnsi="Times New Roman"/>
          <w:b w:val="false"/>
          <w:bCs w:val="false"/>
          <w:i w:val="false"/>
          <w:iCs w:val="false"/>
          <w:sz w:val="22"/>
          <w:szCs w:val="22"/>
        </w:rPr>
        <w:t xml:space="preserve">Chen L, Cai Z. The efficacy of ginger for the treatment of migraine: a meta-analysis of randomized controlled studies. Am J Emerg Med. 2021;46:567-71. doi:10.1016/j.ajem.2020.11.030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48.	</w:t>
      </w:r>
      <w:r>
        <w:rPr>
          <w:rFonts w:ascii="Times New Roman" w:cs="Times New Roman" w:eastAsia="Times New Roman" w:hAnsi="Times New Roman"/>
          <w:b w:val="false"/>
          <w:bCs w:val="false"/>
          <w:i w:val="false"/>
          <w:iCs w:val="false"/>
          <w:sz w:val="22"/>
          <w:szCs w:val="22"/>
        </w:rPr>
        <w:t xml:space="preserve">Martins LB, Rodrigues AMDS, Monteze NM, Tibaes JRB, Amaral MHA, Gomez RS, et al. Double-blind placebo-controlled randomized clinical trial of ginger (</w:t>
      </w:r>
      <w:r>
        <w:rPr>
          <w:rFonts w:ascii="Times New Roman" w:cs="Times New Roman" w:eastAsia="Times New Roman" w:hAnsi="Times New Roman"/>
          <w:b w:val="false"/>
          <w:bCs w:val="false"/>
          <w:i/>
          <w:iCs/>
          <w:sz w:val="22"/>
          <w:szCs w:val="22"/>
        </w:rPr>
        <w:t xml:space="preserve">Zingiber officinale</w:t>
      </w:r>
      <w:r>
        <w:rPr>
          <w:rFonts w:ascii="Times New Roman" w:cs="Times New Roman" w:eastAsia="Times New Roman" w:hAnsi="Times New Roman"/>
          <w:b w:val="false"/>
          <w:bCs w:val="false"/>
          <w:i w:val="false"/>
          <w:iCs w:val="false"/>
          <w:sz w:val="22"/>
          <w:szCs w:val="22"/>
        </w:rPr>
        <w:t xml:space="preserve"> Rosc.) in the prophylactic treatment of migraine. Cephalalgia. 2020;40(1):88-95. doi:10.1177/0333102419869319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49.	</w:t>
      </w:r>
      <w:r>
        <w:rPr>
          <w:rFonts w:ascii="Times New Roman" w:cs="Times New Roman" w:eastAsia="Times New Roman" w:hAnsi="Times New Roman"/>
          <w:b w:val="false"/>
          <w:bCs w:val="false"/>
          <w:i w:val="false"/>
          <w:iCs w:val="false"/>
          <w:sz w:val="22"/>
          <w:szCs w:val="22"/>
        </w:rPr>
        <w:t xml:space="preserve">Bulboacă AE, Bolboacă SD, Stănescu IC, Sfrângeu CA, Bulboacă AC. Preemptive analgesic and antioxidative effect of curcumin for experimental migraine. Biomed Res Int. 2017;2017:4754701. doi:10.1155/2017/4754701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50.	</w:t>
      </w:r>
      <w:r>
        <w:rPr>
          <w:rFonts w:ascii="Times New Roman" w:cs="Times New Roman" w:eastAsia="Times New Roman" w:hAnsi="Times New Roman"/>
          <w:b w:val="false"/>
          <w:bCs w:val="false"/>
          <w:i w:val="false"/>
          <w:iCs w:val="false"/>
          <w:sz w:val="22"/>
          <w:szCs w:val="22"/>
        </w:rPr>
        <w:t xml:space="preserve">Parohan M, Sarraf P, Javanbakht MH, Foroushani AR, Ranji-Burachaloo S, Djalali M. The synergistic effects of nano-curcumin and coenzyme Q10 supplementation in migraine prophylaxis: a randomized, placebo-controlled, double-blind trial. Nutr Neurosci. 2021;24(4):317-26. doi:10.1080/1028415X.2019.1627770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51.	</w:t>
      </w:r>
      <w:r>
        <w:rPr>
          <w:rFonts w:ascii="Times New Roman" w:cs="Times New Roman" w:eastAsia="Times New Roman" w:hAnsi="Times New Roman"/>
          <w:b w:val="false"/>
          <w:bCs w:val="false"/>
          <w:i w:val="false"/>
          <w:iCs w:val="false"/>
          <w:sz w:val="22"/>
          <w:szCs w:val="22"/>
        </w:rPr>
        <w:t xml:space="preserve">Delavar Kasmaei H, Ghorbanifar Z, Zayeri F, Minaei B, Kamali SH, Rezaeizadeh H, et al. Effects of </w:t>
      </w:r>
      <w:r>
        <w:rPr>
          <w:rFonts w:ascii="Times New Roman" w:cs="Times New Roman" w:eastAsia="Times New Roman" w:hAnsi="Times New Roman"/>
          <w:b w:val="false"/>
          <w:bCs w:val="false"/>
          <w:i/>
          <w:iCs/>
          <w:sz w:val="22"/>
          <w:szCs w:val="22"/>
        </w:rPr>
        <w:t xml:space="preserve">Coriandrum sativum</w:t>
      </w:r>
      <w:r>
        <w:rPr>
          <w:rFonts w:ascii="Times New Roman" w:cs="Times New Roman" w:eastAsia="Times New Roman" w:hAnsi="Times New Roman"/>
          <w:b w:val="false"/>
          <w:bCs w:val="false"/>
          <w:i w:val="false"/>
          <w:iCs w:val="false"/>
          <w:sz w:val="22"/>
          <w:szCs w:val="22"/>
        </w:rPr>
        <w:t xml:space="preserve"> syrup on migraine: a randomized, triple-blind, placebo-controlled trial. Iran Red Crescent Med J. 2016;18(1):e20759. doi:10.5812/ircmj.20759</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52.	</w:t>
      </w:r>
      <w:r>
        <w:rPr>
          <w:rFonts w:ascii="Times New Roman" w:cs="Times New Roman" w:eastAsia="Times New Roman" w:hAnsi="Times New Roman"/>
          <w:b w:val="false"/>
          <w:bCs w:val="false"/>
          <w:i w:val="false"/>
          <w:iCs w:val="false"/>
          <w:sz w:val="22"/>
          <w:szCs w:val="22"/>
        </w:rPr>
        <w:t xml:space="preserve">Zareie A, Sahebkar A, Khorvash F, Bagherniya M, Hasanzadeh A, Askari G. Effect of cinnamon on migraine attacks and inflammatory markers: a randomized double-blind placebo-controlled trial. Phytother Res. 2020;34(11):2945-52. doi:10.1002/ptr.6721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53.	</w:t>
      </w:r>
      <w:r>
        <w:rPr>
          <w:rFonts w:ascii="Times New Roman" w:cs="Times New Roman" w:eastAsia="Times New Roman" w:hAnsi="Times New Roman"/>
          <w:b w:val="false"/>
          <w:bCs w:val="false"/>
          <w:i w:val="false"/>
          <w:iCs w:val="false"/>
          <w:sz w:val="22"/>
          <w:szCs w:val="22"/>
        </w:rPr>
        <w:t xml:space="preserve">Vaidya PB, Vaidya BS, Vaidya SK. Response to Ayurvedic therapy in the treatment of migraine without aura. Int J Ayurveda Res. 2010;1(1):30-6. doi:10.4103/0974-7788.59941</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54.	</w:t>
      </w:r>
      <w:r>
        <w:rPr>
          <w:rFonts w:ascii="Times New Roman" w:cs="Times New Roman" w:eastAsia="Times New Roman" w:hAnsi="Times New Roman"/>
          <w:b w:val="false"/>
          <w:bCs w:val="false"/>
          <w:i w:val="false"/>
          <w:iCs w:val="false"/>
          <w:sz w:val="22"/>
          <w:szCs w:val="22"/>
        </w:rPr>
        <w:t xml:space="preserve">Crowe TP, Greenlee MHW, Kanthasamy AG, Hsu WH. Mechanism of intranasal drug delivery directly to the brain. Life Sci. 2018;195:44-52. doi:10.1016/j.lfs.2017.12.025</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55.	</w:t>
      </w:r>
      <w:r>
        <w:rPr>
          <w:rFonts w:ascii="Times New Roman" w:cs="Times New Roman" w:eastAsia="Times New Roman" w:hAnsi="Times New Roman"/>
          <w:b w:val="false"/>
          <w:bCs w:val="false"/>
          <w:i w:val="false"/>
          <w:iCs w:val="false"/>
          <w:sz w:val="22"/>
          <w:szCs w:val="22"/>
        </w:rPr>
        <w:t xml:space="preserve">Singh SK, Rajoria K, Kumar A, Sharma S. A double-blind controlled clinical trial to evaluate the effects of nasal therapy with Vrihatajivakadya oil on different viscosities in patients with migraine. J Ayurveda Integr Med. 2023;14(2):100662. doi:10.1016/j.jaim.2022.100662</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56.	</w:t>
      </w:r>
      <w:r>
        <w:rPr>
          <w:rFonts w:ascii="Times New Roman" w:cs="Times New Roman" w:eastAsia="Times New Roman" w:hAnsi="Times New Roman"/>
          <w:b w:val="false"/>
          <w:bCs w:val="false"/>
          <w:i w:val="false"/>
          <w:iCs w:val="false"/>
          <w:sz w:val="22"/>
          <w:szCs w:val="22"/>
        </w:rPr>
        <w:t xml:space="preserve">Uebaba K, Xu FH, Ogawa H, Tatsuse T, Wang BH, Hisajima T, et al. Psychoneuroimmunologic effects of Ayurvedic oil-dripping treatment. J Altern Complement Med. 2008;14(10):1189-98. doi:10.1089/acm.2008.0273</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57.	</w:t>
      </w:r>
      <w:r>
        <w:rPr>
          <w:rFonts w:ascii="Times New Roman" w:cs="Times New Roman" w:eastAsia="Times New Roman" w:hAnsi="Times New Roman"/>
          <w:b w:val="false"/>
          <w:bCs w:val="false"/>
          <w:i w:val="false"/>
          <w:iCs w:val="false"/>
          <w:sz w:val="22"/>
          <w:szCs w:val="22"/>
        </w:rPr>
        <w:t xml:space="preserve">Kumar A, Bhatia R, Sharma G, Dhanlika D, Vishnubhatla S, Singh RK, et al. Effect of yoga as add-on therapy in migraine (CONTAIN): a randomized clinical trial. Neurology. 2020;94(21):e2203-12. doi:10.1212/WNL.0000000000009473</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58.	</w:t>
      </w:r>
      <w:r>
        <w:rPr>
          <w:rFonts w:ascii="Times New Roman" w:cs="Times New Roman" w:eastAsia="Times New Roman" w:hAnsi="Times New Roman"/>
          <w:b w:val="false"/>
          <w:bCs w:val="false"/>
          <w:i w:val="false"/>
          <w:iCs w:val="false"/>
          <w:sz w:val="22"/>
          <w:szCs w:val="22"/>
        </w:rPr>
        <w:t xml:space="preserve">Sharma VM, Manjunath NK, Nagendra HR, Ertsey C. Combination of Ayurveda and Yoga therapy reduces pain intensity and improves quality of life in patients with migraine headache. Complement Ther Clin Pract. 2018;32:85-91. doi:10.1016/j.ctcp.2018.05.010</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59.	</w:t>
      </w:r>
      <w:r>
        <w:rPr>
          <w:rFonts w:ascii="Times New Roman" w:cs="Times New Roman" w:eastAsia="Times New Roman" w:hAnsi="Times New Roman"/>
          <w:b w:val="false"/>
          <w:bCs w:val="false"/>
          <w:i w:val="false"/>
          <w:iCs w:val="false"/>
          <w:sz w:val="22"/>
          <w:szCs w:val="22"/>
        </w:rPr>
        <w:t xml:space="preserve">Chaudhary S, Khanduri S, Mata S, Rao BCS, Singh Anand K, Kishore Kumar R, et al. Randomized double blind placebo controlled multicentric clinical trial of Ayush M-3 in the management of migraine - a study protocol. J Ayurveda Integr Med. 2025;16(2):101054. doi:10.1016/j.jaim.2024.101054</w:t>
      </w:r>
    </w:p>
    <w:p>
      <w:pPr>
        <w:tabs>
          <w:tab w:val="left" w:pos="567"/>
        </w:tabs>
        <w:spacing w:after="80" w:line="276"/>
        <w:ind w:left="567" w:hanging="567"/>
        <w:jc w:val="left"/>
      </w:pPr>
      <w:r>
        <w:rPr>
          <w:rFonts w:ascii="Times New Roman" w:cs="Times New Roman" w:eastAsia="Times New Roman" w:hAnsi="Times New Roman"/>
          <w:b w:val="false"/>
          <w:bCs w:val="false"/>
          <w:i w:val="false"/>
          <w:iCs w:val="false"/>
          <w:sz w:val="22"/>
          <w:szCs w:val="22"/>
        </w:rPr>
        <w:t xml:space="preserve">60.	</w:t>
      </w:r>
      <w:r>
        <w:rPr>
          <w:rFonts w:ascii="Times New Roman" w:cs="Times New Roman" w:eastAsia="Times New Roman" w:hAnsi="Times New Roman"/>
          <w:b w:val="false"/>
          <w:bCs w:val="false"/>
          <w:i w:val="false"/>
          <w:iCs w:val="false"/>
          <w:sz w:val="22"/>
          <w:szCs w:val="22"/>
        </w:rPr>
        <w:t xml:space="preserve">Saper RB, Phillips RS, Sehgal A, Khouri N, Davis RB, Paquin J, et al. Lead, mercury, and arsenic in US- and Indian-manufactured Ayurvedic medicines sold via the Internet. JAMA. 2008;300(8):915-23. doi:10.1001/jama.300.8.915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Migraine Beyond CGRP</dc:title>
  <dc:creator>Author</dc:creator>
  <cp:lastModifiedBy>Un-named</cp:lastModifiedBy>
  <cp:revision>1</cp:revision>
  <dcterms:created xsi:type="dcterms:W3CDTF">2026-09-22T00:10:50.865Z</dcterms:created>
  <dcterms:modified xsi:type="dcterms:W3CDTF">2026-09-22T00:10:50.865Z</dcterms:modified>
</cp:coreProperties>
</file>

<file path=docProps/custom.xml><?xml version="1.0" encoding="utf-8"?>
<Properties xmlns="http://schemas.openxmlformats.org/officeDocument/2006/custom-properties" xmlns:vt="http://schemas.openxmlformats.org/officeDocument/2006/docPropsVTypes"/>
</file>