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6958" w14:textId="77777777" w:rsidR="000E4624" w:rsidRPr="005D3DA8" w:rsidRDefault="00490318" w:rsidP="002D5C9B">
      <w:pPr>
        <w:spacing w:after="0"/>
        <w:jc w:val="center"/>
        <w:rPr>
          <w:rFonts w:cs="Times New Roman"/>
          <w:b/>
          <w:bCs/>
          <w:sz w:val="28"/>
          <w:szCs w:val="28"/>
        </w:rPr>
      </w:pPr>
      <w:proofErr w:type="spellStart"/>
      <w:r w:rsidRPr="005D3DA8">
        <w:rPr>
          <w:rFonts w:eastAsia="Times New Roman" w:cs="Times New Roman"/>
          <w:b/>
          <w:bCs/>
          <w:sz w:val="28"/>
          <w:szCs w:val="28"/>
        </w:rPr>
        <w:t>Rasayana</w:t>
      </w:r>
      <w:proofErr w:type="spellEnd"/>
      <w:r w:rsidRPr="005D3DA8">
        <w:rPr>
          <w:rFonts w:eastAsia="Times New Roman" w:cs="Times New Roman"/>
          <w:b/>
          <w:bCs/>
          <w:sz w:val="28"/>
          <w:szCs w:val="28"/>
        </w:rPr>
        <w:t xml:space="preserve"> Therapy as a Systems-Level Countermeasure to Dushi Visha and Latent Toxicity</w:t>
      </w:r>
    </w:p>
    <w:p w14:paraId="13FEC179" w14:textId="2CBFB154" w:rsidR="005D3DA8" w:rsidRDefault="005D3DA8" w:rsidP="005D3DA8">
      <w:pPr>
        <w:spacing w:before="240" w:line="271" w:lineRule="auto"/>
        <w:jc w:val="center"/>
        <w:rPr>
          <w:rFonts w:cs="Times New Roman"/>
          <w:szCs w:val="24"/>
        </w:rPr>
      </w:pPr>
      <w:bookmarkStart w:id="0" w:name="introduction"/>
      <w:r w:rsidRPr="00F94357">
        <w:rPr>
          <w:rFonts w:cs="Times New Roman"/>
          <w:bCs/>
          <w:szCs w:val="24"/>
        </w:rPr>
        <w:t>Dr. Sumit Dhote</w:t>
      </w:r>
      <w:r w:rsidRPr="00D0576C">
        <w:rPr>
          <w:rFonts w:cs="Times New Roman"/>
          <w:bCs/>
          <w:szCs w:val="24"/>
          <w:vertAlign w:val="superscript"/>
        </w:rPr>
        <w:t>1*</w:t>
      </w:r>
      <w:r w:rsidRPr="00D0576C">
        <w:rPr>
          <w:rFonts w:cs="Times New Roman"/>
          <w:bCs/>
          <w:szCs w:val="24"/>
        </w:rPr>
        <w:t xml:space="preserve">, </w:t>
      </w:r>
      <w:r w:rsidRPr="00F94357">
        <w:rPr>
          <w:rFonts w:cs="Times New Roman"/>
          <w:bCs/>
          <w:szCs w:val="24"/>
        </w:rPr>
        <w:t>Dr. Sonali Chalakh</w:t>
      </w:r>
      <w:r>
        <w:rPr>
          <w:rFonts w:cs="Times New Roman"/>
          <w:bCs/>
          <w:szCs w:val="24"/>
          <w:vertAlign w:val="superscript"/>
        </w:rPr>
        <w:t>2</w:t>
      </w:r>
    </w:p>
    <w:p w14:paraId="2F510D09" w14:textId="77777777" w:rsidR="005D3DA8" w:rsidRDefault="005D3DA8" w:rsidP="005D3DA8">
      <w:pPr>
        <w:ind w:left="23"/>
        <w:jc w:val="both"/>
        <w:rPr>
          <w:rFonts w:cs="Times New Roman"/>
          <w:szCs w:val="24"/>
          <w:lang w:val="en-IN"/>
        </w:rPr>
      </w:pPr>
      <w:r>
        <w:rPr>
          <w:rFonts w:cs="Times New Roman"/>
          <w:szCs w:val="24"/>
          <w:vertAlign w:val="superscript"/>
          <w:lang w:val="en-IN"/>
        </w:rPr>
        <w:t>1</w:t>
      </w:r>
      <w:r w:rsidRPr="003F5B94">
        <w:rPr>
          <w:rFonts w:cs="Times New Roman"/>
          <w:szCs w:val="24"/>
          <w:lang w:val="en-IN"/>
        </w:rPr>
        <w:t xml:space="preserve">PG Scholar 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r w:rsidRPr="003F5B94">
        <w:rPr>
          <w:rFonts w:cs="Times New Roman"/>
          <w:szCs w:val="24"/>
          <w:lang w:val="en-IN"/>
        </w:rPr>
        <w:t xml:space="preserve">, Mahatma Gandhi </w:t>
      </w:r>
      <w:proofErr w:type="spellStart"/>
      <w:r w:rsidRPr="003F5B94">
        <w:rPr>
          <w:rFonts w:cs="Times New Roman"/>
          <w:szCs w:val="24"/>
          <w:lang w:val="en-IN"/>
        </w:rPr>
        <w:t>Ayurved</w:t>
      </w:r>
      <w:proofErr w:type="spellEnd"/>
      <w:r w:rsidRPr="003F5B94">
        <w:rPr>
          <w:rFonts w:cs="Times New Roman"/>
          <w:szCs w:val="24"/>
          <w:lang w:val="en-IN"/>
        </w:rPr>
        <w:t xml:space="preserve"> College Hospital</w:t>
      </w:r>
      <w:r w:rsidRPr="00F94357">
        <w:rPr>
          <w:rFonts w:cs="Times New Roman"/>
          <w:szCs w:val="24"/>
          <w:lang w:val="en-IN"/>
        </w:rPr>
        <w:t xml:space="preserve"> </w:t>
      </w:r>
      <w:r w:rsidRPr="003F5B94">
        <w:rPr>
          <w:rFonts w:cs="Times New Roman"/>
          <w:szCs w:val="24"/>
          <w:lang w:val="en-IN"/>
        </w:rPr>
        <w:t xml:space="preserve">and Research </w:t>
      </w:r>
      <w:proofErr w:type="spellStart"/>
      <w:r w:rsidRPr="003F5B94">
        <w:rPr>
          <w:rFonts w:cs="Times New Roman"/>
          <w:szCs w:val="24"/>
          <w:lang w:val="en-IN"/>
        </w:rPr>
        <w:t>Center</w:t>
      </w:r>
      <w:proofErr w:type="spellEnd"/>
      <w:r w:rsidRPr="003F5B94">
        <w:rPr>
          <w:rFonts w:cs="Times New Roman"/>
          <w:szCs w:val="24"/>
          <w:lang w:val="en-IN"/>
        </w:rPr>
        <w:t xml:space="preserve">, </w:t>
      </w:r>
      <w:proofErr w:type="spellStart"/>
      <w:r w:rsidRPr="003F5B94">
        <w:rPr>
          <w:rFonts w:cs="Times New Roman"/>
          <w:szCs w:val="24"/>
          <w:lang w:val="en-IN"/>
        </w:rPr>
        <w:t>Salod</w:t>
      </w:r>
      <w:proofErr w:type="spellEnd"/>
      <w:r w:rsidRPr="003F5B94">
        <w:rPr>
          <w:rFonts w:cs="Times New Roman"/>
          <w:szCs w:val="24"/>
          <w:lang w:val="en-IN"/>
        </w:rPr>
        <w:t xml:space="preserve">(H), </w:t>
      </w:r>
      <w:proofErr w:type="spellStart"/>
      <w:r w:rsidRPr="003F5B94">
        <w:rPr>
          <w:rFonts w:cs="Times New Roman"/>
          <w:szCs w:val="24"/>
          <w:lang w:val="en-IN"/>
        </w:rPr>
        <w:t>Sawangi</w:t>
      </w:r>
      <w:proofErr w:type="spellEnd"/>
      <w:r w:rsidRPr="003F5B94">
        <w:rPr>
          <w:rFonts w:cs="Times New Roman"/>
          <w:szCs w:val="24"/>
          <w:lang w:val="en-IN"/>
        </w:rPr>
        <w:t>, Wardha. Datta Meghe Institute of Higher Education and</w:t>
      </w:r>
      <w:r w:rsidRPr="00F94357">
        <w:rPr>
          <w:rFonts w:cs="Times New Roman"/>
          <w:szCs w:val="24"/>
          <w:lang w:val="en-IN"/>
        </w:rPr>
        <w:t xml:space="preserve"> </w:t>
      </w:r>
      <w:r w:rsidRPr="003F5B94">
        <w:rPr>
          <w:rFonts w:cs="Times New Roman"/>
          <w:szCs w:val="24"/>
          <w:lang w:val="en-IN"/>
        </w:rPr>
        <w:t xml:space="preserve">Research (Deemed to be University) </w:t>
      </w:r>
      <w:proofErr w:type="spellStart"/>
      <w:r w:rsidRPr="003F5B94">
        <w:rPr>
          <w:rFonts w:cs="Times New Roman"/>
          <w:szCs w:val="24"/>
          <w:lang w:val="en-IN"/>
        </w:rPr>
        <w:t>Sawangi</w:t>
      </w:r>
      <w:proofErr w:type="spellEnd"/>
      <w:r w:rsidRPr="003F5B94">
        <w:rPr>
          <w:rFonts w:cs="Times New Roman"/>
          <w:szCs w:val="24"/>
          <w:lang w:val="en-IN"/>
        </w:rPr>
        <w:t xml:space="preserve">(M) Wardha, Maharashtra, </w:t>
      </w:r>
      <w:r>
        <w:rPr>
          <w:rFonts w:cs="Times New Roman"/>
          <w:szCs w:val="24"/>
          <w:lang w:val="en-IN"/>
        </w:rPr>
        <w:t xml:space="preserve">India. </w:t>
      </w:r>
    </w:p>
    <w:p w14:paraId="536DD016" w14:textId="77777777" w:rsidR="005D3DA8" w:rsidRDefault="005D3DA8" w:rsidP="005D3DA8">
      <w:pPr>
        <w:ind w:left="23"/>
        <w:jc w:val="both"/>
        <w:rPr>
          <w:rFonts w:cs="Times New Roman"/>
          <w:szCs w:val="24"/>
          <w:lang w:val="en-IN"/>
        </w:rPr>
      </w:pPr>
      <w:r w:rsidRPr="003F5B94">
        <w:rPr>
          <w:rFonts w:cs="Times New Roman"/>
          <w:szCs w:val="24"/>
          <w:vertAlign w:val="superscript"/>
          <w:lang w:val="en-IN"/>
        </w:rPr>
        <w:t>2</w:t>
      </w:r>
      <w:r w:rsidRPr="003F5B94">
        <w:rPr>
          <w:rFonts w:cs="Times New Roman"/>
          <w:szCs w:val="24"/>
          <w:lang w:val="en-IN"/>
        </w:rPr>
        <w:t xml:space="preserve">Head of Department, 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r w:rsidRPr="003F5B94">
        <w:rPr>
          <w:rFonts w:cs="Times New Roman"/>
          <w:szCs w:val="24"/>
          <w:lang w:val="en-IN"/>
        </w:rPr>
        <w:t xml:space="preserve">, Mahatma Gandhi </w:t>
      </w:r>
      <w:proofErr w:type="spellStart"/>
      <w:r w:rsidRPr="003F5B94">
        <w:rPr>
          <w:rFonts w:cs="Times New Roman"/>
          <w:szCs w:val="24"/>
          <w:lang w:val="en-IN"/>
        </w:rPr>
        <w:t>Ayurved</w:t>
      </w:r>
      <w:proofErr w:type="spellEnd"/>
      <w:r w:rsidRPr="003F5B94">
        <w:rPr>
          <w:rFonts w:cs="Times New Roman"/>
          <w:szCs w:val="24"/>
          <w:lang w:val="en-IN"/>
        </w:rPr>
        <w:t xml:space="preserve"> College</w:t>
      </w:r>
      <w:r w:rsidRPr="00F94357">
        <w:rPr>
          <w:rFonts w:cs="Times New Roman"/>
          <w:szCs w:val="24"/>
          <w:lang w:val="en-IN"/>
        </w:rPr>
        <w:t xml:space="preserve"> </w:t>
      </w:r>
      <w:r w:rsidRPr="003F5B94">
        <w:rPr>
          <w:rFonts w:cs="Times New Roman"/>
          <w:szCs w:val="24"/>
          <w:lang w:val="en-IN"/>
        </w:rPr>
        <w:t xml:space="preserve">Hospital and Research </w:t>
      </w:r>
      <w:proofErr w:type="spellStart"/>
      <w:r w:rsidRPr="003F5B94">
        <w:rPr>
          <w:rFonts w:cs="Times New Roman"/>
          <w:szCs w:val="24"/>
          <w:lang w:val="en-IN"/>
        </w:rPr>
        <w:t>Center</w:t>
      </w:r>
      <w:proofErr w:type="spellEnd"/>
      <w:r w:rsidRPr="003F5B94">
        <w:rPr>
          <w:rFonts w:cs="Times New Roman"/>
          <w:szCs w:val="24"/>
          <w:lang w:val="en-IN"/>
        </w:rPr>
        <w:t xml:space="preserve">, </w:t>
      </w:r>
      <w:proofErr w:type="spellStart"/>
      <w:r w:rsidRPr="003F5B94">
        <w:rPr>
          <w:rFonts w:cs="Times New Roman"/>
          <w:szCs w:val="24"/>
          <w:lang w:val="en-IN"/>
        </w:rPr>
        <w:t>Salod</w:t>
      </w:r>
      <w:proofErr w:type="spellEnd"/>
      <w:r w:rsidRPr="003F5B94">
        <w:rPr>
          <w:rFonts w:cs="Times New Roman"/>
          <w:szCs w:val="24"/>
          <w:lang w:val="en-IN"/>
        </w:rPr>
        <w:t xml:space="preserve">(H), </w:t>
      </w:r>
      <w:proofErr w:type="spellStart"/>
      <w:r w:rsidRPr="003F5B94">
        <w:rPr>
          <w:rFonts w:cs="Times New Roman"/>
          <w:szCs w:val="24"/>
          <w:lang w:val="en-IN"/>
        </w:rPr>
        <w:t>Sawangi</w:t>
      </w:r>
      <w:proofErr w:type="spellEnd"/>
      <w:r w:rsidRPr="003F5B94">
        <w:rPr>
          <w:rFonts w:cs="Times New Roman"/>
          <w:szCs w:val="24"/>
          <w:lang w:val="en-IN"/>
        </w:rPr>
        <w:t>, Wardha. Datta Meghe Institute of Higher Education and</w:t>
      </w:r>
      <w:r w:rsidRPr="00F94357">
        <w:rPr>
          <w:rFonts w:cs="Times New Roman"/>
          <w:szCs w:val="24"/>
          <w:lang w:val="en-IN"/>
        </w:rPr>
        <w:t xml:space="preserve"> </w:t>
      </w:r>
      <w:r w:rsidRPr="003F5B94">
        <w:rPr>
          <w:rFonts w:cs="Times New Roman"/>
          <w:szCs w:val="24"/>
          <w:lang w:val="en-IN"/>
        </w:rPr>
        <w:t xml:space="preserve">Research (Deemed to be University) </w:t>
      </w:r>
      <w:proofErr w:type="spellStart"/>
      <w:r w:rsidRPr="003F5B94">
        <w:rPr>
          <w:rFonts w:cs="Times New Roman"/>
          <w:szCs w:val="24"/>
          <w:lang w:val="en-IN"/>
        </w:rPr>
        <w:t>Sawangi</w:t>
      </w:r>
      <w:proofErr w:type="spellEnd"/>
      <w:r w:rsidRPr="003F5B94">
        <w:rPr>
          <w:rFonts w:cs="Times New Roman"/>
          <w:szCs w:val="24"/>
          <w:lang w:val="en-IN"/>
        </w:rPr>
        <w:t>(M) Wardha, Maharashtra, India</w:t>
      </w:r>
    </w:p>
    <w:p w14:paraId="1878E7C1" w14:textId="77777777" w:rsidR="005D3DA8" w:rsidRDefault="005D3DA8" w:rsidP="005D3DA8">
      <w:pPr>
        <w:ind w:left="23"/>
        <w:rPr>
          <w:rFonts w:cs="Times New Roman"/>
          <w:b/>
          <w:spacing w:val="-2"/>
          <w:szCs w:val="24"/>
        </w:rPr>
      </w:pPr>
    </w:p>
    <w:p w14:paraId="715F8C4F" w14:textId="1D59DF8B" w:rsidR="005D3DA8" w:rsidRPr="00D0576C" w:rsidRDefault="005D3DA8" w:rsidP="005D3DA8">
      <w:pPr>
        <w:ind w:left="23"/>
        <w:rPr>
          <w:rFonts w:cs="Times New Roman"/>
          <w:bCs/>
          <w:spacing w:val="-2"/>
          <w:szCs w:val="24"/>
        </w:rPr>
      </w:pPr>
      <w:r w:rsidRPr="00D0576C">
        <w:rPr>
          <w:rFonts w:cs="Times New Roman"/>
          <w:b/>
          <w:spacing w:val="-2"/>
          <w:szCs w:val="24"/>
        </w:rPr>
        <w:t xml:space="preserve">Running </w:t>
      </w:r>
      <w:r>
        <w:rPr>
          <w:rFonts w:cs="Times New Roman"/>
          <w:b/>
          <w:spacing w:val="-2"/>
          <w:szCs w:val="24"/>
        </w:rPr>
        <w:t>T</w:t>
      </w:r>
      <w:r w:rsidRPr="00D0576C">
        <w:rPr>
          <w:rFonts w:cs="Times New Roman"/>
          <w:b/>
          <w:spacing w:val="-2"/>
          <w:szCs w:val="24"/>
        </w:rPr>
        <w:t>itle</w:t>
      </w:r>
      <w:r>
        <w:rPr>
          <w:rFonts w:cs="Times New Roman"/>
          <w:bCs/>
          <w:spacing w:val="-2"/>
          <w:szCs w:val="24"/>
        </w:rPr>
        <w:t xml:space="preserve">- </w:t>
      </w:r>
      <w:proofErr w:type="spellStart"/>
      <w:r w:rsidR="003173EB" w:rsidRPr="003173EB">
        <w:rPr>
          <w:rFonts w:cs="Times New Roman"/>
          <w:bCs/>
          <w:spacing w:val="-2"/>
          <w:szCs w:val="24"/>
        </w:rPr>
        <w:t>Rasayana</w:t>
      </w:r>
      <w:proofErr w:type="spellEnd"/>
      <w:r w:rsidR="003173EB" w:rsidRPr="003173EB">
        <w:rPr>
          <w:rFonts w:cs="Times New Roman"/>
          <w:bCs/>
          <w:spacing w:val="-2"/>
          <w:szCs w:val="24"/>
        </w:rPr>
        <w:t xml:space="preserve"> Therapy Against Dushi Visha and Latent Toxicity</w:t>
      </w:r>
    </w:p>
    <w:p w14:paraId="7996B18D" w14:textId="77777777" w:rsidR="005D3DA8" w:rsidRDefault="005D3DA8" w:rsidP="005D3DA8">
      <w:pPr>
        <w:ind w:left="23"/>
        <w:rPr>
          <w:rFonts w:cs="Times New Roman"/>
          <w:b/>
          <w:spacing w:val="-2"/>
          <w:szCs w:val="24"/>
        </w:rPr>
      </w:pPr>
    </w:p>
    <w:p w14:paraId="25265BFF" w14:textId="77777777" w:rsidR="005D3DA8" w:rsidRDefault="005D3DA8" w:rsidP="005D3DA8">
      <w:pPr>
        <w:ind w:left="23"/>
        <w:rPr>
          <w:rFonts w:cs="Times New Roman"/>
          <w:b/>
          <w:spacing w:val="-2"/>
          <w:szCs w:val="24"/>
        </w:rPr>
      </w:pPr>
    </w:p>
    <w:p w14:paraId="4BFFAC31" w14:textId="77777777" w:rsidR="005D3DA8" w:rsidRDefault="005D3DA8" w:rsidP="005D3DA8">
      <w:pPr>
        <w:rPr>
          <w:rFonts w:cs="Times New Roman"/>
          <w:b/>
          <w:spacing w:val="-2"/>
          <w:szCs w:val="24"/>
        </w:rPr>
      </w:pPr>
    </w:p>
    <w:p w14:paraId="3F25AC40" w14:textId="77777777" w:rsidR="005D3DA8" w:rsidRDefault="005D3DA8" w:rsidP="005D3DA8">
      <w:pPr>
        <w:rPr>
          <w:rFonts w:cs="Times New Roman"/>
          <w:b/>
          <w:spacing w:val="-2"/>
          <w:szCs w:val="24"/>
        </w:rPr>
      </w:pPr>
    </w:p>
    <w:p w14:paraId="71101EC3" w14:textId="77777777" w:rsidR="005D3DA8" w:rsidRDefault="005D3DA8" w:rsidP="005D3DA8">
      <w:pPr>
        <w:rPr>
          <w:rFonts w:cs="Times New Roman"/>
          <w:b/>
          <w:spacing w:val="-2"/>
          <w:szCs w:val="24"/>
        </w:rPr>
      </w:pPr>
    </w:p>
    <w:p w14:paraId="4AC884D4" w14:textId="77777777" w:rsidR="005D3DA8" w:rsidRDefault="005D3DA8" w:rsidP="005D3DA8">
      <w:pPr>
        <w:rPr>
          <w:rFonts w:cs="Times New Roman"/>
          <w:b/>
          <w:spacing w:val="-2"/>
          <w:szCs w:val="24"/>
        </w:rPr>
      </w:pPr>
    </w:p>
    <w:p w14:paraId="463C3ADB" w14:textId="77777777" w:rsidR="005D3DA8" w:rsidRDefault="005D3DA8" w:rsidP="005D3DA8">
      <w:pPr>
        <w:rPr>
          <w:rFonts w:cs="Times New Roman"/>
          <w:b/>
          <w:spacing w:val="-2"/>
          <w:szCs w:val="24"/>
        </w:rPr>
      </w:pPr>
    </w:p>
    <w:p w14:paraId="2A7DA83F" w14:textId="77777777" w:rsidR="005D3DA8" w:rsidRDefault="005D3DA8" w:rsidP="005D3DA8">
      <w:pPr>
        <w:rPr>
          <w:rFonts w:cs="Times New Roman"/>
          <w:b/>
          <w:spacing w:val="-2"/>
          <w:szCs w:val="24"/>
        </w:rPr>
      </w:pPr>
    </w:p>
    <w:p w14:paraId="31AC4790" w14:textId="77777777" w:rsidR="005D3DA8" w:rsidRDefault="005D3DA8" w:rsidP="005D3DA8">
      <w:pPr>
        <w:pStyle w:val="ListParagraph"/>
        <w:spacing w:after="0" w:line="360" w:lineRule="auto"/>
        <w:ind w:left="0"/>
        <w:jc w:val="both"/>
        <w:rPr>
          <w:rFonts w:cs="Times New Roman"/>
          <w:b/>
          <w:szCs w:val="24"/>
        </w:rPr>
      </w:pPr>
      <w:r>
        <w:t>*</w:t>
      </w:r>
      <w:r w:rsidRPr="00327884">
        <w:rPr>
          <w:rFonts w:cs="Times New Roman"/>
          <w:b/>
          <w:szCs w:val="24"/>
        </w:rPr>
        <w:t xml:space="preserve"> </w:t>
      </w:r>
      <w:r>
        <w:rPr>
          <w:rFonts w:cs="Times New Roman"/>
          <w:b/>
          <w:szCs w:val="24"/>
        </w:rPr>
        <w:t xml:space="preserve">Corresponding author details: </w:t>
      </w:r>
    </w:p>
    <w:p w14:paraId="39422E83" w14:textId="77777777" w:rsidR="005D3DA8" w:rsidRDefault="005D3DA8" w:rsidP="005D3DA8">
      <w:pPr>
        <w:spacing w:after="0" w:line="360" w:lineRule="auto"/>
        <w:jc w:val="both"/>
        <w:rPr>
          <w:rFonts w:cs="Times New Roman"/>
          <w:bCs/>
          <w:szCs w:val="24"/>
        </w:rPr>
      </w:pPr>
      <w:r w:rsidRPr="00F94357">
        <w:rPr>
          <w:rFonts w:cs="Times New Roman"/>
          <w:bCs/>
          <w:szCs w:val="24"/>
        </w:rPr>
        <w:t>Dr. Sumit Dhote</w:t>
      </w:r>
    </w:p>
    <w:p w14:paraId="3AFF3134" w14:textId="77777777" w:rsidR="005D3DA8" w:rsidRPr="00453D58" w:rsidRDefault="005D3DA8" w:rsidP="005D3DA8">
      <w:pPr>
        <w:spacing w:after="0" w:line="360" w:lineRule="auto"/>
        <w:jc w:val="both"/>
        <w:rPr>
          <w:rFonts w:cs="Times New Roman"/>
          <w:bCs/>
          <w:szCs w:val="24"/>
        </w:rPr>
      </w:pPr>
      <w:r w:rsidRPr="00D0576C">
        <w:rPr>
          <w:rFonts w:cs="Times New Roman"/>
          <w:bCs/>
          <w:szCs w:val="24"/>
        </w:rPr>
        <w:t>PG Scholar</w:t>
      </w:r>
    </w:p>
    <w:p w14:paraId="6B0F7B05" w14:textId="77777777" w:rsidR="005D3DA8" w:rsidRDefault="005D3DA8" w:rsidP="005D3DA8">
      <w:pPr>
        <w:spacing w:after="0" w:line="360" w:lineRule="auto"/>
        <w:jc w:val="both"/>
        <w:rPr>
          <w:rFonts w:cs="Times New Roman"/>
          <w:szCs w:val="24"/>
        </w:rPr>
      </w:pPr>
      <w:r w:rsidRPr="00D0576C">
        <w:rPr>
          <w:rFonts w:cs="Times New Roman"/>
          <w:szCs w:val="24"/>
        </w:rPr>
        <w:t xml:space="preserve">Department of </w:t>
      </w:r>
      <w:proofErr w:type="spellStart"/>
      <w:r w:rsidRPr="003F5B94">
        <w:rPr>
          <w:rFonts w:cs="Times New Roman"/>
          <w:szCs w:val="24"/>
          <w:lang w:val="en-IN"/>
        </w:rPr>
        <w:t>Agadtantra</w:t>
      </w:r>
      <w:proofErr w:type="spellEnd"/>
      <w:r w:rsidRPr="003F5B94">
        <w:rPr>
          <w:rFonts w:cs="Times New Roman"/>
          <w:szCs w:val="24"/>
          <w:lang w:val="en-IN"/>
        </w:rPr>
        <w:t xml:space="preserve"> </w:t>
      </w:r>
      <w:proofErr w:type="spellStart"/>
      <w:r w:rsidRPr="003F5B94">
        <w:rPr>
          <w:rFonts w:cs="Times New Roman"/>
          <w:szCs w:val="24"/>
          <w:lang w:val="en-IN"/>
        </w:rPr>
        <w:t>Evum</w:t>
      </w:r>
      <w:proofErr w:type="spellEnd"/>
      <w:r w:rsidRPr="003F5B94">
        <w:rPr>
          <w:rFonts w:cs="Times New Roman"/>
          <w:szCs w:val="24"/>
          <w:lang w:val="en-IN"/>
        </w:rPr>
        <w:t xml:space="preserve"> </w:t>
      </w:r>
      <w:proofErr w:type="spellStart"/>
      <w:r w:rsidRPr="003F5B94">
        <w:rPr>
          <w:rFonts w:cs="Times New Roman"/>
          <w:szCs w:val="24"/>
          <w:lang w:val="en-IN"/>
        </w:rPr>
        <w:t>Vidhivaidyak</w:t>
      </w:r>
      <w:proofErr w:type="spellEnd"/>
    </w:p>
    <w:p w14:paraId="4BEF5492" w14:textId="77777777" w:rsidR="005D3DA8" w:rsidRDefault="005D3DA8" w:rsidP="005D3DA8">
      <w:pPr>
        <w:spacing w:after="0" w:line="360" w:lineRule="auto"/>
        <w:jc w:val="both"/>
        <w:rPr>
          <w:rFonts w:eastAsia="Times New Roman" w:cs="Times New Roman"/>
          <w:szCs w:val="24"/>
        </w:rPr>
      </w:pPr>
      <w:r w:rsidRPr="00D0576C">
        <w:rPr>
          <w:rFonts w:eastAsia="Times New Roman" w:cs="Times New Roman"/>
          <w:szCs w:val="24"/>
        </w:rPr>
        <w:t xml:space="preserve">Mahatma Gandhi </w:t>
      </w:r>
      <w:proofErr w:type="spellStart"/>
      <w:r w:rsidRPr="00D0576C">
        <w:rPr>
          <w:rFonts w:eastAsia="Times New Roman" w:cs="Times New Roman"/>
          <w:szCs w:val="24"/>
        </w:rPr>
        <w:t>Ayurved</w:t>
      </w:r>
      <w:proofErr w:type="spellEnd"/>
      <w:r w:rsidRPr="00D0576C">
        <w:rPr>
          <w:rFonts w:eastAsia="Times New Roman" w:cs="Times New Roman"/>
          <w:szCs w:val="24"/>
        </w:rPr>
        <w:t xml:space="preserve"> College Hospital &amp; Research Centre, </w:t>
      </w:r>
      <w:proofErr w:type="spellStart"/>
      <w:r w:rsidRPr="00D0576C">
        <w:rPr>
          <w:rFonts w:eastAsia="Times New Roman" w:cs="Times New Roman"/>
          <w:szCs w:val="24"/>
        </w:rPr>
        <w:t>Salod</w:t>
      </w:r>
      <w:proofErr w:type="spellEnd"/>
      <w:r w:rsidRPr="00D0576C">
        <w:rPr>
          <w:rFonts w:eastAsia="Times New Roman" w:cs="Times New Roman"/>
          <w:szCs w:val="24"/>
        </w:rPr>
        <w:t xml:space="preserve"> (H), Wardha, Maharashtra, India</w:t>
      </w:r>
    </w:p>
    <w:p w14:paraId="378C324A" w14:textId="77777777" w:rsidR="005D3DA8" w:rsidRPr="00C0392C" w:rsidRDefault="005D3DA8" w:rsidP="005D3DA8">
      <w:pPr>
        <w:spacing w:after="210"/>
        <w:rPr>
          <w:rFonts w:cs="Times New Roman"/>
          <w:szCs w:val="24"/>
          <w:lang w:val="en-IN"/>
        </w:rPr>
      </w:pPr>
      <w:r>
        <w:rPr>
          <w:rFonts w:cs="Times New Roman"/>
          <w:szCs w:val="24"/>
        </w:rPr>
        <w:t xml:space="preserve">Email ID: </w:t>
      </w:r>
      <w:hyperlink r:id="rId6" w:history="1">
        <w:r w:rsidRPr="003F5B94">
          <w:rPr>
            <w:rStyle w:val="Hyperlink"/>
            <w:rFonts w:cs="Times New Roman"/>
            <w:szCs w:val="24"/>
            <w:lang w:val="en-IN"/>
          </w:rPr>
          <w:t>sumitdhote12@gmail.com</w:t>
        </w:r>
      </w:hyperlink>
    </w:p>
    <w:p w14:paraId="2491705B" w14:textId="77777777" w:rsidR="005D3DA8" w:rsidRDefault="005D3DA8" w:rsidP="005D3DA8">
      <w:pPr>
        <w:spacing w:after="0" w:line="360" w:lineRule="auto"/>
        <w:jc w:val="both"/>
        <w:rPr>
          <w:rFonts w:cs="Times New Roman"/>
          <w:szCs w:val="24"/>
        </w:rPr>
      </w:pPr>
      <w:r>
        <w:rPr>
          <w:rFonts w:cs="Times New Roman"/>
          <w:szCs w:val="24"/>
        </w:rPr>
        <w:t>Telephone no.:</w:t>
      </w:r>
      <w:r w:rsidRPr="003F5B94">
        <w:rPr>
          <w:rFonts w:cs="Times New Roman"/>
          <w:szCs w:val="24"/>
          <w:lang w:val="en-IN"/>
        </w:rPr>
        <w:t xml:space="preserve"> +919370607518</w:t>
      </w:r>
      <w:bookmarkEnd w:id="0"/>
    </w:p>
    <w:p w14:paraId="506230A1" w14:textId="064F2029" w:rsidR="000E4624" w:rsidRPr="005D3DA8" w:rsidRDefault="000355CC" w:rsidP="005D3DA8">
      <w:pPr>
        <w:spacing w:after="0" w:line="360" w:lineRule="auto"/>
        <w:jc w:val="both"/>
        <w:rPr>
          <w:rFonts w:cs="Times New Roman"/>
          <w:szCs w:val="24"/>
        </w:rPr>
      </w:pPr>
      <w:r w:rsidRPr="000355CC">
        <w:rPr>
          <w:rFonts w:eastAsia="Times New Roman" w:cs="Times New Roman"/>
          <w:b/>
          <w:bCs/>
          <w:szCs w:val="24"/>
        </w:rPr>
        <w:lastRenderedPageBreak/>
        <w:t>ABSTRACT</w:t>
      </w:r>
    </w:p>
    <w:p w14:paraId="09DA28C5" w14:textId="6CB46D8A" w:rsidR="00772007" w:rsidRDefault="00F7369D" w:rsidP="00772007">
      <w:pPr>
        <w:spacing w:after="0" w:line="360" w:lineRule="auto"/>
        <w:jc w:val="both"/>
        <w:rPr>
          <w:rFonts w:eastAsia="Times New Roman" w:cs="Times New Roman"/>
          <w:szCs w:val="24"/>
        </w:rPr>
      </w:pPr>
      <w:proofErr w:type="gramStart"/>
      <w:proofErr w:type="gramEnd"/>
      <w:proofErr w:type="spellStart"/>
      <w:proofErr w:type="spellEnd"/>
      <w:proofErr w:type="spellStart"/>
      <w:proofErr w:type="spellEnd"/>
      <w:r>
        <w:rPr>
          <w:rFonts w:eastAsia="Times New Roman" w:cs="Times New Roman"/>
          <w:szCs w:val="24"/>
        </w:rPr>
        <w:t>Classical Ayurveda describes Dushi Visha as poison the body never finishes clearing. Potency weakened, it sits in the tissues doing slow damage, and surfaces only when diet, season or a lapse in host defence gives it room. Modern toxicology reports something uncomfortably close under another name: low-dose exposure sustained over decades, deposition in bone and brain, then a slow grind of oxidative stress, failing mitochondria and chronic inflammation that ends often enough in neurodegeneration. No single antidote reaches all of that. EDTA, DMSA and DMPS pull metal from blood and soft tissue, and leave the established mitochondrial and inflammatory lesion where it is. Rasayana, we argue, is better read as a systems-level strategy than as one more remedy aimed at one toxicant: several molecular and organ-level pathways at once. We test that reading against five herbs (Ashwagandha, Guduchi, Amalaki, Triphala, Brahmi) for what they do to redox signalling, transcription, apoptosis, synaptic plasticity and the gut–brain axis. Mechanism is the strong part of the case. Human evidence is not. Closest to a proof of principle is a one-month trial of 500 mg vitamin C daily in battery-plant workers whose mean blood lead sat near 63 µg/dL. Serum lipid peroxides fell about 16% and erythrocyte superoxide dismutase rose 38%; blood lead barely moved. Vitamin C is not a Rasayana. Safety runs the other way, with 43 documented cases of Tinospora-attributed liver injury and detectable lead, mercury or arsenic in one marketed Ayurvedic product in five (40.6% among rasa shastra preparations). Delivery is the weak link. Withanolides, bacosides and the larger polyphenols barely reach the brain, so we close by setting Ghrita, the classical lipid Anupana, against nanoemulsions and solid lipid nanoparticles, and by setting out the work the field still owes.</w:t>
      </w:r>
    </w:p>
    <w:p w14:paraId="56CB25E2" w14:textId="77777777" w:rsidR="00F7369D" w:rsidRPr="00772007" w:rsidRDefault="00F7369D" w:rsidP="00772007">
      <w:pPr>
        <w:spacing w:after="0" w:line="360" w:lineRule="auto"/>
        <w:jc w:val="both"/>
        <w:rPr>
          <w:rFonts w:cs="Times New Roman"/>
          <w:szCs w:val="24"/>
        </w:rPr>
      </w:pPr>
    </w:p>
    <w:p w14:paraId="06B04F3A" w14:textId="3A06168F" w:rsidR="000E4624" w:rsidRPr="00772007" w:rsidRDefault="00490318" w:rsidP="00772007">
      <w:pPr>
        <w:spacing w:after="0" w:line="360" w:lineRule="auto"/>
        <w:jc w:val="both"/>
        <w:rPr>
          <w:rFonts w:cs="Times New Roman"/>
          <w:szCs w:val="24"/>
        </w:rPr>
      </w:pPr>
      <w:r w:rsidRPr="00772007">
        <w:rPr>
          <w:rFonts w:eastAsia="Times New Roman" w:cs="Times New Roman"/>
          <w:b/>
          <w:bCs/>
          <w:szCs w:val="24"/>
        </w:rPr>
        <w:t>Keywords</w:t>
      </w:r>
      <w:r w:rsidR="002169CD" w:rsidRPr="00772007">
        <w:rPr>
          <w:rFonts w:cs="Times New Roman"/>
          <w:b/>
          <w:bCs/>
          <w:szCs w:val="24"/>
        </w:rPr>
        <w:t>:</w:t>
      </w:r>
      <w:r w:rsidR="002169CD" w:rsidRPr="00772007">
        <w:rPr>
          <w:rFonts w:cs="Times New Roman"/>
          <w:szCs w:val="24"/>
        </w:rPr>
        <w:t xml:space="preserve"> </w:t>
      </w:r>
      <w:r w:rsidRPr="00772007">
        <w:rPr>
          <w:rFonts w:eastAsia="Times New Roman" w:cs="Times New Roman"/>
          <w:szCs w:val="24"/>
        </w:rPr>
        <w:t xml:space="preserve">Dushi Visha; </w:t>
      </w:r>
      <w:proofErr w:type="spellStart"/>
      <w:r w:rsidRPr="00772007">
        <w:rPr>
          <w:rFonts w:eastAsia="Times New Roman" w:cs="Times New Roman"/>
          <w:szCs w:val="24"/>
        </w:rPr>
        <w:t>Rasayana</w:t>
      </w:r>
      <w:proofErr w:type="spellEnd"/>
      <w:r w:rsidRPr="00772007">
        <w:rPr>
          <w:rFonts w:eastAsia="Times New Roman" w:cs="Times New Roman"/>
          <w:szCs w:val="24"/>
        </w:rPr>
        <w:t>; latent toxicity; oxidative stress; Nrf2; NF‑</w:t>
      </w:r>
      <w:proofErr w:type="spellStart"/>
      <w:r w:rsidRPr="00772007">
        <w:rPr>
          <w:rFonts w:eastAsia="Times New Roman" w:cs="Times New Roman"/>
          <w:szCs w:val="24"/>
        </w:rPr>
        <w:t>κB</w:t>
      </w:r>
      <w:proofErr w:type="spellEnd"/>
      <w:r w:rsidRPr="00772007">
        <w:rPr>
          <w:rFonts w:eastAsia="Times New Roman" w:cs="Times New Roman"/>
          <w:szCs w:val="24"/>
        </w:rPr>
        <w:t xml:space="preserve">; gut–brain axis; </w:t>
      </w:r>
      <w:proofErr w:type="spellStart"/>
      <w:r w:rsidRPr="00772007">
        <w:rPr>
          <w:rFonts w:eastAsia="Times New Roman" w:cs="Times New Roman"/>
          <w:szCs w:val="24"/>
        </w:rPr>
        <w:t>nanoemulsion</w:t>
      </w:r>
      <w:proofErr w:type="spellEnd"/>
      <w:r w:rsidRPr="00772007">
        <w:rPr>
          <w:rFonts w:eastAsia="Times New Roman" w:cs="Times New Roman"/>
          <w:szCs w:val="24"/>
        </w:rPr>
        <w:t>; solid lipid nanoparticles; environmental toxicology.</w:t>
      </w:r>
    </w:p>
    <w:p w14:paraId="34DC202A" w14:textId="77777777" w:rsidR="000E4624" w:rsidRPr="00772007" w:rsidRDefault="000E4624" w:rsidP="00772007">
      <w:pPr>
        <w:spacing w:after="0" w:line="360" w:lineRule="auto"/>
        <w:rPr>
          <w:rFonts w:cs="Times New Roman"/>
          <w:szCs w:val="24"/>
        </w:rPr>
      </w:pPr>
    </w:p>
    <w:p w14:paraId="1502BD31" w14:textId="77777777" w:rsidR="00772007" w:rsidRDefault="00772007" w:rsidP="00772007">
      <w:pPr>
        <w:spacing w:after="0" w:line="360" w:lineRule="auto"/>
        <w:rPr>
          <w:rFonts w:eastAsia="Times New Roman" w:cs="Times New Roman"/>
          <w:szCs w:val="24"/>
        </w:rPr>
      </w:pPr>
    </w:p>
    <w:p w14:paraId="74828483" w14:textId="77777777" w:rsidR="00772007" w:rsidRDefault="00772007" w:rsidP="00772007">
      <w:pPr>
        <w:spacing w:after="0" w:line="360" w:lineRule="auto"/>
        <w:rPr>
          <w:rFonts w:eastAsia="Times New Roman" w:cs="Times New Roman"/>
          <w:szCs w:val="24"/>
        </w:rPr>
      </w:pPr>
    </w:p>
    <w:p w14:paraId="1D77F9EA" w14:textId="77777777" w:rsidR="00772007" w:rsidRDefault="00772007" w:rsidP="00772007">
      <w:pPr>
        <w:spacing w:after="0" w:line="360" w:lineRule="auto"/>
        <w:rPr>
          <w:rFonts w:eastAsia="Times New Roman" w:cs="Times New Roman"/>
          <w:szCs w:val="24"/>
        </w:rPr>
      </w:pPr>
    </w:p>
    <w:p w14:paraId="0F45BF79" w14:textId="77777777" w:rsidR="00772007" w:rsidRDefault="00772007" w:rsidP="00772007">
      <w:pPr>
        <w:spacing w:after="0" w:line="360" w:lineRule="auto"/>
        <w:rPr>
          <w:rFonts w:eastAsia="Times New Roman" w:cs="Times New Roman"/>
          <w:szCs w:val="24"/>
        </w:rPr>
      </w:pPr>
    </w:p>
    <w:p w14:paraId="064D2525" w14:textId="77777777" w:rsidR="00772007" w:rsidRDefault="00772007" w:rsidP="00772007">
      <w:pPr>
        <w:spacing w:after="0" w:line="360" w:lineRule="auto"/>
        <w:rPr>
          <w:rFonts w:eastAsia="Times New Roman" w:cs="Times New Roman"/>
          <w:szCs w:val="24"/>
        </w:rPr>
      </w:pPr>
    </w:p>
    <w:p w14:paraId="2999BF83" w14:textId="77777777" w:rsidR="00772007" w:rsidRDefault="00772007" w:rsidP="00772007">
      <w:pPr>
        <w:spacing w:after="0" w:line="360" w:lineRule="auto"/>
        <w:rPr>
          <w:rFonts w:eastAsia="Times New Roman" w:cs="Times New Roman"/>
          <w:szCs w:val="24"/>
        </w:rPr>
      </w:pPr>
    </w:p>
    <w:p w14:paraId="26358AF0" w14:textId="77777777" w:rsidR="00F7369D" w:rsidRDefault="00F7369D" w:rsidP="00772007">
      <w:pPr>
        <w:spacing w:after="0" w:line="360" w:lineRule="auto"/>
        <w:rPr>
          <w:rFonts w:eastAsia="Times New Roman" w:cs="Times New Roman"/>
          <w:szCs w:val="24"/>
        </w:rPr>
      </w:pPr>
    </w:p>
    <w:p w14:paraId="367C1392" w14:textId="77777777" w:rsidR="00F7369D" w:rsidRDefault="00F7369D" w:rsidP="00772007">
      <w:pPr>
        <w:spacing w:after="0" w:line="360" w:lineRule="auto"/>
        <w:rPr>
          <w:rFonts w:eastAsia="Times New Roman" w:cs="Times New Roman"/>
          <w:szCs w:val="24"/>
        </w:rPr>
      </w:pPr>
    </w:p>
    <w:p w14:paraId="6FE9AD0D" w14:textId="77777777" w:rsidR="00772007" w:rsidRDefault="00772007" w:rsidP="00772007">
      <w:pPr>
        <w:spacing w:after="0" w:line="360" w:lineRule="auto"/>
        <w:rPr>
          <w:rFonts w:eastAsia="Times New Roman" w:cs="Times New Roman"/>
          <w:szCs w:val="24"/>
        </w:rPr>
      </w:pPr>
    </w:p>
    <w:p w14:paraId="1BEA69CC" w14:textId="77777777" w:rsidR="00772007" w:rsidRDefault="00772007" w:rsidP="00772007">
      <w:pPr>
        <w:spacing w:after="0" w:line="360" w:lineRule="auto"/>
        <w:rPr>
          <w:rFonts w:eastAsia="Times New Roman" w:cs="Times New Roman"/>
          <w:szCs w:val="24"/>
        </w:rPr>
      </w:pPr>
    </w:p>
    <w:p w14:paraId="3AF7E825" w14:textId="77777777" w:rsidR="00772007" w:rsidRDefault="00772007" w:rsidP="00772007">
      <w:pPr>
        <w:spacing w:after="0" w:line="360" w:lineRule="auto"/>
        <w:rPr>
          <w:rFonts w:eastAsia="Times New Roman" w:cs="Times New Roman"/>
          <w:szCs w:val="24"/>
        </w:rPr>
      </w:pPr>
    </w:p>
    <w:p w14:paraId="13479C25" w14:textId="77777777" w:rsidR="00772007" w:rsidRDefault="00772007" w:rsidP="00772007">
      <w:pPr>
        <w:spacing w:after="0" w:line="360" w:lineRule="auto"/>
        <w:rPr>
          <w:rFonts w:eastAsia="Times New Roman" w:cs="Times New Roman"/>
          <w:szCs w:val="24"/>
        </w:rPr>
      </w:pPr>
    </w:p>
    <w:p w14:paraId="24FAFE4E" w14:textId="1421649E" w:rsidR="00772007" w:rsidRPr="000355CC" w:rsidRDefault="000355CC" w:rsidP="000355CC">
      <w:pPr>
        <w:spacing w:after="0" w:line="360" w:lineRule="auto"/>
        <w:jc w:val="both"/>
        <w:rPr>
          <w:rFonts w:eastAsia="Times New Roman" w:cs="Times New Roman"/>
          <w:b/>
          <w:bCs/>
          <w:szCs w:val="24"/>
        </w:rPr>
      </w:pPr>
      <w:r w:rsidRPr="000355CC">
        <w:rPr>
          <w:rFonts w:eastAsia="Times New Roman" w:cs="Times New Roman"/>
          <w:b/>
          <w:bCs/>
          <w:szCs w:val="24"/>
        </w:rPr>
        <w:lastRenderedPageBreak/>
        <w:t>INTRODUCTION</w:t>
      </w:r>
      <w:r w:rsidR="00490318" w:rsidRPr="000355CC">
        <w:rPr>
          <w:rFonts w:eastAsia="Times New Roman" w:cs="Times New Roman"/>
          <w:b/>
          <w:bCs/>
          <w:szCs w:val="24"/>
        </w:rPr>
        <w:t xml:space="preserve"> </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Bone holds lead and the kidney holds cadmium, both for decades, so internal exposure continues long after the external source is gone. Mercury is the odd one out. Blood clears it within months, yet inorganic mercury deposited in the brain appears to be retained for years and possibly decades[7]. Cadmium at low dose strips glutathione out of liver and kidney mitochondria by degrees, leaving oxidative damage that accumulates[8]; lead and mercury are neurotropic and cardiotoxic alike, and may take years of dietary and environmental exposure before they declare themselves clinically[9,10]. Kinetics of a poison that does not leave, in other words, and the clinic calls the consequences latent toxicity.</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Organic solvents and endocrine-disrupting chemicals behave the same way, accumulating across years of subclinical contact with little to show for it[5]; then adaptive capacity runs out and several organ systems give way at once. Fatigue, cognitive complaints, dysautonomia, metabolic derangement, chronic inflammatory disease. Vague, all of it. Nobody can date the onset, because there is rarely a single episode to name[5,6].</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An older vocabulary got there first. Charaka and Sushruta both describe Dushi Visha as poison that has lost its acute virulence and was never cleared[1]. It stays. A change of season, a dietary indiscretion, a dip in host defence: any of these wakes it[1]. Of the ten properties classical nosology attributes to Visha, Dushi Visha carries an incomplete set; that is why it kills nobody quickly and produces delayed, shifting complaints instead (indigestion, skin eruptions, oedema, neurological disturbance, progressive tissue wasting)[1].</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Where it sits matters as much as what it is. Visha lodged in the deeper Dhatus and Srotas, held under Avarana by the Doshas, lies dormant until stress or poor diet overwhelms compensation[1]. Set that beside lead in bone and inorganic mercury in brain; each is retained for years, and each leaks back into the circulation to drive subclinical or overt disease[7,8]. Ayurvedic reviews now read Dushi Visha as the chronic low-dose load of pesticide residues, food adulterants and occupational chemicals often enough for it to count as the standard move[2–4]. How exact the equation is matters less than whether it earns its keep. We think it does.</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Image 1 lays out the reading. Seen through environmental toxicology this is a latent toxic state produced by chronic low-dose exposure to heavy metals, pesticides, industrial pollutants and dietary adulterants; metals accumulate, redox balance fails, mitochondria falter and inflammation persists, which between them explain why the illness declares itself late and scatters across organ systems. Rasayana cannot then be filed under rejuvenation in the loose sense. Whether it restores redox balance, keeps mitochondria working, recalibrates immune responses and protects neurocognitive reserve is the question. Those are measurable things. As the word is usually deployed, rejuvenation is not.</w:t>
      </w:r>
    </w:p>
    <w:p w14:paraId="51EA9615" w14:textId="77777777" w:rsidR="0046290E" w:rsidRDefault="0046290E" w:rsidP="000355CC">
      <w:pPr>
        <w:spacing w:after="0" w:line="360" w:lineRule="auto"/>
        <w:jc w:val="both"/>
        <w:rPr>
          <w:rFonts w:eastAsia="Times New Roman" w:cs="Times New Roman"/>
          <w:szCs w:val="24"/>
        </w:rPr>
      </w:pPr>
    </w:p>
    <w:p w14:paraId="63627B2A" w14:textId="2D10389D" w:rsidR="0046290E" w:rsidRPr="0046290E" w:rsidRDefault="0046290E" w:rsidP="0046290E">
      <w:pPr>
        <w:spacing w:after="0" w:line="360" w:lineRule="auto"/>
        <w:jc w:val="center"/>
        <w:rPr>
          <w:rFonts w:eastAsia="Times New Roman" w:cs="Times New Roman"/>
          <w:b/>
          <w:bCs/>
          <w:szCs w:val="24"/>
        </w:rPr>
      </w:pPr>
      <w:r w:rsidRPr="0046290E">
        <w:rPr>
          <w:rFonts w:eastAsia="Times New Roman" w:cs="Times New Roman"/>
          <w:b/>
          <w:bCs/>
          <w:szCs w:val="24"/>
          <w:lang w:val="en-IN"/>
        </w:rPr>
        <w:drawing>
          <wp:anchor distT="0" distB="0" distL="114300" distR="114300" simplePos="0" relativeHeight="251658240" behindDoc="0" locked="0" layoutInCell="1" allowOverlap="1" wp14:anchorId="4BFF6776" wp14:editId="6258AF35">
            <wp:simplePos x="0" y="0"/>
            <wp:positionH relativeFrom="margin">
              <wp:align>right</wp:align>
            </wp:positionH>
            <wp:positionV relativeFrom="paragraph">
              <wp:posOffset>512156</wp:posOffset>
            </wp:positionV>
            <wp:extent cx="5943600" cy="3574415"/>
            <wp:effectExtent l="0" t="0" r="0" b="6985"/>
            <wp:wrapTopAndBottom/>
            <wp:docPr id="118611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9790"/>
                    <a:stretch>
                      <a:fillRect/>
                    </a:stretch>
                  </pic:blipFill>
                  <pic:spPr bwMode="auto">
                    <a:xfrm>
                      <a:off x="0" y="0"/>
                      <a:ext cx="5943600" cy="35744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6290E">
        <w:rPr>
          <w:rFonts w:eastAsia="Times New Roman" w:cs="Times New Roman"/>
          <w:b/>
          <w:bCs/>
          <w:szCs w:val="24"/>
        </w:rPr>
        <w:t xml:space="preserve">Image 1: From Dushi Visha to Chronic Latent Toxicity: Pathophysiology and Systems-Level Counteraction by </w:t>
      </w:r>
      <w:proofErr w:type="spellStart"/>
      <w:r w:rsidRPr="0046290E">
        <w:rPr>
          <w:rFonts w:eastAsia="Times New Roman" w:cs="Times New Roman"/>
          <w:b/>
          <w:bCs/>
          <w:szCs w:val="24"/>
        </w:rPr>
        <w:t>Rasayana</w:t>
      </w:r>
      <w:proofErr w:type="spellEnd"/>
      <w:r w:rsidRPr="0046290E">
        <w:rPr>
          <w:rFonts w:eastAsia="Times New Roman" w:cs="Times New Roman"/>
          <w:b/>
          <w:bCs/>
          <w:szCs w:val="24"/>
        </w:rPr>
        <w:t xml:space="preserve"> Therapy</w:t>
      </w:r>
    </w:p>
    <w:p w14:paraId="4CC3DC50" w14:textId="6084269B" w:rsidR="0046290E" w:rsidRPr="0046290E" w:rsidRDefault="0046290E" w:rsidP="000355CC">
      <w:pPr>
        <w:spacing w:after="0" w:line="360" w:lineRule="auto"/>
        <w:jc w:val="both"/>
        <w:rPr>
          <w:rFonts w:eastAsia="Times New Roman" w:cs="Times New Roman"/>
          <w:szCs w:val="24"/>
          <w:lang w:val="en-IN"/>
        </w:rPr>
      </w:pPr>
    </w:p>
    <w:p w14:paraId="4D7B668F" w14:textId="71AA84C6"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RASAYANA THERAPY AS A SYSTEMS-LEVEL COUNTERMEASURE</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One of the eight branches of Ashtanga Ayurveda, Rasayana classically covers dietary, behavioural and pharmacological measures meant to extend life, sharpen cognition, strengthen tissues and raise resistance to disease, chiefly by building Ojas and correcting Agni[11]. Pharmacology has caught up with part of that claim. Many Rasayana botanicals show antioxidant, anti-inflammatory, antiapoptotic, immunomodulatory and cytoprotective activity, and they usually get there through several signalling pathways rather than one (rarely just one) [12–14].</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Chelators work differently. They bind a metal, remove it, and do nothing about the damage already done, which is the argument for putting a multi-target agent alongside Agada (antidotal) treatment in Dushi Visha rather than in competition with it[4]. Two stages, then. Bring the toxic load down first, by avoidance, chelation and Agada Tantra; Rasayana takes the slower half afterwards, with redox balance rebuilt, mitochondria restored, immune homeostasis resettled and neurocognitive resilience protected[4,15,16]. An antidote-centred model was never going to fit a disease that damages many systems at once.</w:t>
      </w:r>
    </w:p>
    <w:p w14:paraId="09792C93" w14:textId="6AAFC9DB"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MOLECULAR PATHOLOGY OF LATENT TOXICITY (DUSHI VISHA)</w:t>
      </w:r>
    </w:p>
    <w:p w14:paraId="44B3993D" w14:textId="19D42A3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proofErr w:type="gramStart"/>
      <w:proofErr w:type="gramEnd"/>
      <w:r>
        <w:rPr>
          <w:rFonts w:eastAsia="Times New Roman" w:cs="Times New Roman"/>
          <w:szCs w:val="24"/>
        </w:rPr>
        <w:t>What keeps the damage going once exposure turns chronic? Mostly the mitochondrion. Continuous contact with heavy metals, pesticides and related toxicants holds reactive oxygen species production high and drains glutathione, with the mitochondrial pool hit hardest; lipids peroxidise, proteins oxidise and the electron transport chain complexes themselves take damage[17,18]. Cadmium shows the pattern cleanly, and has shown it for more than two decades. In rats given long-term low doses, mitochondrial glutathione in liver and kidney falls in a time- and dose-dependent way while oxidatively damaged end-products pile up, and the loss of mitochondrial glutathione tracks closely with the loss of cell viability[8,19]. Chronic stress produces a comparable lesion in the brain, where sustained nitric oxide overproduction inhibits respiratory chain complexes, depletes glutathione and drives lipid peroxidation; that gives a plausible route from stress, through mitochondrial failure, to latent neurotoxicity[20,21].</w:t>
      </w:r>
    </w:p>
    <w:p w14:paraId="66A7ADCE" w14:textId="19233B89"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Ayurveda reads the same process as Dhatu Kshaya and Srotodushti, a chronic erosion of tissue resilience with impaired Agni at its centre. Read in current terms, that is failing mitochondrial energetics and exhausted redox buffering. Here, more than anywhere else in the comparison, the classical idea of smouldering toxicity and the modern data on cumulative organ damage line up[22,23].</w:t>
      </w:r>
    </w:p>
    <w:p w14:paraId="74446BA1" w14:textId="4858FE5E"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INFLAMMATORY CASCADES: MICROGLIAL ACTIVATION AND SYSTEMIC INFLAMMATION</w:t>
      </w:r>
    </w:p>
    <w:p w14:paraId="5A9943B5" w14:textId="49667D32"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r>
        <w:rPr>
          <w:rFonts w:eastAsia="Times New Roman" w:cs="Times New Roman"/>
          <w:szCs w:val="24"/>
        </w:rPr>
        <w:t>Neuroinflammation is the second engine, and microglia run it. These resident immune cells of the central nervous system answer a toxic insult by releasing reactive oxygen species, nitric oxide and pro-inflammatory cytokines, a response that can start neuronal injury or worsen injury already under way[25]; chronic exposure to environmental toxicants is now recognised as a driver of exactly that activation[24]. How delicate is the balance? Very. Tip the microglial phenotype slightly and these cells move from protection into a chronic, self-sustaining inflammatory state that feeds neurodegenerative disease[24]. Pesticides and heavy metals cross the blood–brain barrier and provoke the response directly, which makes the path from environmental exposure to central immune dysregulation a short one[10,18]. Outside the brain the picture repeats. Insulin resistance, endothelial damage and atherosclerosis all follow from chronic low-grade inflammation running through transcription factors such as NF‑κB[26,27]. Dushi Visha has an obvious multisystem counterpart in that. Either it is a real convergence, or the two descriptions are loose enough to fit almost anything. We would bet on the first, though not heavily.</w:t>
      </w:r>
    </w:p>
    <w:p w14:paraId="2E9C5B2F" w14:textId="55F15EC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chelation does not reach</w:t>
      </w:r>
    </w:p>
    <w:p w14:paraId="42B8E5CE" w14:textId="599DA46A" w:rsidR="000E4624" w:rsidRDefault="00490318" w:rsidP="000355CC">
      <w:pPr>
        <w:spacing w:after="0" w:line="360" w:lineRule="auto"/>
        <w:jc w:val="both"/>
        <w:rPr>
          <w:rFonts w:eastAsia="Times New Roman" w:cs="Times New Roman"/>
          <w:szCs w:val="24"/>
        </w:rPr>
      </w:pPr>
      <w:proofErr w:type="gramStart"/>
      <w:proofErr w:type="gramEnd"/>
      <w:proofErr w:type="spellStart"/>
      <w:proofErr w:type="spellEnd"/>
      <w:proofErr w:type="gramStart"/>
      <w:proofErr w:type="gramEnd"/>
      <w:proofErr w:type="gramStart"/>
      <w:proofErr w:type="gramEnd"/>
      <w:proofErr w:type="spellStart"/>
      <w:proofErr w:type="spellEnd"/>
      <w:proofErr w:type="gramStart"/>
      <w:proofErr w:type="gramEnd"/>
      <w:r>
        <w:rPr>
          <w:rFonts w:eastAsia="Times New Roman" w:cs="Times New Roman"/>
          <w:szCs w:val="24"/>
        </w:rPr>
        <w:t>Standard treatment for heavy-metal toxicity still runs on EDTA, DMSA and DMPS, which handle metal in blood and some soft tissues well enough but reach brain and bone hardly at all: what is locked there stays locked, and once mitochondrial or inflammatory damage is established none of the three reverses it[15,28,29]. They also leave untouched what shapes the long-term picture: the toxin's effect on redox signalling, on immune networks, on neuroplasticity[15]. Prolonged courses cost something, too. Trace elements the body needs get stripped out alongside the metal; tolerance is worst in exactly the patients least able to absorb it[30].</w:t>
      </w:r>
    </w:p>
    <w:p w14:paraId="42B8E5CE" w14:textId="599DA46A" w:rsidR="000E4624" w:rsidRDefault="00490318" w:rsidP="000355CC">
      <w:pPr>
        <w:spacing w:after="0" w:line="360" w:lineRule="auto"/>
        <w:jc w:val="both"/>
        <w:rPr>
          <w:rFonts w:eastAsia="Times New Roman" w:cs="Times New Roman"/>
          <w:szCs w:val="24"/>
        </w:rPr>
      </w:pPr>
      <w:proofErr w:type="gramStart"/>
      <w:proofErr w:type="gramEnd"/>
      <w:proofErr w:type="spellStart"/>
      <w:proofErr w:type="spellEnd"/>
      <w:proofErr w:type="gramStart"/>
      <w:proofErr w:type="gramEnd"/>
      <w:proofErr w:type="gramStart"/>
      <w:proofErr w:type="gramEnd"/>
      <w:proofErr w:type="spellStart"/>
      <w:proofErr w:type="spellEnd"/>
      <w:proofErr w:type="gramStart"/>
      <w:proofErr w:type="gramEnd"/>
      <w:r>
        <w:rPr>
          <w:rFonts w:eastAsia="Times New Roman" w:cs="Times New Roman"/>
          <w:szCs w:val="24"/>
        </w:rPr>
        <w:t>So what would it take to work on the residue instead of the metal? One crude test exists. Workers in a western Maharashtra battery plant, mean blood lead near 63 µg/dL at entry, took 500 mg of vitamin C daily for a month. Blood lead barely moved. Serum lipid peroxides fell by about 16%; erythrocyte superoxide dismutase rose by 38%[31]. One month, soft endpoints, a small sample. It is also the nearest thing to a proof of principle anyone here has, which says something about the state of things, and Rasayana botanicals act on oxidative stress, on inflammation, on apoptosis and on synaptic function, which puts them in exactly the same gap[4].</w:t>
      </w:r>
    </w:p>
    <w:p w14:paraId="063B06ED" w14:textId="77777777" w:rsidR="00F7369D" w:rsidRPr="00772007" w:rsidRDefault="00F7369D" w:rsidP="000355CC">
      <w:pPr>
        <w:spacing w:after="0" w:line="360" w:lineRule="auto"/>
        <w:jc w:val="both"/>
        <w:rPr>
          <w:rFonts w:cs="Times New Roman"/>
          <w:szCs w:val="24"/>
        </w:rPr>
      </w:pPr>
    </w:p>
    <w:p w14:paraId="0A4F5AED" w14:textId="77777777" w:rsidR="002D5C9B"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Pharmacodynamics of </w:t>
      </w:r>
      <w:proofErr w:type="spellStart"/>
      <w:r w:rsidRPr="00772007">
        <w:rPr>
          <w:rFonts w:ascii="Times New Roman" w:hAnsi="Times New Roman" w:cs="Times New Roman"/>
          <w:color w:val="auto"/>
          <w:sz w:val="24"/>
          <w:szCs w:val="24"/>
        </w:rPr>
        <w:t>Rasayana</w:t>
      </w:r>
      <w:proofErr w:type="spellEnd"/>
      <w:r w:rsidRPr="00772007">
        <w:rPr>
          <w:rFonts w:ascii="Times New Roman" w:hAnsi="Times New Roman" w:cs="Times New Roman"/>
          <w:color w:val="auto"/>
          <w:sz w:val="24"/>
          <w:szCs w:val="24"/>
        </w:rPr>
        <w:t xml:space="preserve"> botanicals</w:t>
      </w:r>
    </w:p>
    <w:p w14:paraId="3406AE78" w14:textId="604B0E91" w:rsidR="00AC0680" w:rsidRPr="00AC0680" w:rsidRDefault="00AC0680" w:rsidP="00AC0680">
      <w:pPr>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Not one of these five acts on a single target. Between them, Ashwagandha, Guduchi, Amalaki, Triphala and Brahmi reach antioxidant, anti-inflammatory, immunomodulatory and neuroprotective effects. How much of that reaches tissue is the vehicle's business. Ghrita, the classical lipid carrier, raises bioavailability and sharpens tissue targeting; so do nanoemulsions and solid lipid nanoparticles (Image 2).</w:t>
      </w:r>
    </w:p>
    <w:p w14:paraId="34D5994A" w14:textId="2D680332" w:rsidR="000E4624" w:rsidRDefault="00490318" w:rsidP="000355CC">
      <w:pPr>
        <w:pStyle w:val="Heading1"/>
        <w:spacing w:before="0" w:line="360" w:lineRule="auto"/>
        <w:jc w:val="both"/>
        <w:rPr>
          <w:rFonts w:ascii="Times New Roman" w:hAnsi="Times New Roman" w:cs="Times New Roman"/>
          <w:color w:val="auto"/>
          <w:sz w:val="24"/>
          <w:szCs w:val="24"/>
        </w:rPr>
      </w:pPr>
      <w:proofErr w:type="spellStart"/>
      <w:r w:rsidRPr="00772007">
        <w:rPr>
          <w:rFonts w:ascii="Times New Roman" w:hAnsi="Times New Roman" w:cs="Times New Roman"/>
          <w:color w:val="auto"/>
          <w:sz w:val="24"/>
          <w:szCs w:val="24"/>
        </w:rPr>
      </w:r>
      <w:r w:rsidRPr="00772007">
        <w:rPr>
          <w:rFonts w:ascii="Times New Roman" w:hAnsi="Times New Roman" w:cs="Times New Roman"/>
          <w:color w:val="auto"/>
          <w:sz w:val="24"/>
          <w:szCs w:val="24"/>
          <w:i/>
        </w:rPr>
        <w:t xml:space="preserve">Withania somnifera</w:t>
      </w:r>
      <w:r w:rsidRPr="00772007">
        <w:rPr>
          <w:rFonts w:ascii="Times New Roman" w:hAnsi="Times New Roman" w:cs="Times New Roman"/>
          <w:color w:val="auto"/>
          <w:sz w:val="24"/>
          <w:szCs w:val="24"/>
        </w:rPr>
        <w:t xml:space="preserve"> (Ashwagandha)</w:t>
      </w:r>
      <w:proofErr w:type="spellEnd"/>
      <w:proofErr w:type="spellStart"/>
      <w:proofErr w:type="spellEnd"/>
    </w:p>
    <w:p w14:paraId="2D8A826B" w14:textId="706B396B" w:rsidR="001470E9" w:rsidRDefault="001470E9" w:rsidP="000355CC">
      <w:pPr>
        <w:spacing w:line="360" w:lineRule="auto"/>
        <w:jc w:val="both"/>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Medhya and Balya Rasayana is how Ashwagandha is classed, with antioxidant, anti-inflammatory and neuroprotective activity reported for it in preclinical and clinical work alike[12,32]. Withania somnifera extracts hold down toxic lipid peroxidation products in cells: reactive oxygen species suppressed, mitochondrial membrane potential stabilised, the mitochondrial route to programmed cell death damped[33]. Evidence against a genuine toxicant is older but direct. Lead-exposed mice given Withania somnifera root extract showed lower hepatic and renal lipid peroxidation, with superoxide dismutase and catalase activity restored[34]. A nanoemulsion prepared from Withania somnifera leaves protected albino rats substantially against penconazole-induced neurotoxicity, working through TGF‑β1/Smad2 signalling, which argues for better blood–brain barrier penetration as well as an effect on specific cascades[35]. One study, one pesticide model. It carries more weight in this review than a single experiment should, for the plain reason that nothing else like it exists.</w:t>
      </w:r>
      <w:r>
        <w:rPr>
          <w:i/>
        </w:rPr>
      </w:r>
      <w:r>
        <w:rPr/>
      </w:r>
      <w:r>
        <w:rPr>
          <w:i/>
        </w:rPr>
      </w:r>
      <w:r>
        <w:rPr/>
      </w:r>
      <w:r>
        <w:rPr>
          <w:i/>
        </w:rPr>
      </w:r>
      <w:r>
        <w:rPr/>
      </w:r>
    </w:p>
    <w:p w14:paraId="3FF20388" w14:textId="26994804"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r>
        <w:rPr/>
        <w:t>Withanolides carry much of the molecular activity. Ashwagandha and its withanolides strengthen endogenous antioxidant defence and induce the transcription factor Nrf2, raising cellular resistance to oxidative damage[12,36]. Withanolides also inhibit NF‑κB and its downstream proinflammatory mediators across a range of disease models, an immunomodulatory profile well suited to shutting down the inflammatory cascades of latent toxicity[12,37]. Few Rasayanas cover the oxidative arm of Dushi Visha and its inflammatory arm this neatly. On paper, at least.</w:t>
      </w:r>
    </w:p>
    <w:p w14:paraId="427E498E" w14:textId="77777777" w:rsidR="001470E9" w:rsidRPr="001470E9" w:rsidRDefault="001470E9" w:rsidP="000355CC">
      <w:pPr>
        <w:spacing w:line="360" w:lineRule="auto"/>
        <w:jc w:val="both"/>
        <w:rPr>
          <w:b/>
          <w:bCs/>
        </w:rPr>
      </w:pPr>
      <w:proofErr w:type="spellStart"/>
      <w:r w:rsidRPr="001470E9">
        <w:rPr>
          <w:b/>
          <w:bCs/>
        </w:rPr>
      </w:r>
      <w:r w:rsidRPr="001470E9">
        <w:rPr>
          <w:b/>
          <w:bCs/>
          <w:i/>
        </w:rPr>
        <w:t xml:space="preserve">Tinospora cordifolia</w:t>
      </w:r>
      <w:r w:rsidRPr="001470E9">
        <w:rPr>
          <w:b/>
          <w:bCs/>
        </w:rPr>
        <w:t xml:space="preserve"> (Guduchi)</w:t>
      </w:r>
      <w:proofErr w:type="spellEnd"/>
      <w:proofErr w:type="spellStart"/>
      <w:proofErr w:type="spellEnd"/>
    </w:p>
    <w:p w14:paraId="42FA12C2" w14:textId="77777777" w:rsidR="000355CC"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r>
        <w:rPr/>
        <w:t>Among Rasayana and Vishaghna drugs Tinospora cordifolia ranks with the foremost, with immunomodulatory, antioxidant and hepatoprotective effects in many models[13]. Immunopharmacological work names cordifolioside A, magnoflorine and tinocordiside as the active constituents; they enhance phagocytosis, modulate reactive oxygen species and raise nitric oxide in neutrophils. Balanced immune stimulation, then, not blunt activation[38]. Guduchi extract given to mice raised the total white cell count, lifted the peak antibody titre to 256 (against 32 in controls) and increased splenic plaque-forming cells[39]. Those mice were healthy. What a titre of 256 in an unstressed animal tells you about immune competence worn down by years of metal exposure is a separate question, and an open one. Newer data put the herb on redox-sensitive transcription too, through Nrf2 and NF‑κB[13]; add the hepatoprotective and anti-inflammatory activity and a candidate emerges for those Dushi Visha phenotypes where the liver bioactivates a toxin and systemic inflammation follows[13]. That candidacy is badly complicated by the 43 liver-injury cases in the safety section below[58].</w:t>
      </w:r>
      <w:r>
        <w:rPr>
          <w:i/>
        </w:rPr>
      </w:r>
      <w:r>
        <w:rPr/>
      </w:r>
    </w:p>
    <w:p w14:paraId="2AE0AAD8" w14:textId="77777777" w:rsidR="00E51951" w:rsidRDefault="00E51951" w:rsidP="000355CC">
      <w:pPr>
        <w:spacing w:line="360" w:lineRule="auto"/>
        <w:jc w:val="both"/>
      </w:pPr>
    </w:p>
    <w:p w14:paraId="0B0B4D69" w14:textId="77777777" w:rsidR="001470E9" w:rsidRPr="001470E9" w:rsidRDefault="001470E9" w:rsidP="000355CC">
      <w:pPr>
        <w:spacing w:line="360" w:lineRule="auto"/>
        <w:jc w:val="both"/>
        <w:rPr>
          <w:b/>
          <w:bCs/>
        </w:rPr>
      </w:pPr>
      <w:r w:rsidRPr="001470E9">
        <w:rPr>
          <w:b/>
          <w:bCs/>
        </w:rPr>
        <w:lastRenderedPageBreak/>
      </w:r>
      <w:r w:rsidRPr="001470E9">
        <w:rPr>
          <w:b/>
          <w:bCs/>
          <w:i/>
        </w:rPr>
        <w:lastRenderedPageBreak/>
        <w:t xml:space="preserve">Phyllanthus emblica</w:t>
      </w:r>
      <w:r w:rsidRPr="001470E9">
        <w:rPr>
          <w:b/>
          <w:bCs/>
        </w:rPr>
        <w:lastRenderedPageBreak/>
        <w:t xml:space="preserve"> (Amalaki)</w:t>
      </w:r>
      <w:proofErr w:type="spellStart"/>
      <w:proofErr w:type="spellEnd"/>
      <w:proofErr w:type="spellStart"/>
      <w:proofErr w:type="spellEnd"/>
    </w:p>
    <w:p w14:paraId="4BA56459" w14:textId="7A315737"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t>Emblicanin A and B, the characteristic hydrolysable tannins, carry much of Amalaki's activity alongside its vitamin C and polyphenol content; the fruit behaves as a potent antioxidant and cytoprotectant[40]. Drosophila work found that dietary Amalaki Rasayana raised superoxide dismutase activity, cut reactive oxygen species and lipid peroxidation even in aged flies, and improved survival under thermal, oxidative and crowding stress (with a gain in lifespan)[41]. Fly lifespan is a weak proxy for anything clinical; we cite the study for its redox measurements, not its survival curve. The keratinocyte data go further mechanistically. Amalaki extract blocked inflammation and apoptosis in UVB-exposed human keratinocytes by inhibiting AP‑1 and NF‑κB and their downstream mediators, prostaglandins included. Protection therefore runs through transcriptional control of inflammatory and apoptotic signalling[42,43].</w:t>
      </w:r>
    </w:p>
    <w:p w14:paraId="74E480F1" w14:textId="51EBDB0E" w:rsidR="001470E9"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r>
        <w:rPr/>
        <w:t>Skin is one tissue, and extrapolating from it needs care. Most tissues run the same transcriptional machinery, though, so Amalaki may well protect against toxin-driven redox failure and inflammation elsewhere. Classed as a Tridoshaghna Rasayana, Amalaki is traditionally held to reach many tissues. Tradition claims scope there; pharmacology has not, and reviews in this area conflate the two more often than they should.</w:t>
      </w:r>
    </w:p>
    <w:p w14:paraId="7D33A325" w14:textId="77777777" w:rsidR="001470E9" w:rsidRPr="001470E9" w:rsidRDefault="001470E9" w:rsidP="000355CC">
      <w:pPr>
        <w:spacing w:line="360" w:lineRule="auto"/>
        <w:jc w:val="both"/>
        <w:rPr>
          <w:b/>
          <w:bCs/>
        </w:rPr>
      </w:pPr>
      <w:proofErr w:type="spellStart"/>
      <w:r w:rsidRPr="001470E9">
        <w:rPr>
          <w:b/>
          <w:bCs/>
        </w:rPr>
        <w:t>Triphala</w:t>
      </w:r>
      <w:proofErr w:type="spellEnd"/>
      <w:r w:rsidRPr="001470E9">
        <w:rPr>
          <w:b/>
          <w:bCs/>
        </w:rPr>
        <w:t xml:space="preserve"> and polyphenolic </w:t>
      </w:r>
      <w:proofErr w:type="spellStart"/>
      <w:r w:rsidRPr="001470E9">
        <w:rPr>
          <w:b/>
          <w:bCs/>
        </w:rPr>
        <w:t>Rasayanas</w:t>
      </w:r>
      <w:proofErr w:type="spellEnd"/>
    </w:p>
    <w:p w14:paraId="3AA28E7C" w14:textId="014B1D0C" w:rsidR="001470E9" w:rsidRDefault="001470E9" w:rsidP="000355CC">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t>Triphala combines three Rasayana fruits (Amalaki, Haritaki and Bibhitaka) and has antioxidant, anti-inflammatory, immunomodulatory and microbiota-modulating activity[44]. Its constituents regulate redox-sensitive transcription. Cognitive models show Triphala improving function through the gut–brain axis, calming neuroinflammation and shifting amyloid-related pathways[45], and its polyphenols engage Nrf2 directly: in sleep-deprived mice Triphala drove Nrf2 into the nucleus and switched on the Nrf2/HO-1 axis, with an Nrf2 inhibitor abolishing the benefit[46]. Seeded with faecal microbiota from obese donors, a human gut model also showed it behaving as a prebiotic, favouring beneficial bacteria, raising short-chain fatty acid output and holding back pathogens. By that route it would dampen inflammation and metabolic toxicity indirectly[47,48]. In a fermentation vessel, at any rate, which is where the experiment was run.</w:t>
      </w:r>
    </w:p>
    <w:p w14:paraId="0940F0BC" w14:textId="77777777" w:rsidR="001470E9" w:rsidRPr="001470E9" w:rsidRDefault="001470E9" w:rsidP="000355CC">
      <w:pPr>
        <w:spacing w:line="360" w:lineRule="auto"/>
        <w:jc w:val="both"/>
        <w:rPr>
          <w:b/>
          <w:bCs/>
        </w:rPr>
      </w:pPr>
      <w:r w:rsidRPr="001470E9">
        <w:rPr>
          <w:b/>
          <w:bCs/>
        </w:rPr>
      </w:r>
      <w:r w:rsidRPr="001470E9">
        <w:rPr>
          <w:b/>
          <w:bCs/>
          <w:i/>
        </w:rPr>
        <w:t xml:space="preserve">Bacopa monnieri</w:t>
      </w:r>
      <w:r w:rsidRPr="001470E9">
        <w:rPr>
          <w:b/>
          <w:bCs/>
        </w:rPr>
        <w:t xml:space="preserve"> and neuro-rejuvenative Rasayanas</w:t>
      </w:r>
      <w:proofErr w:type="spellStart"/>
      <w:proofErr w:type="spellEnd"/>
      <w:proofErr w:type="spellStart"/>
      <w:proofErr w:type="spellEnd"/>
      <w:proofErr w:type="spellStart"/>
      <w:proofErr w:type="spellEnd"/>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Bacopa monnieri, one of the Medhya Rasayanas, protects neurons by enhancing synaptic plasticity, increasing dendritic arborisation and adjusting neurotransmitter pathways. Animal models show Bacopa and its principal constituent bacoside A preserving cognitive performance and modulating dopaminergic and other neurotransmitter signalling[49]. Systematic review adds NF‑κB inhibition, reduced neuroinflammation, protection of mitochondria and suppression of apoptosis to that list[14], and in healthy elderly volunteers supplementation shifted NF‑κB and CREB in a favourable direction[50]. Where Dushi Visha presents a neurodegenerative component, Bacopa is the obvious first candidate. Among the five it is also the only one with a human study that measured anything mechanistic[50].</w:t>
      </w:r>
      <w:r>
        <w:rPr/>
      </w:r>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Across the five botanicals the mechanisms converge: up-regulation of endogenous antioxidants, NF‑κB inhibition, adjustment of apoptotic regulators such as the Bax:Bcl-2 ratio, and synaptic and neurogenic repair within the central nervous system[14]. Table 1 summarises that convergence. No single molecular target explains the effect of any of these herbs; between them they act on oxidative stress, inflammatory signalling, faltering mitochondria, apoptosis, synaptic plasticity and communication between gut and brain. Mechanism is only half the case, however. Ghrita, nanoemulsions and solid lipid nanoparticles may carry these compounds into deep tissues and the central nervous system, and without that the argument for Rasayana as an adjunct in chronic latent toxicity stays theoretical.</w:t>
      </w:r>
    </w:p>
    <w:p w14:paraId="3284EB8D" w14:textId="0D7FF90C" w:rsidR="0046290E" w:rsidRPr="00AC0680" w:rsidRDefault="0046290E" w:rsidP="0046290E">
      <w:pPr>
        <w:spacing w:line="360" w:lineRule="auto"/>
        <w:jc w:val="center"/>
        <w:rPr>
          <w:b/>
          <w:bCs/>
        </w:rPr>
      </w:pPr>
      <w:r w:rsidRPr="00AC0680">
        <w:rPr>
          <w:b/>
          <w:bCs/>
        </w:rPr>
        <w:t xml:space="preserve">Table 1. Key </w:t>
      </w:r>
      <w:proofErr w:type="spellStart"/>
      <w:r w:rsidRPr="00AC0680">
        <w:rPr>
          <w:b/>
          <w:bCs/>
        </w:rPr>
        <w:t>Rasayana</w:t>
      </w:r>
      <w:proofErr w:type="spellEnd"/>
      <w:r w:rsidRPr="00AC0680">
        <w:rPr>
          <w:b/>
          <w:bCs/>
        </w:rPr>
        <w:t xml:space="preserve"> Botanicals and Their Mechanistic Actions Against Latent Toxicity </w:t>
      </w:r>
    </w:p>
    <w:tbl>
      <w:tblPr>
        <w:tblStyle w:val="TableGrid"/>
        <w:tblW w:w="9968" w:type="dxa"/>
        <w:tblLook w:val="04A0" w:firstRow="1" w:lastRow="0" w:firstColumn="1" w:lastColumn="0" w:noHBand="0" w:noVBand="1"/>
      </w:tblPr>
      <w:tblGrid>
        <w:gridCol w:w="1646"/>
        <w:gridCol w:w="1675"/>
        <w:gridCol w:w="2061"/>
        <w:gridCol w:w="2364"/>
        <w:gridCol w:w="2222"/>
      </w:tblGrid>
      <w:tr w:rsidR="0046290E" w:rsidRPr="0046290E" w14:paraId="462615A1" w14:textId="77777777" w:rsidTr="0046290E">
        <w:trPr>
          <w:trHeight w:val="1444"/>
        </w:trPr>
        <w:tc>
          <w:tcPr>
            <w:tcW w:w="1646" w:type="dxa"/>
            <w:hideMark/>
          </w:tcPr>
          <w:p w14:paraId="5967DCBA" w14:textId="77777777" w:rsidR="0046290E" w:rsidRPr="0046290E" w:rsidRDefault="0046290E" w:rsidP="0046290E">
            <w:pPr>
              <w:spacing w:after="200" w:line="360" w:lineRule="auto"/>
              <w:jc w:val="both"/>
              <w:rPr>
                <w:b/>
                <w:bCs/>
                <w:lang w:val="en-IN"/>
              </w:rPr>
            </w:pPr>
            <w:proofErr w:type="spellStart"/>
            <w:r w:rsidRPr="0046290E">
              <w:rPr>
                <w:b/>
                <w:bCs/>
                <w:lang w:val="en-IN"/>
              </w:rPr>
              <w:t>Rasayana</w:t>
            </w:r>
            <w:proofErr w:type="spellEnd"/>
            <w:r w:rsidRPr="0046290E">
              <w:rPr>
                <w:b/>
                <w:bCs/>
                <w:lang w:val="en-IN"/>
              </w:rPr>
              <w:t xml:space="preserve"> Herb</w:t>
            </w:r>
          </w:p>
        </w:tc>
        <w:tc>
          <w:tcPr>
            <w:tcW w:w="1675" w:type="dxa"/>
            <w:hideMark/>
          </w:tcPr>
          <w:p w14:paraId="008BA63D" w14:textId="77777777" w:rsidR="0046290E" w:rsidRPr="0046290E" w:rsidRDefault="0046290E" w:rsidP="0046290E">
            <w:pPr>
              <w:spacing w:after="200" w:line="360" w:lineRule="auto"/>
              <w:jc w:val="both"/>
              <w:rPr>
                <w:b/>
                <w:bCs/>
                <w:lang w:val="en-IN"/>
              </w:rPr>
            </w:pPr>
            <w:r w:rsidRPr="0046290E">
              <w:rPr>
                <w:b/>
                <w:bCs/>
                <w:lang w:val="en-IN"/>
              </w:rPr>
              <w:t>Major Bioactive Constituents</w:t>
            </w:r>
          </w:p>
        </w:tc>
        <w:tc>
          <w:tcPr>
            <w:tcW w:w="2061" w:type="dxa"/>
            <w:hideMark/>
          </w:tcPr>
          <w:p w14:paraId="08751D66" w14:textId="77777777" w:rsidR="0046290E" w:rsidRPr="0046290E" w:rsidRDefault="0046290E" w:rsidP="0046290E">
            <w:pPr>
              <w:spacing w:after="200" w:line="360" w:lineRule="auto"/>
              <w:jc w:val="both"/>
              <w:rPr>
                <w:b/>
                <w:bCs/>
                <w:lang w:val="en-IN"/>
              </w:rPr>
            </w:pPr>
            <w:r w:rsidRPr="0046290E">
              <w:rPr>
                <w:b/>
                <w:bCs/>
                <w:lang w:val="en-IN"/>
              </w:rPr>
              <w:t>Key Molecular Targets/Pathways</w:t>
            </w:r>
          </w:p>
        </w:tc>
        <w:tc>
          <w:tcPr>
            <w:tcW w:w="2364" w:type="dxa"/>
            <w:hideMark/>
          </w:tcPr>
          <w:p w14:paraId="0FF57E1E" w14:textId="77777777" w:rsidR="0046290E" w:rsidRPr="0046290E" w:rsidRDefault="0046290E" w:rsidP="0046290E">
            <w:pPr>
              <w:spacing w:after="200" w:line="360" w:lineRule="auto"/>
              <w:jc w:val="both"/>
              <w:rPr>
                <w:b/>
                <w:bCs/>
                <w:lang w:val="en-IN"/>
              </w:rPr>
            </w:pPr>
            <w:r w:rsidRPr="0046290E">
              <w:rPr>
                <w:b/>
                <w:bCs/>
                <w:lang w:val="en-IN"/>
              </w:rPr>
              <w:t>Pharmacological Actions Relevant to Dushi Visha</w:t>
            </w:r>
          </w:p>
        </w:tc>
        <w:tc>
          <w:tcPr>
            <w:tcW w:w="0" w:type="auto"/>
            <w:hideMark/>
          </w:tcPr>
          <w:p w14:paraId="57F3FC62" w14:textId="77777777" w:rsidR="0046290E" w:rsidRPr="0046290E" w:rsidRDefault="0046290E" w:rsidP="0046290E">
            <w:pPr>
              <w:spacing w:after="200" w:line="360" w:lineRule="auto"/>
              <w:jc w:val="both"/>
              <w:rPr>
                <w:b/>
                <w:bCs/>
                <w:lang w:val="en-IN"/>
              </w:rPr>
            </w:pPr>
            <w:r w:rsidRPr="0046290E">
              <w:rPr>
                <w:b/>
                <w:bCs/>
                <w:lang w:val="en-IN"/>
              </w:rPr>
              <w:t>Therapeutic Relevance</w:t>
            </w:r>
          </w:p>
        </w:tc>
      </w:tr>
      <w:tr w:rsidR="0046290E" w:rsidRPr="0046290E" w14:paraId="362F8F16" w14:textId="77777777" w:rsidTr="0046290E">
        <w:trPr>
          <w:trHeight w:val="2276"/>
        </w:trPr>
        <w:tc>
          <w:tcPr>
            <w:tcW w:w="1646" w:type="dxa"/>
            <w:hideMark/>
          </w:tcPr>
          <w:p w14:paraId="3E18915D" w14:textId="77777777" w:rsidR="0046290E" w:rsidRPr="0046290E" w:rsidRDefault="0046290E" w:rsidP="0046290E">
            <w:pPr>
              <w:spacing w:after="200" w:line="360" w:lineRule="auto"/>
              <w:rPr>
                <w:lang w:val="en-IN"/>
              </w:rPr>
            </w:pPr>
            <w:r w:rsidRPr="0046290E">
              <w:rPr>
                <w:lang w:val="en-IN"/>
              </w:rPr>
              <w:t xml:space="preserve">Ashwagandha [12,33,36]</w:t>
            </w:r>
          </w:p>
        </w:tc>
        <w:tc>
          <w:tcPr>
            <w:tcW w:w="1675" w:type="dxa"/>
            <w:hideMark/>
          </w:tcPr>
          <w:p w14:paraId="4F8D6863" w14:textId="77777777" w:rsidR="0046290E" w:rsidRPr="0046290E" w:rsidRDefault="0046290E" w:rsidP="0046290E">
            <w:pPr>
              <w:spacing w:after="200" w:line="360" w:lineRule="auto"/>
              <w:rPr>
                <w:lang w:val="en-IN"/>
              </w:rPr>
            </w:pPr>
            <w:proofErr w:type="spellStart"/>
            <w:r w:rsidRPr="0046290E">
              <w:rPr>
                <w:lang w:val="en-IN"/>
              </w:rPr>
              <w:t>Withanolides</w:t>
            </w:r>
            <w:proofErr w:type="spellEnd"/>
          </w:p>
        </w:tc>
        <w:tc>
          <w:tcPr>
            <w:tcW w:w="2061" w:type="dxa"/>
            <w:hideMark/>
          </w:tcPr>
          <w:p w14:paraId="7EEA825E"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Bax/Bcl-2, mitochondrial pathways</w:t>
            </w:r>
          </w:p>
        </w:tc>
        <w:tc>
          <w:tcPr>
            <w:tcW w:w="2364" w:type="dxa"/>
            <w:hideMark/>
          </w:tcPr>
          <w:p w14:paraId="05983947" w14:textId="77777777" w:rsidR="0046290E" w:rsidRPr="0046290E" w:rsidRDefault="0046290E" w:rsidP="0046290E">
            <w:pPr>
              <w:spacing w:after="200" w:line="360" w:lineRule="auto"/>
              <w:rPr>
                <w:lang w:val="en-IN"/>
              </w:rPr>
            </w:pPr>
            <w:r w:rsidRPr="0046290E">
              <w:rPr>
                <w:lang w:val="en-IN"/>
              </w:rPr>
              <w:t>Antioxidant, anti-inflammatory, anti-apoptotic, neuroprotective</w:t>
            </w:r>
          </w:p>
        </w:tc>
        <w:tc>
          <w:tcPr>
            <w:tcW w:w="0" w:type="auto"/>
            <w:hideMark/>
          </w:tcPr>
          <w:p w14:paraId="3BDA0646" w14:textId="77777777" w:rsidR="0046290E" w:rsidRPr="0046290E" w:rsidRDefault="0046290E" w:rsidP="0046290E">
            <w:pPr>
              <w:spacing w:after="200" w:line="360" w:lineRule="auto"/>
              <w:rPr>
                <w:lang w:val="en-IN"/>
              </w:rPr>
            </w:pPr>
            <w:r w:rsidRPr="0046290E">
              <w:rPr>
                <w:lang w:val="en-IN"/>
              </w:rPr>
              <w:t>Reduces oxidative stress, restores mitochondrial integrity, protects neurons</w:t>
            </w:r>
          </w:p>
        </w:tc>
      </w:tr>
      <w:tr w:rsidR="0046290E" w:rsidRPr="0046290E" w14:paraId="47367038" w14:textId="77777777" w:rsidTr="0046290E">
        <w:trPr>
          <w:trHeight w:val="2276"/>
        </w:trPr>
        <w:tc>
          <w:tcPr>
            <w:tcW w:w="1646" w:type="dxa"/>
            <w:hideMark/>
          </w:tcPr>
          <w:p w14:paraId="599108CC" w14:textId="77777777" w:rsidR="0046290E" w:rsidRPr="0046290E" w:rsidRDefault="0046290E" w:rsidP="0046290E">
            <w:pPr>
              <w:spacing w:after="200" w:line="360" w:lineRule="auto"/>
              <w:rPr>
                <w:lang w:val="en-IN"/>
              </w:rPr>
            </w:pPr>
            <w:proofErr w:type="spellStart"/>
            <w:r w:rsidRPr="0046290E">
              <w:rPr>
                <w:lang w:val="en-IN"/>
              </w:rPr>
              <w:t xml:space="preserve">Guduchi [13,38]</w:t>
            </w:r>
            <w:proofErr w:type="spellEnd"/>
          </w:p>
        </w:tc>
        <w:tc>
          <w:tcPr>
            <w:tcW w:w="1675" w:type="dxa"/>
            <w:hideMark/>
          </w:tcPr>
          <w:p w14:paraId="2C0B50BA" w14:textId="77777777" w:rsidR="0046290E" w:rsidRPr="0046290E" w:rsidRDefault="0046290E" w:rsidP="0046290E">
            <w:pPr>
              <w:spacing w:after="200" w:line="360" w:lineRule="auto"/>
              <w:rPr>
                <w:lang w:val="en-IN"/>
              </w:rPr>
            </w:pPr>
            <w:proofErr w:type="spellStart"/>
            <w:r w:rsidRPr="0046290E">
              <w:rPr>
                <w:lang w:val="en-IN"/>
              </w:rPr>
              <w:t>Cordifolioside</w:t>
            </w:r>
            <w:proofErr w:type="spellEnd"/>
            <w:r w:rsidRPr="0046290E">
              <w:rPr>
                <w:lang w:val="en-IN"/>
              </w:rPr>
              <w:t xml:space="preserve"> A, </w:t>
            </w:r>
            <w:proofErr w:type="spellStart"/>
            <w:r w:rsidRPr="0046290E">
              <w:rPr>
                <w:lang w:val="en-IN"/>
              </w:rPr>
              <w:t>Magnoflorine</w:t>
            </w:r>
            <w:proofErr w:type="spellEnd"/>
            <w:r w:rsidRPr="0046290E">
              <w:rPr>
                <w:lang w:val="en-IN"/>
              </w:rPr>
              <w:t xml:space="preserve">, </w:t>
            </w:r>
            <w:proofErr w:type="spellStart"/>
            <w:r w:rsidRPr="0046290E">
              <w:rPr>
                <w:lang w:val="en-IN"/>
              </w:rPr>
              <w:t>Tinocordiside</w:t>
            </w:r>
            <w:proofErr w:type="spellEnd"/>
          </w:p>
        </w:tc>
        <w:tc>
          <w:tcPr>
            <w:tcW w:w="2061" w:type="dxa"/>
            <w:hideMark/>
          </w:tcPr>
          <w:p w14:paraId="4924C883"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immune signalling pathways</w:t>
            </w:r>
          </w:p>
        </w:tc>
        <w:tc>
          <w:tcPr>
            <w:tcW w:w="2364" w:type="dxa"/>
            <w:hideMark/>
          </w:tcPr>
          <w:p w14:paraId="232D145F" w14:textId="77777777" w:rsidR="0046290E" w:rsidRPr="0046290E" w:rsidRDefault="0046290E" w:rsidP="0046290E">
            <w:pPr>
              <w:spacing w:after="200" w:line="360" w:lineRule="auto"/>
              <w:rPr>
                <w:lang w:val="en-IN"/>
              </w:rPr>
            </w:pPr>
            <w:r w:rsidRPr="0046290E">
              <w:rPr>
                <w:lang w:val="en-IN"/>
              </w:rPr>
              <w:t>Immunomodulatory, hepatoprotective, ROS regulation</w:t>
            </w:r>
          </w:p>
        </w:tc>
        <w:tc>
          <w:tcPr>
            <w:tcW w:w="0" w:type="auto"/>
            <w:hideMark/>
          </w:tcPr>
          <w:p w14:paraId="13733EA1" w14:textId="77777777" w:rsidR="0046290E" w:rsidRPr="0046290E" w:rsidRDefault="0046290E" w:rsidP="0046290E">
            <w:pPr>
              <w:spacing w:after="200" w:line="360" w:lineRule="auto"/>
              <w:rPr>
                <w:lang w:val="en-IN"/>
              </w:rPr>
            </w:pPr>
            <w:r w:rsidRPr="0046290E">
              <w:rPr>
                <w:lang w:val="en-IN"/>
              </w:rPr>
              <w:t>Supports detoxification, immune restoration, hepatic resilience</w:t>
            </w:r>
          </w:p>
        </w:tc>
      </w:tr>
      <w:tr w:rsidR="0046290E" w:rsidRPr="0046290E" w14:paraId="25A06F3E" w14:textId="77777777" w:rsidTr="0046290E">
        <w:trPr>
          <w:trHeight w:val="2276"/>
        </w:trPr>
        <w:tc>
          <w:tcPr>
            <w:tcW w:w="1646" w:type="dxa"/>
            <w:hideMark/>
          </w:tcPr>
          <w:p w14:paraId="0E7BE3FF" w14:textId="77777777" w:rsidR="0046290E" w:rsidRPr="0046290E" w:rsidRDefault="0046290E" w:rsidP="0046290E">
            <w:pPr>
              <w:spacing w:after="200" w:line="360" w:lineRule="auto"/>
              <w:rPr>
                <w:lang w:val="en-IN"/>
              </w:rPr>
            </w:pPr>
            <w:proofErr w:type="spellStart"/>
            <w:r w:rsidRPr="0046290E">
              <w:rPr>
                <w:lang w:val="en-IN"/>
              </w:rPr>
              <w:lastRenderedPageBreak/>
              <w:t xml:space="preserve">Amalaki [40,42]</w:t>
            </w:r>
            <w:proofErr w:type="spellEnd"/>
          </w:p>
        </w:tc>
        <w:tc>
          <w:tcPr>
            <w:tcW w:w="1675" w:type="dxa"/>
            <w:hideMark/>
          </w:tcPr>
          <w:p w14:paraId="41E66456" w14:textId="77777777" w:rsidR="0046290E" w:rsidRPr="0046290E" w:rsidRDefault="0046290E" w:rsidP="0046290E">
            <w:pPr>
              <w:spacing w:after="200" w:line="360" w:lineRule="auto"/>
              <w:rPr>
                <w:lang w:val="en-IN"/>
              </w:rPr>
            </w:pPr>
            <w:r w:rsidRPr="0046290E">
              <w:rPr>
                <w:lang w:val="en-IN"/>
              </w:rPr>
              <w:t>Emblicanin A &amp; B, Vitamin C, Polyphenols</w:t>
            </w:r>
          </w:p>
        </w:tc>
        <w:tc>
          <w:tcPr>
            <w:tcW w:w="2061" w:type="dxa"/>
            <w:hideMark/>
          </w:tcPr>
          <w:p w14:paraId="3EA401A5" w14:textId="77777777" w:rsidR="0046290E" w:rsidRPr="0046290E" w:rsidRDefault="0046290E" w:rsidP="0046290E">
            <w:pPr>
              <w:spacing w:after="200" w:line="360" w:lineRule="auto"/>
              <w:rPr>
                <w:lang w:val="en-IN"/>
              </w:rPr>
            </w:pPr>
            <w:r w:rsidRPr="0046290E">
              <w:rPr>
                <w:lang w:val="en-IN"/>
              </w:rPr>
              <w:t>AP-1, NF-</w:t>
            </w:r>
            <w:proofErr w:type="spellStart"/>
            <w:r w:rsidRPr="0046290E">
              <w:rPr>
                <w:lang w:val="en-IN"/>
              </w:rPr>
              <w:t>κB</w:t>
            </w:r>
            <w:proofErr w:type="spellEnd"/>
            <w:r w:rsidRPr="0046290E">
              <w:rPr>
                <w:lang w:val="en-IN"/>
              </w:rPr>
              <w:t>, antioxidant enzymes</w:t>
            </w:r>
          </w:p>
        </w:tc>
        <w:tc>
          <w:tcPr>
            <w:tcW w:w="2364" w:type="dxa"/>
            <w:hideMark/>
          </w:tcPr>
          <w:p w14:paraId="34DFFEF1" w14:textId="77777777" w:rsidR="0046290E" w:rsidRPr="0046290E" w:rsidRDefault="0046290E" w:rsidP="0046290E">
            <w:pPr>
              <w:spacing w:after="200" w:line="360" w:lineRule="auto"/>
              <w:rPr>
                <w:lang w:val="en-IN"/>
              </w:rPr>
            </w:pPr>
            <w:r w:rsidRPr="0046290E">
              <w:rPr>
                <w:lang w:val="en-IN"/>
              </w:rPr>
              <w:t>Cytoprotective, anti-inflammatory, anti-aging</w:t>
            </w:r>
          </w:p>
        </w:tc>
        <w:tc>
          <w:tcPr>
            <w:tcW w:w="0" w:type="auto"/>
            <w:hideMark/>
          </w:tcPr>
          <w:p w14:paraId="104441E4" w14:textId="77777777" w:rsidR="0046290E" w:rsidRPr="0046290E" w:rsidRDefault="0046290E" w:rsidP="0046290E">
            <w:pPr>
              <w:spacing w:after="200" w:line="360" w:lineRule="auto"/>
              <w:rPr>
                <w:lang w:val="en-IN"/>
              </w:rPr>
            </w:pPr>
            <w:r w:rsidRPr="0046290E">
              <w:rPr>
                <w:lang w:val="en-IN"/>
              </w:rPr>
              <w:t>Restores redox balance and reduces inflammatory tissue injury</w:t>
            </w:r>
          </w:p>
        </w:tc>
      </w:tr>
      <w:tr w:rsidR="0046290E" w:rsidRPr="0046290E" w14:paraId="0C279A00" w14:textId="77777777" w:rsidTr="0046290E">
        <w:trPr>
          <w:trHeight w:val="2276"/>
        </w:trPr>
        <w:tc>
          <w:tcPr>
            <w:tcW w:w="1646" w:type="dxa"/>
            <w:hideMark/>
          </w:tcPr>
          <w:p w14:paraId="16D865D5" w14:textId="77777777" w:rsidR="0046290E" w:rsidRPr="0046290E" w:rsidRDefault="0046290E" w:rsidP="0046290E">
            <w:pPr>
              <w:spacing w:after="200" w:line="360" w:lineRule="auto"/>
              <w:rPr>
                <w:lang w:val="en-IN"/>
              </w:rPr>
            </w:pPr>
            <w:proofErr w:type="spellStart"/>
            <w:r w:rsidRPr="0046290E">
              <w:rPr>
                <w:lang w:val="en-IN"/>
              </w:rPr>
              <w:t xml:space="preserve">Triphala [44–46]</w:t>
            </w:r>
            <w:proofErr w:type="spellEnd"/>
          </w:p>
        </w:tc>
        <w:tc>
          <w:tcPr>
            <w:tcW w:w="1675" w:type="dxa"/>
            <w:hideMark/>
          </w:tcPr>
          <w:p w14:paraId="06C75AB9" w14:textId="77777777" w:rsidR="0046290E" w:rsidRPr="0046290E" w:rsidRDefault="0046290E" w:rsidP="0046290E">
            <w:pPr>
              <w:spacing w:after="200" w:line="360" w:lineRule="auto"/>
              <w:rPr>
                <w:lang w:val="en-IN"/>
              </w:rPr>
            </w:pPr>
            <w:r w:rsidRPr="0046290E">
              <w:rPr>
                <w:lang w:val="en-IN"/>
              </w:rPr>
              <w:t>Gallic acid, Ellagic acid, Tannins</w:t>
            </w:r>
          </w:p>
        </w:tc>
        <w:tc>
          <w:tcPr>
            <w:tcW w:w="2061" w:type="dxa"/>
            <w:hideMark/>
          </w:tcPr>
          <w:p w14:paraId="28F0237B" w14:textId="77777777" w:rsidR="0046290E" w:rsidRPr="0046290E" w:rsidRDefault="0046290E" w:rsidP="0046290E">
            <w:pPr>
              <w:spacing w:after="200" w:line="360" w:lineRule="auto"/>
              <w:rPr>
                <w:lang w:val="en-IN"/>
              </w:rPr>
            </w:pPr>
            <w:r w:rsidRPr="0046290E">
              <w:rPr>
                <w:lang w:val="en-IN"/>
              </w:rPr>
              <w:t>Gut–brain axis, Nrf2, NF-</w:t>
            </w:r>
            <w:proofErr w:type="spellStart"/>
            <w:r w:rsidRPr="0046290E">
              <w:rPr>
                <w:lang w:val="en-IN"/>
              </w:rPr>
              <w:t>κB</w:t>
            </w:r>
            <w:proofErr w:type="spellEnd"/>
          </w:p>
        </w:tc>
        <w:tc>
          <w:tcPr>
            <w:tcW w:w="2364" w:type="dxa"/>
            <w:hideMark/>
          </w:tcPr>
          <w:p w14:paraId="1F8DE8F9" w14:textId="77777777" w:rsidR="0046290E" w:rsidRPr="0046290E" w:rsidRDefault="0046290E" w:rsidP="0046290E">
            <w:pPr>
              <w:spacing w:after="200" w:line="360" w:lineRule="auto"/>
              <w:rPr>
                <w:lang w:val="en-IN"/>
              </w:rPr>
            </w:pPr>
            <w:r w:rsidRPr="0046290E">
              <w:rPr>
                <w:lang w:val="en-IN"/>
              </w:rPr>
              <w:t>Prebiotic, antioxidant, microbiome modulation</w:t>
            </w:r>
          </w:p>
        </w:tc>
        <w:tc>
          <w:tcPr>
            <w:tcW w:w="0" w:type="auto"/>
            <w:hideMark/>
          </w:tcPr>
          <w:p w14:paraId="222F5048" w14:textId="77777777" w:rsidR="0046290E" w:rsidRPr="0046290E" w:rsidRDefault="0046290E" w:rsidP="0046290E">
            <w:pPr>
              <w:spacing w:after="200" w:line="360" w:lineRule="auto"/>
              <w:rPr>
                <w:lang w:val="en-IN"/>
              </w:rPr>
            </w:pPr>
            <w:r w:rsidRPr="0046290E">
              <w:rPr>
                <w:lang w:val="en-IN"/>
              </w:rPr>
              <w:t>Improves gut integrity, neuroinflammation, and metabolic toxicity</w:t>
            </w:r>
          </w:p>
        </w:tc>
      </w:tr>
      <w:tr w:rsidR="0046290E" w:rsidRPr="0046290E" w14:paraId="6E96A063" w14:textId="77777777" w:rsidTr="0046290E">
        <w:trPr>
          <w:trHeight w:val="2276"/>
        </w:trPr>
        <w:tc>
          <w:tcPr>
            <w:tcW w:w="1646" w:type="dxa"/>
            <w:hideMark/>
          </w:tcPr>
          <w:p w14:paraId="664B9C2F" w14:textId="77777777" w:rsidR="0046290E" w:rsidRPr="0046290E" w:rsidRDefault="0046290E" w:rsidP="0046290E">
            <w:pPr>
              <w:spacing w:after="200" w:line="360" w:lineRule="auto"/>
              <w:rPr>
                <w:lang w:val="en-IN"/>
              </w:rPr>
            </w:pPr>
            <w:r w:rsidRPr="0046290E">
              <w:rPr>
                <w:lang w:val="en-IN"/>
              </w:rPr>
              <w:t xml:space="preserve">Brahmi [14,50]</w:t>
            </w:r>
          </w:p>
        </w:tc>
        <w:tc>
          <w:tcPr>
            <w:tcW w:w="1675" w:type="dxa"/>
            <w:hideMark/>
          </w:tcPr>
          <w:p w14:paraId="7DB39B06" w14:textId="77777777" w:rsidR="0046290E" w:rsidRPr="0046290E" w:rsidRDefault="0046290E" w:rsidP="0046290E">
            <w:pPr>
              <w:spacing w:after="200" w:line="360" w:lineRule="auto"/>
              <w:rPr>
                <w:lang w:val="en-IN"/>
              </w:rPr>
            </w:pPr>
            <w:r w:rsidRPr="0046290E">
              <w:rPr>
                <w:lang w:val="en-IN"/>
              </w:rPr>
              <w:t>Bacosides</w:t>
            </w:r>
          </w:p>
        </w:tc>
        <w:tc>
          <w:tcPr>
            <w:tcW w:w="2061" w:type="dxa"/>
            <w:hideMark/>
          </w:tcPr>
          <w:p w14:paraId="6E4F4138" w14:textId="77777777" w:rsidR="0046290E" w:rsidRPr="0046290E" w:rsidRDefault="0046290E" w:rsidP="0046290E">
            <w:pPr>
              <w:spacing w:after="200" w:line="360" w:lineRule="auto"/>
              <w:rPr>
                <w:lang w:val="en-IN"/>
              </w:rPr>
            </w:pPr>
            <w:r w:rsidRPr="0046290E">
              <w:rPr>
                <w:lang w:val="en-IN"/>
              </w:rPr>
              <w:t>CREB, NF-</w:t>
            </w:r>
            <w:proofErr w:type="spellStart"/>
            <w:r w:rsidRPr="0046290E">
              <w:rPr>
                <w:lang w:val="en-IN"/>
              </w:rPr>
              <w:t>κB</w:t>
            </w:r>
            <w:proofErr w:type="spellEnd"/>
            <w:r w:rsidRPr="0046290E">
              <w:rPr>
                <w:lang w:val="en-IN"/>
              </w:rPr>
              <w:t>, synaptic signalling</w:t>
            </w:r>
          </w:p>
        </w:tc>
        <w:tc>
          <w:tcPr>
            <w:tcW w:w="2364" w:type="dxa"/>
            <w:hideMark/>
          </w:tcPr>
          <w:p w14:paraId="7185EDEA" w14:textId="77777777" w:rsidR="0046290E" w:rsidRPr="0046290E" w:rsidRDefault="0046290E" w:rsidP="0046290E">
            <w:pPr>
              <w:spacing w:after="200" w:line="360" w:lineRule="auto"/>
              <w:rPr>
                <w:lang w:val="en-IN"/>
              </w:rPr>
            </w:pPr>
            <w:r w:rsidRPr="0046290E">
              <w:rPr>
                <w:lang w:val="en-IN"/>
              </w:rPr>
              <w:t>Neuroprotective, cognition-enhancing, synaptic repair</w:t>
            </w:r>
          </w:p>
        </w:tc>
        <w:tc>
          <w:tcPr>
            <w:tcW w:w="0" w:type="auto"/>
            <w:hideMark/>
          </w:tcPr>
          <w:p w14:paraId="3A050B7D" w14:textId="77777777" w:rsidR="0046290E" w:rsidRPr="0046290E" w:rsidRDefault="0046290E" w:rsidP="0046290E">
            <w:pPr>
              <w:spacing w:after="200" w:line="360" w:lineRule="auto"/>
              <w:rPr>
                <w:lang w:val="en-IN"/>
              </w:rPr>
            </w:pPr>
            <w:r w:rsidRPr="0046290E">
              <w:rPr>
                <w:lang w:val="en-IN"/>
              </w:rPr>
              <w:t>Counteracts toxin-induced neurodegeneration and cognitive decline</w:t>
            </w:r>
          </w:p>
        </w:tc>
      </w:tr>
    </w:tbl>
    <w:p w14:paraId="41C3B545" w14:textId="77777777" w:rsidR="0046290E" w:rsidRDefault="0046290E" w:rsidP="000355CC">
      <w:pPr>
        <w:spacing w:line="360" w:lineRule="auto"/>
        <w:jc w:val="both"/>
      </w:pPr>
    </w:p>
    <w:p w14:paraId="042C657E" w14:textId="77777777" w:rsidR="001470E9" w:rsidRPr="001470E9" w:rsidRDefault="001470E9" w:rsidP="000355CC">
      <w:pPr>
        <w:spacing w:line="360" w:lineRule="auto"/>
        <w:jc w:val="both"/>
        <w:rPr>
          <w:b/>
          <w:bCs/>
        </w:rPr>
      </w:pPr>
      <w:r w:rsidRPr="001470E9">
        <w:rPr>
          <w:b/>
          <w:bCs/>
        </w:rPr>
        <w:t>Systemic detoxification and the gut–brain axis</w:t>
      </w:r>
    </w:p>
    <w:p w14:paraId="363E52C3" w14:textId="77777777" w:rsidR="001470E9" w:rsidRPr="001470E9" w:rsidRDefault="001470E9" w:rsidP="000355CC">
      <w:pPr>
        <w:spacing w:line="360" w:lineRule="auto"/>
        <w:jc w:val="both"/>
        <w:rPr>
          <w:b/>
          <w:bCs/>
        </w:rPr>
      </w:pPr>
      <w:proofErr w:type="spellStart"/>
      <w:r w:rsidRPr="001470E9">
        <w:rPr>
          <w:b/>
          <w:bCs/>
        </w:rPr>
        <w:t>Rasayana</w:t>
      </w:r>
      <w:proofErr w:type="spellEnd"/>
      <w:r w:rsidRPr="001470E9">
        <w:rPr>
          <w:b/>
          <w:bCs/>
        </w:rPr>
        <w:t xml:space="preserve"> herbs as prebiotics and microbiota modulators</w:t>
      </w:r>
    </w:p>
    <w:p w14:paraId="3090B2DB" w14:textId="7B90A9F3" w:rsidR="001470E9" w:rsidRP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Chronic toxin exposure disturbs systemic inflammation, metabolic homeostasis and cognition alike, and the gut microbiota regulates all three. In gut-model and obesity studies Triphala encourages health-promoting bacteria (butyrate producers among them) while suppressing pathogenic species; that prebiotic effect could help in Dushi Visha indirectly, by helping the body clear toxins, tightening the epithelial barrier and steadying the immune response[44,47,48]. Whether the same shift happens in toxin-exposed people is unknown. Amalaki, Chyavanaprasha and other polyphenol-rich Rasayanas may behave the same way in the gut, for the same polyphenolic reasons, and the experiment that would settle it is straightforward enough. It has not been done.</w:t>
      </w:r>
    </w:p>
    <w:p w14:paraId="56D4B469" w14:textId="3E00577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lastRenderedPageBreak/>
        <w:t>Microbial metabolites, barrier function, and Dushi Visha</w:t>
      </w:r>
    </w:p>
    <w:p w14:paraId="2FC30BE6" w14:textId="4E75BEC0" w:rsidR="000E4624" w:rsidRPr="00AC0680"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rFonts w:eastAsia="Times New Roman" w:cs="Times New Roman"/>
          <w:szCs w:val="24"/>
        </w:rPr>
        <w:t>Butyrate and propionate (the main short-chain fatty acids made by gut bacteria) keep the intestinal epithelium intact, temper systemic inflammation and influence blood–brain barrier permeability. Enrich the taxa that produce them and, in principle, both barriers tighten. That would limit further entry of environmental toxins and endotoxins, slowing the spread of Dushi Visha-like pathology[51,52]. One concrete precedent exists. In neurodegenerative models Triphala improved cognition by restoring the gut–brain axis: it reshaped the microbiota, calmed neuroinflammation and normalised amyloid-related pathways[45]. Equivalent work in environmental neurotoxicity remains undone. Barrier failure and systemic inflammation sit at the centre of latent Dushi Visha too, so the logic carries over. Logic is not data.</w:t>
      </w:r>
    </w:p>
    <w:p w14:paraId="25905943" w14:textId="77777777" w:rsidR="00772007" w:rsidRPr="00772007" w:rsidRDefault="00772007" w:rsidP="000355CC">
      <w:pPr>
        <w:spacing w:after="0" w:line="360" w:lineRule="auto"/>
        <w:jc w:val="both"/>
        <w:rPr>
          <w:rFonts w:cs="Times New Roman"/>
          <w:szCs w:val="24"/>
        </w:rPr>
      </w:pPr>
    </w:p>
    <w:p w14:paraId="4BFA5167" w14:textId="5D11CC22" w:rsidR="00772007" w:rsidRPr="00772007" w:rsidRDefault="00490318" w:rsidP="000355CC">
      <w:pPr>
        <w:pStyle w:val="Heading1"/>
        <w:spacing w:before="0" w:line="360" w:lineRule="auto"/>
        <w:jc w:val="both"/>
        <w:rPr>
          <w:rFonts w:ascii="Times New Roman" w:hAnsi="Times New Roman" w:cs="Times New Roman"/>
          <w:sz w:val="24"/>
          <w:szCs w:val="24"/>
        </w:rPr>
      </w:pPr>
      <w:r w:rsidRPr="00772007">
        <w:rPr>
          <w:rFonts w:ascii="Times New Roman" w:hAnsi="Times New Roman" w:cs="Times New Roman"/>
          <w:color w:val="auto"/>
          <w:sz w:val="24"/>
          <w:szCs w:val="24"/>
        </w:rPr>
        <w:t>Pharmacokinetics and advanced delivery systems</w:t>
      </w:r>
    </w:p>
    <w:p w14:paraId="5A10D386" w14:textId="49E78947" w:rsidR="000E4624" w:rsidRPr="00772007" w:rsidRDefault="00490318" w:rsidP="000355CC">
      <w:pPr>
        <w:pStyle w:val="Heading1"/>
        <w:spacing w:before="0" w:line="360" w:lineRule="auto"/>
        <w:jc w:val="both"/>
        <w:rPr>
          <w:rFonts w:ascii="Times New Roman" w:hAnsi="Times New Roman" w:cs="Times New Roman"/>
          <w:sz w:val="24"/>
          <w:szCs w:val="24"/>
        </w:rPr>
      </w:pPr>
      <w:r w:rsidRPr="00772007">
        <w:rPr>
          <w:rFonts w:ascii="Times New Roman" w:hAnsi="Times New Roman" w:cs="Times New Roman"/>
          <w:color w:val="auto"/>
          <w:sz w:val="24"/>
          <w:szCs w:val="24"/>
        </w:rPr>
        <w:t>Why so little of it reaches the brain</w:t>
      </w:r>
    </w:p>
    <w:p w14:paraId="63EED288" w14:textId="5CB1973F"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gramStart"/>
      <w:proofErr w:type="gramEnd"/>
      <w:r>
        <w:rPr>
          <w:rFonts w:eastAsia="Times New Roman" w:cs="Times New Roman"/>
          <w:szCs w:val="24"/>
        </w:rPr>
        <w:t>Absorption after oral dosing is poor for withanolides, bacosides and the larger polyphenols. They dissolve badly and undergo heavy first-pass metabolism; across the blood–brain barrier only small amounts arrive. Bone and neuronal membranes defeat conventional dosage forms just as thoroughly. Where neurotoxicity dominates the phenotype, getting adequate concentrations into the central nervous system becomes the whole question. Nothing in this review matters more. Phytomedicine at large owns this problem, not Ayurveda in particular: the field is full of promising in vitro and preclinical results that failed in the clinic because the compound never arrived at the tissue in useful amounts[49].</w:t>
      </w:r>
    </w:p>
    <w:p w14:paraId="5FAA77AE" w14:textId="36A5FBE6"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Classical </w:t>
      </w:r>
      <w:proofErr w:type="spellStart"/>
      <w:r w:rsidRPr="00772007">
        <w:rPr>
          <w:rFonts w:ascii="Times New Roman" w:hAnsi="Times New Roman" w:cs="Times New Roman"/>
          <w:color w:val="auto"/>
          <w:sz w:val="24"/>
          <w:szCs w:val="24"/>
        </w:rPr>
        <w:t>Anupana</w:t>
      </w:r>
      <w:proofErr w:type="spellEnd"/>
      <w:r w:rsidRPr="00772007">
        <w:rPr>
          <w:rFonts w:ascii="Times New Roman" w:hAnsi="Times New Roman" w:cs="Times New Roman"/>
          <w:color w:val="auto"/>
          <w:sz w:val="24"/>
          <w:szCs w:val="24"/>
        </w:rPr>
        <w:t xml:space="preserve">: </w:t>
      </w:r>
      <w:proofErr w:type="spellStart"/>
      <w:r w:rsidRPr="00772007">
        <w:rPr>
          <w:rFonts w:ascii="Times New Roman" w:hAnsi="Times New Roman" w:cs="Times New Roman"/>
          <w:color w:val="auto"/>
          <w:sz w:val="24"/>
          <w:szCs w:val="24"/>
        </w:rPr>
        <w:t>Ghrita</w:t>
      </w:r>
      <w:proofErr w:type="spellEnd"/>
      <w:r w:rsidRPr="00772007">
        <w:rPr>
          <w:rFonts w:ascii="Times New Roman" w:hAnsi="Times New Roman" w:cs="Times New Roman"/>
          <w:color w:val="auto"/>
          <w:sz w:val="24"/>
          <w:szCs w:val="24"/>
        </w:rPr>
        <w:t xml:space="preserve"> as a traditional lipid carrier</w:t>
      </w:r>
    </w:p>
    <w:p w14:paraId="7E599602" w14:textId="310D00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rFonts w:eastAsia="Times New Roman" w:cs="Times New Roman"/>
          <w:szCs w:val="24"/>
        </w:rPr>
        <w:t>Until delivery is solved, Rasayana-based toxicology will not leave the laboratory[53]. Ayurvedic pharmaceutics addressed part of that problem long ago, empirically at least. Ghrita (clarified butter, or medicated ghee) has served as a lipid Anupana for lipophilic herbs, especially in neuropsychiatric and Rasayana prescriptions. Classical texts call it Yogavahi: a vehicle that enters the subtle channels and carries the properties of the drugs processed into it to deeper tissues, provided the preparation follows the proper Ghrita and Sneha procedures. Read pharmaceutically, Ghrita is a natural lipid matrix. It raises the solubility of lipophilic constituents, promotes lymphatic absorption and may improve brain delivery through chylomicron-mediated transport[54]. Within Agada Tantra, Sushruta prescribes Ajeya Ghrita for Dushi Visha, and Dushivishari Ajeya Ghrita has been evaluated clinically against Dushi Visha-related symptoms[55]; such medicated ghees detoxify first and rejuvenate afterwards. Proper pharmacokinetics for these preparations do not exist. Even so, the pharmaceutics anticipated by several centuries what the lipid-nanoparticle literature rediscovered in the last twenty years[54].</w:t>
      </w:r>
    </w:p>
    <w:p w14:paraId="436483FE" w14:textId="77777777" w:rsidR="0046290E" w:rsidRDefault="0046290E" w:rsidP="000355CC">
      <w:pPr>
        <w:spacing w:after="0" w:line="360" w:lineRule="auto"/>
        <w:jc w:val="both"/>
        <w:rPr>
          <w:rFonts w:eastAsia="Times New Roman" w:cs="Times New Roman"/>
          <w:szCs w:val="24"/>
        </w:rPr>
      </w:pPr>
    </w:p>
    <w:p w14:paraId="655B9950" w14:textId="29DCD099" w:rsidR="0046290E" w:rsidRPr="00AC0680" w:rsidRDefault="00AC0680" w:rsidP="00AC0680">
      <w:pPr>
        <w:spacing w:after="0" w:line="360" w:lineRule="auto"/>
        <w:jc w:val="center"/>
        <w:rPr>
          <w:rFonts w:eastAsia="Times New Roman" w:cs="Times New Roman"/>
          <w:b/>
          <w:bCs/>
          <w:szCs w:val="24"/>
        </w:rPr>
      </w:pPr>
      <w:r w:rsidRPr="00AC0680">
        <w:rPr>
          <w:rFonts w:cs="Times New Roman"/>
          <w:b/>
          <w:bCs/>
          <w:szCs w:val="24"/>
          <w:lang w:val="en-IN"/>
        </w:rPr>
        <w:drawing>
          <wp:anchor distT="0" distB="0" distL="114300" distR="114300" simplePos="0" relativeHeight="251659264" behindDoc="0" locked="0" layoutInCell="1" allowOverlap="1" wp14:anchorId="295E3454" wp14:editId="4D9F1B3F">
            <wp:simplePos x="0" y="0"/>
            <wp:positionH relativeFrom="margin">
              <wp:posOffset>61826</wp:posOffset>
            </wp:positionH>
            <wp:positionV relativeFrom="paragraph">
              <wp:posOffset>597535</wp:posOffset>
            </wp:positionV>
            <wp:extent cx="5375275" cy="3243580"/>
            <wp:effectExtent l="0" t="0" r="0" b="0"/>
            <wp:wrapTopAndBottom/>
            <wp:docPr id="2012473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t="9473"/>
                    <a:stretch>
                      <a:fillRect/>
                    </a:stretch>
                  </pic:blipFill>
                  <pic:spPr bwMode="auto">
                    <a:xfrm>
                      <a:off x="0" y="0"/>
                      <a:ext cx="5375275" cy="3243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0680">
        <w:rPr>
          <w:rFonts w:eastAsia="Times New Roman" w:cs="Times New Roman"/>
          <w:b/>
          <w:bCs/>
          <w:szCs w:val="24"/>
        </w:rPr>
        <w:t xml:space="preserve">Image 2: </w:t>
      </w:r>
      <w:proofErr w:type="spellStart"/>
      <w:r w:rsidRPr="00AC0680">
        <w:rPr>
          <w:rFonts w:eastAsia="Times New Roman" w:cs="Times New Roman"/>
          <w:b/>
          <w:bCs/>
          <w:szCs w:val="24"/>
        </w:rPr>
        <w:t>Rasayana</w:t>
      </w:r>
      <w:proofErr w:type="spellEnd"/>
      <w:r w:rsidRPr="00AC0680">
        <w:rPr>
          <w:rFonts w:eastAsia="Times New Roman" w:cs="Times New Roman"/>
          <w:b/>
          <w:bCs/>
          <w:szCs w:val="24"/>
        </w:rPr>
        <w:t xml:space="preserve"> Botanicals, Molecular Targets, and Advanced Delivery Platforms for Countering Dushi Visha</w:t>
      </w: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Modern </w:t>
      </w:r>
      <w:proofErr w:type="spellStart"/>
      <w:r w:rsidRPr="00772007">
        <w:rPr>
          <w:rFonts w:ascii="Times New Roman" w:hAnsi="Times New Roman" w:cs="Times New Roman"/>
          <w:color w:val="auto"/>
          <w:sz w:val="24"/>
          <w:szCs w:val="24"/>
        </w:rPr>
        <w:t>nanoemulsions</w:t>
      </w:r>
      <w:proofErr w:type="spellEnd"/>
      <w:r w:rsidRPr="00772007">
        <w:rPr>
          <w:rFonts w:ascii="Times New Roman" w:hAnsi="Times New Roman" w:cs="Times New Roman"/>
          <w:color w:val="auto"/>
          <w:sz w:val="24"/>
          <w:szCs w:val="24"/>
        </w:rPr>
        <w:t xml:space="preserve"> and solid lipid nanoparticles</w:t>
      </w:r>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Nanocarriers offer much finer control. Particle size, surface chemistry and release profile can each be tuned; each changes how much of a herbal extract is absorbed and where it ends up. Solid lipid nanoparticles, built from physiological lipids, have carried herbal extracts with gains in oral bioavailability and stability, better central nervous system penetration and lower systemic toxicity[53]. One worked example: stearic acid solid lipid nanoparticles loaded with a bacoside-rich Bacopa extract released the drug over 24 h and stayed stable for three months[56].</w:t>
      </w:r>
    </w:p>
    <w:p w14:paraId="1D722E2D" w14:textId="579704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rFonts w:eastAsia="Times New Roman" w:cs="Times New Roman"/>
          <w:szCs w:val="24"/>
        </w:rPr>
        <w:t>Rasayana-specific evidence is thinner than that, though still encouraging. As a nanoemulsion, Withania somnifera crossed the blood–brain barrier more effectively and protected albino rats against penconazole-induced neurotoxicity[35]. Feasibility, if nothing else: a nanocarrier can deliver a Rasayana against a neurotoxic insult. The likelier route to usable bioavailability, by most reviews, is the herbal solid lipid nanoparticle, Ashwagandha-loaded systems among them; conceptually these are engineered descendants of Ghrita doing the same job with control over particle size and release[53]. Pleasing as that is, do not press it: one end of the comparison is a food, the other a manufactured colloid with a toxicology of its own. Table 2 sets the classical and modern platforms side by side.</w:t>
      </w:r>
      <w:r>
        <w:rPr>
          <w:rFonts w:eastAsia="Times New Roman" w:cs="Times New Roman"/>
          <w:szCs w:val="24"/>
          <w:i/>
        </w:rPr>
      </w:r>
      <w:r>
        <w:rPr>
          <w:rFonts w:eastAsia="Times New Roman" w:cs="Times New Roman"/>
          <w:szCs w:val="24"/>
        </w:rPr>
      </w:r>
    </w:p>
    <w:p w14:paraId="7104BB6D" w14:textId="77777777" w:rsidR="00AC0680" w:rsidRDefault="00AC0680" w:rsidP="000355CC">
      <w:pPr>
        <w:spacing w:after="0" w:line="360" w:lineRule="auto"/>
        <w:jc w:val="both"/>
        <w:rPr>
          <w:rFonts w:eastAsia="Times New Roman" w:cs="Times New Roman"/>
          <w:szCs w:val="24"/>
        </w:rPr>
      </w:pPr>
    </w:p>
    <w:p w14:paraId="565BCA69" w14:textId="5D973B5C" w:rsidR="00AC0680" w:rsidRPr="00AC0680" w:rsidRDefault="00AC0680" w:rsidP="00AC0680">
      <w:pPr>
        <w:spacing w:after="0" w:line="360" w:lineRule="auto"/>
        <w:jc w:val="center"/>
        <w:rPr>
          <w:rFonts w:eastAsia="Times New Roman" w:cs="Times New Roman"/>
          <w:b/>
          <w:bCs/>
          <w:szCs w:val="24"/>
        </w:rPr>
      </w:pPr>
      <w:r w:rsidRPr="00AC0680">
        <w:rPr>
          <w:rFonts w:eastAsia="Times New Roman" w:cs="Times New Roman"/>
          <w:b/>
          <w:bCs/>
          <w:szCs w:val="24"/>
        </w:rPr>
        <w:t>Table 2: Classical and Modern Delivery Platforms for Rasayana-Based Management of Dushi Visha</w:t>
      </w:r>
    </w:p>
    <w:tbl>
      <w:tblPr>
        <w:tblStyle w:val="TableGrid"/>
        <w:tblW w:w="10001" w:type="dxa"/>
        <w:tblLayout w:type="fixed"/>
        <w:tblLook w:val="04A0" w:firstRow="1" w:lastRow="0" w:firstColumn="1" w:lastColumn="0" w:noHBand="0" w:noVBand="1"/>
      </w:tblPr>
      <w:tblGrid>
        <w:gridCol w:w="2443"/>
        <w:gridCol w:w="2283"/>
        <w:gridCol w:w="1723"/>
        <w:gridCol w:w="1736"/>
        <w:gridCol w:w="1816"/>
      </w:tblGrid>
      <w:tr w:rsidR="00AC0680" w:rsidRPr="00AC0680" w14:paraId="428B1B8A" w14:textId="77777777" w:rsidTr="00AC0680">
        <w:trPr>
          <w:trHeight w:val="833"/>
        </w:trPr>
        <w:tc>
          <w:tcPr>
            <w:tcW w:w="2443" w:type="dxa"/>
            <w:hideMark/>
          </w:tcPr>
          <w:p w14:paraId="34F2904D"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Delivery Platform</w:t>
            </w:r>
          </w:p>
        </w:tc>
        <w:tc>
          <w:tcPr>
            <w:tcW w:w="2283" w:type="dxa"/>
            <w:hideMark/>
          </w:tcPr>
          <w:p w14:paraId="58969C0F"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Traditional/Modern Approach</w:t>
            </w:r>
          </w:p>
        </w:tc>
        <w:tc>
          <w:tcPr>
            <w:tcW w:w="1723" w:type="dxa"/>
            <w:hideMark/>
          </w:tcPr>
          <w:p w14:paraId="24EDCD3C"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Functional Role</w:t>
            </w:r>
          </w:p>
        </w:tc>
        <w:tc>
          <w:tcPr>
            <w:tcW w:w="1736" w:type="dxa"/>
            <w:hideMark/>
          </w:tcPr>
          <w:p w14:paraId="51E72BD8"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Advantages</w:t>
            </w:r>
          </w:p>
        </w:tc>
        <w:tc>
          <w:tcPr>
            <w:tcW w:w="1816" w:type="dxa"/>
            <w:hideMark/>
          </w:tcPr>
          <w:p w14:paraId="2C89EE63"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Limitations</w:t>
            </w:r>
          </w:p>
        </w:tc>
      </w:tr>
      <w:tr w:rsidR="00AC0680" w:rsidRPr="00AC0680" w14:paraId="280C4434" w14:textId="77777777" w:rsidTr="00AC0680">
        <w:trPr>
          <w:trHeight w:val="2490"/>
        </w:trPr>
        <w:tc>
          <w:tcPr>
            <w:tcW w:w="2443" w:type="dxa"/>
            <w:hideMark/>
          </w:tcPr>
          <w:p w14:paraId="6DAC5339"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Ghrita (Medicated Ghee) [54]</w:t>
            </w:r>
            <w:proofErr w:type="spellEnd"/>
          </w:p>
        </w:tc>
        <w:tc>
          <w:tcPr>
            <w:tcW w:w="2283" w:type="dxa"/>
            <w:hideMark/>
          </w:tcPr>
          <w:p w14:paraId="0701A699"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Classical Ayurvedic </w:t>
            </w:r>
            <w:proofErr w:type="spellStart"/>
            <w:r w:rsidRPr="00AC0680">
              <w:rPr>
                <w:rFonts w:eastAsia="Times New Roman" w:cs="Times New Roman"/>
                <w:szCs w:val="24"/>
                <w:lang w:val="en-IN"/>
              </w:rPr>
              <w:t>Anupana</w:t>
            </w:r>
            <w:proofErr w:type="spellEnd"/>
          </w:p>
        </w:tc>
        <w:tc>
          <w:tcPr>
            <w:tcW w:w="1723" w:type="dxa"/>
            <w:hideMark/>
          </w:tcPr>
          <w:p w14:paraId="6560FCD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Lipid-based carrier for phytochemicals</w:t>
            </w:r>
          </w:p>
        </w:tc>
        <w:tc>
          <w:tcPr>
            <w:tcW w:w="1736" w:type="dxa"/>
            <w:hideMark/>
          </w:tcPr>
          <w:p w14:paraId="54D0CC5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Enhances solubility, deep tissue penetration, possible CNS targeting</w:t>
            </w:r>
          </w:p>
        </w:tc>
        <w:tc>
          <w:tcPr>
            <w:tcW w:w="1816" w:type="dxa"/>
            <w:hideMark/>
          </w:tcPr>
          <w:p w14:paraId="693B6E8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Limited pharmacokinetic standardization</w:t>
            </w:r>
          </w:p>
        </w:tc>
      </w:tr>
      <w:tr w:rsidR="00AC0680" w:rsidRPr="00AC0680" w14:paraId="70E24EB2" w14:textId="77777777" w:rsidTr="00AC0680">
        <w:trPr>
          <w:trHeight w:val="2084"/>
        </w:trPr>
        <w:tc>
          <w:tcPr>
            <w:tcW w:w="2443" w:type="dxa"/>
            <w:hideMark/>
          </w:tcPr>
          <w:p w14:paraId="79A14ED6"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Nanoemulsion Systems [35]</w:t>
            </w:r>
            <w:proofErr w:type="spellEnd"/>
          </w:p>
        </w:tc>
        <w:tc>
          <w:tcPr>
            <w:tcW w:w="2283" w:type="dxa"/>
            <w:hideMark/>
          </w:tcPr>
          <w:p w14:paraId="3C5A60AD"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nanotechnology</w:t>
            </w:r>
          </w:p>
        </w:tc>
        <w:tc>
          <w:tcPr>
            <w:tcW w:w="1723" w:type="dxa"/>
            <w:hideMark/>
          </w:tcPr>
          <w:p w14:paraId="723BAD4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absorption and BBB penetration</w:t>
            </w:r>
          </w:p>
        </w:tc>
        <w:tc>
          <w:tcPr>
            <w:tcW w:w="1736" w:type="dxa"/>
            <w:hideMark/>
          </w:tcPr>
          <w:p w14:paraId="7673743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Enhanced bioavailability and neuroprotection</w:t>
            </w:r>
          </w:p>
        </w:tc>
        <w:tc>
          <w:tcPr>
            <w:tcW w:w="1816" w:type="dxa"/>
            <w:hideMark/>
          </w:tcPr>
          <w:p w14:paraId="463EC39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Stability optimization required</w:t>
            </w:r>
          </w:p>
        </w:tc>
      </w:tr>
      <w:tr w:rsidR="00AC0680" w:rsidRPr="00AC0680" w14:paraId="2FCB4B30" w14:textId="77777777" w:rsidTr="00AC0680">
        <w:trPr>
          <w:trHeight w:val="2084"/>
        </w:trPr>
        <w:tc>
          <w:tcPr>
            <w:tcW w:w="2443" w:type="dxa"/>
            <w:hideMark/>
          </w:tcPr>
          <w:p w14:paraId="34F1F08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lastRenderedPageBreak/>
              <w:t xml:space="preserve">Solid Lipid Nanoparticles (SLNs) [53,56]</w:t>
            </w:r>
          </w:p>
        </w:tc>
        <w:tc>
          <w:tcPr>
            <w:tcW w:w="2283" w:type="dxa"/>
            <w:hideMark/>
          </w:tcPr>
          <w:p w14:paraId="40A4902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lipid nanocarriers</w:t>
            </w:r>
          </w:p>
        </w:tc>
        <w:tc>
          <w:tcPr>
            <w:tcW w:w="1723" w:type="dxa"/>
            <w:hideMark/>
          </w:tcPr>
          <w:p w14:paraId="043B1BB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Controlled release and targeted delivery</w:t>
            </w:r>
          </w:p>
        </w:tc>
        <w:tc>
          <w:tcPr>
            <w:tcW w:w="1736" w:type="dxa"/>
            <w:hideMark/>
          </w:tcPr>
          <w:p w14:paraId="6AA2CC0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Better CNS delivery, reduced systemic toxicity</w:t>
            </w:r>
          </w:p>
        </w:tc>
        <w:tc>
          <w:tcPr>
            <w:tcW w:w="1816" w:type="dxa"/>
            <w:hideMark/>
          </w:tcPr>
          <w:p w14:paraId="027A7AF2"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Complex manufacturing process</w:t>
            </w:r>
          </w:p>
        </w:tc>
      </w:tr>
      <w:tr w:rsidR="00AC0680" w:rsidRPr="00AC0680" w14:paraId="3E5D26E4" w14:textId="77777777" w:rsidTr="00AC0680">
        <w:trPr>
          <w:trHeight w:val="2084"/>
        </w:trPr>
        <w:tc>
          <w:tcPr>
            <w:tcW w:w="2443" w:type="dxa"/>
            <w:hideMark/>
          </w:tcPr>
          <w:p w14:paraId="25104FE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Liposomal/Phytosomal Delivery [57]</w:t>
            </w:r>
            <w:proofErr w:type="spellStart"/>
            <w:proofErr w:type="spellEnd"/>
          </w:p>
        </w:tc>
        <w:tc>
          <w:tcPr>
            <w:tcW w:w="2283" w:type="dxa"/>
            <w:hideMark/>
          </w:tcPr>
          <w:p w14:paraId="7DD604C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Advanced phytochemical encapsulation</w:t>
            </w:r>
          </w:p>
        </w:tc>
        <w:tc>
          <w:tcPr>
            <w:tcW w:w="1723" w:type="dxa"/>
            <w:hideMark/>
          </w:tcPr>
          <w:p w14:paraId="1681C7B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membrane permeability</w:t>
            </w:r>
          </w:p>
        </w:tc>
        <w:tc>
          <w:tcPr>
            <w:tcW w:w="1736" w:type="dxa"/>
            <w:hideMark/>
          </w:tcPr>
          <w:p w14:paraId="0BD7A2B5"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Increased cellular uptake and therapeutic efficacy</w:t>
            </w:r>
          </w:p>
        </w:tc>
        <w:tc>
          <w:tcPr>
            <w:tcW w:w="1816" w:type="dxa"/>
            <w:hideMark/>
          </w:tcPr>
          <w:p w14:paraId="6A89AA7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Cost-intensive formulation</w:t>
            </w:r>
          </w:p>
        </w:tc>
      </w:tr>
      <w:tr w:rsidR="00AC0680" w:rsidRPr="00AC0680" w14:paraId="4AEC9A17" w14:textId="77777777" w:rsidTr="00AC0680">
        <w:trPr>
          <w:trHeight w:val="2073"/>
        </w:trPr>
        <w:tc>
          <w:tcPr>
            <w:tcW w:w="2443" w:type="dxa"/>
            <w:hideMark/>
          </w:tcPr>
          <w:p w14:paraId="16A9D13F"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Conventional Herbal Powders/Decoctions [53,57]</w:t>
            </w:r>
          </w:p>
        </w:tc>
        <w:tc>
          <w:tcPr>
            <w:tcW w:w="2283" w:type="dxa"/>
            <w:hideMark/>
          </w:tcPr>
          <w:p w14:paraId="0BCD1E41"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Traditional dosage forms</w:t>
            </w:r>
          </w:p>
        </w:tc>
        <w:tc>
          <w:tcPr>
            <w:tcW w:w="1723" w:type="dxa"/>
            <w:hideMark/>
          </w:tcPr>
          <w:p w14:paraId="570E583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General systemic </w:t>
            </w:r>
            <w:proofErr w:type="spellStart"/>
            <w:r w:rsidRPr="00AC0680">
              <w:rPr>
                <w:rFonts w:eastAsia="Times New Roman" w:cs="Times New Roman"/>
                <w:szCs w:val="24"/>
                <w:lang w:val="en-IN"/>
              </w:rPr>
              <w:t>Rasayana</w:t>
            </w:r>
            <w:proofErr w:type="spellEnd"/>
            <w:r w:rsidRPr="00AC0680">
              <w:rPr>
                <w:rFonts w:eastAsia="Times New Roman" w:cs="Times New Roman"/>
                <w:szCs w:val="24"/>
                <w:lang w:val="en-IN"/>
              </w:rPr>
              <w:t xml:space="preserve"> support</w:t>
            </w:r>
          </w:p>
        </w:tc>
        <w:tc>
          <w:tcPr>
            <w:tcW w:w="1736" w:type="dxa"/>
            <w:hideMark/>
          </w:tcPr>
          <w:p w14:paraId="5C5AFD1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Easy preparation and affordability</w:t>
            </w:r>
          </w:p>
        </w:tc>
        <w:tc>
          <w:tcPr>
            <w:tcW w:w="1816" w:type="dxa"/>
            <w:hideMark/>
          </w:tcPr>
          <w:p w14:paraId="29AC1D4B"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Poor bioavailability and inconsistent absorption</w:t>
            </w:r>
          </w:p>
        </w:tc>
      </w:tr>
    </w:tbl>
    <w:p w14:paraId="7BC0C663" w14:textId="77777777" w:rsidR="00AC0680" w:rsidRDefault="00AC0680" w:rsidP="000355CC">
      <w:pPr>
        <w:spacing w:after="0" w:line="360" w:lineRule="auto"/>
        <w:jc w:val="both"/>
        <w:rPr>
          <w:rFonts w:eastAsia="Times New Roman" w:cs="Times New Roman"/>
          <w:szCs w:val="24"/>
        </w:rPr>
      </w:pPr>
    </w:p>
    <w:p w14:paraId="68091EAD" w14:textId="77777777" w:rsidR="001470E9" w:rsidRPr="00772007" w:rsidRDefault="001470E9" w:rsidP="000355CC">
      <w:pPr>
        <w:spacing w:after="0" w:line="360" w:lineRule="auto"/>
        <w:jc w:val="both"/>
        <w:rPr>
          <w:rFonts w:cs="Times New Roman"/>
          <w:szCs w:val="24"/>
        </w:rPr>
      </w:pP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Safety and quality concerns</w:t>
      </w:r>
      <w:proofErr w:type="spellStart"/>
      <w:proofErr w:type="spellEnd"/>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Any review proposing Rasayana against toxicity has an awkward fact to confront: some of these herbs are themselves hepatotoxic in a minority of users. Which is the clearest case? Guduchi. Forty-three patients with liver injury attributed to Tinospora cordifolia were documented in a multicentre Indian study, the herb having been taken widely as an immune booster through the COVID-19 pandemic; about half presented with acute worsening of underlying chronic liver disease, and some died[58]. The Ashwagandha signal is smaller: jaundice with a cholestatic or mixed pattern in five patients from Iceland and the US Drug-Induced Liver Injury Network, none progressing to liver failure[59]. Separate from that is product quality, which comes with a harder number attached. One Ayurvedic medicine in five bought online carried detectable lead, mercury or arsenic, US-made and Indian-made alike; for rasa shastra preparations that deliberately incorporate metals the figure was 40.6%[60]. In a condition defined by chronic toxic load, 40.6% is not a footnote. Nor is the first awkwardness small. Earlier in this review, the herb recommended for hepatic phenotypes is the one carrying its largest liver-injury signal. Authenticated contaminant-tested material, liver function checked at baseline and during dosing, particular caution in patients who already have liver disease: all three will be needed in any clinical protocol.</w:t>
      </w:r>
      <w:r>
        <w:rPr>
          <w:rFonts w:eastAsia="Times New Roman" w:cs="Times New Roman"/>
          <w:szCs w:val="24"/>
          <w:i/>
        </w:rPr>
      </w:r>
      <w:r>
        <w:rPr>
          <w:rFonts w:eastAsia="Times New Roman" w:cs="Times New Roman"/>
          <w:szCs w:val="24"/>
        </w:rPr>
      </w:r>
    </w:p>
    <w:p w14:paraId="09FA7F0E" w14:textId="69E8FBB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Future directions and translational strategy</w:t>
      </w:r>
    </w:p>
    <w:p w14:paraId="4B94F739" w14:textId="2CDD2A4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Network pharmacology for polyherbal formulations</w:t>
      </w:r>
    </w:p>
    <w:p w14:paraId="0B4886AC" w14:textId="4FAE6F65"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r>
        <w:rPr>
          <w:rFonts w:eastAsia="Times New Roman" w:cs="Times New Roman"/>
          <w:szCs w:val="24"/>
        </w:rPr>
        <w:t>Triphala and Tinospora cordifolia have already been mapped by network pharmacology[62,63]. That is the method's natural application here. Polyherbal formulations defeat the one-drug, one-target logic of conventional pharmacology, and network approaches were built for precisely that situation: many components against many targets inside the molecular machinery of latent toxicity[61]. Put target-prediction algorithms, phytochemical databases and pathway enrichment together and the convergence points come out; Nrf2 and NF‑κB lead, with apoptotic regulators and the synaptic plasticity pathways that matter in Dushi Visha behind them. Whether a model of that kind earns its keep depends on whether it changes practice. It should bite first on which herbs enter a formula and at what dose, then on the biomarkers a trial chooses to measure[61]. Those same maps flag herb–drug interactions and safety liabilities before a patient meets them, which matters a great deal once Rasayana is given alongside DMSA or EDTA[58,59].</w:t>
      </w:r>
      <w:r>
        <w:rPr>
          <w:rFonts w:eastAsia="Times New Roman" w:cs="Times New Roman"/>
          <w:szCs w:val="24"/>
          <w:i/>
        </w:rPr>
      </w:r>
      <w:r>
        <w:rPr>
          <w:rFonts w:eastAsia="Times New Roman" w:cs="Times New Roman"/>
          <w:szCs w:val="24"/>
        </w:rPr>
      </w:r>
    </w:p>
    <w:p w14:paraId="10F223AB"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the trials would have to look like</w:t>
      </w:r>
    </w:p>
    <w:p w14:paraId="59AC465A" w14:textId="77777777" w:rsidR="000E4624" w:rsidRPr="00772007" w:rsidRDefault="00490318" w:rsidP="000355CC">
      <w:pPr>
        <w:spacing w:after="0" w:line="360" w:lineRule="auto"/>
        <w:jc w:val="both"/>
        <w:rPr>
          <w:rFonts w:cs="Times New Roman"/>
          <w:szCs w:val="24"/>
        </w:rPr>
      </w:pPr>
      <w:r w:rsidRPr="00772007">
        <w:rPr>
          <w:rFonts w:eastAsia="Times New Roman" w:cs="Times New Roman"/>
          <w:szCs w:val="24"/>
        </w:rPr>
        <w:t>Three lines of work should come first, and they are not equally hard. Preclinical models of chronic environmental toxicity (low-dose heavy-metal or pesticide exposure, with Rasayana tested both as pre-conditioning and as post-exposure treatment) are straightforward to build, and nobody has built them. Pharmacokinetic and pharmacodynamic comparison of classical Ghrita-based preparations against nano-enabled formulations is harder; no proper pharmacokinetics exist for the Ghrita arm to begin with[54]. Phase II and III trials come last, in exposure cohorts that have actually been characterised[31].</w:t>
      </w:r>
      <w:proofErr w:type="spellStart"/>
      <w:proofErr w:type="spellEnd"/>
      <w:proofErr w:type="spellStart"/>
      <w:proofErr w:type="spellEnd"/>
    </w:p>
    <w:p w14:paraId="52F382B4" w14:textId="34D9B6A4"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r>
        <w:rPr>
          <w:rFonts w:eastAsia="Times New Roman" w:cs="Times New Roman"/>
          <w:szCs w:val="24"/>
        </w:rPr>
        <w:t>Five domains at once is what animal work has to cover. Oxidative, mitochondrial, inflammatory, apoptotic, neurocognitive. In practice that is mitochondrial complex activity, antioxidant ratios, microglial activation indices, behavioural assays. For the human studies, recruitment is the easy part (arguably the only easy part). Pesticide applicators, lead-exposed industrial workers and city residents living with high air-pollution indices all carry documented exposure already[31]. Diagnosis is harder. Each trial would have to pair Ayurvedic assessment of Dushi Visha with modern biomarkers of oxidative stress, inflammation and organ function[64–67], then run standard care with chelation where indicated against standard care plus a Rasayana protocol, stratifying by phenotype: neurocognitive, cardiometabolic, dermatological, and the rest. Build microbiome and metabolomic profiling into the protocol from the start, so that systemic effects and those routed through the gut get measured instead of inferred. Controlled designs of this kind have already tested Medhya Rasayana in age-related cognitive decline[68]. Nothing short of that quality will produce evidence toxicology and integrative medicine both accept.</w:t>
      </w:r>
    </w:p>
    <w:p w14:paraId="5BD45EAC"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Conclusion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What toxicology now calls latent toxicity is, on the classical account, Dushi Visha: the product of steady low-level exposure to environmental and dietary toxins. Three things sustain it at the molecular level. Mitochondria that are failing. Inflammation that persists. A neuroimmune and metabolic balance knocked out of true. No mono-targeted antidote corrects all three, and EDTA, DMSA and DMPS do not try[15,28,29]. Rasayana herbs might. They reinforce the intrinsic antioxidant network, act on Nrf2 and NF‑κB, engage anti-apoptotic and synaptic repair programmes and regulate the axis between gut and brain[14,36,45]. As a group that is a credible systems-level response to a disease with no single lesion.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Credible is not demonstrated, and the distance between the two is most of what this review has been about. Rasayana's strongest human datum remains a one-month trial of 500 mg vitamin C daily in workers carrying mean blood lead near 63 µg/dL; lipid peroxides fell about 16% and superoxide dismutase rose 38%[31]. Vitamin C is not a Rasayana. Against that sit 43 documented cases of Tinospora-attributed liver injury and detectable heavy metal in 40.6% of rasa shastra products[58,60]. For a therapy proposed against toxic load, that is an awkward position. Delivery remains the limiting step. Ghrita and engineered lipid nanoparticles come at it from opposite ends of pharmaceutical history (an empirical lipid matrix at one end, a manufactured colloid at the other), and drawing on the two together could get Rasayana compounds into deep tissues and the brain itself. What is missing is evidence of the right kind: network pharmacology to define the mechanism, preclinical work done rigorously, then controlled trials in people whose exposure is on record. Until those exist, the human evidence for Rasayana in chronic toxic exposure amounts to one supplementation study in healthy elderly volunteers[50].</w:t>
      </w:r>
    </w:p>
    <w:p w14:paraId="52F1427A" w14:textId="73D22625" w:rsidR="008C7459" w:rsidRPr="000355CC" w:rsidRDefault="008C7459" w:rsidP="000355CC">
      <w:pPr>
        <w:pStyle w:val="Heading1"/>
        <w:spacing w:line="360" w:lineRule="auto"/>
        <w:jc w:val="both"/>
        <w:rPr>
          <w:rFonts w:ascii="Times New Roman" w:hAnsi="Times New Roman" w:cs="Times New Roman"/>
          <w:color w:val="000000" w:themeColor="text1"/>
          <w:sz w:val="24"/>
          <w:szCs w:val="24"/>
        </w:rPr>
      </w:pPr>
      <w:r w:rsidRPr="00772007">
        <w:rPr>
          <w:rFonts w:ascii="Times New Roman" w:hAnsi="Times New Roman" w:cs="Times New Roman"/>
          <w:color w:val="000000" w:themeColor="text1"/>
          <w:sz w:val="24"/>
          <w:szCs w:val="24"/>
        </w:rPr>
        <w:t>References</w:t>
      </w:r>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Patel D, Inchulkar SR, Kaushik Y, Chauhan NS. Concept of dushi visha (latent poison): a review in Ayurveda. TMR Theory Hypothesis. 2019;2(2):166-72. https://doi.org/10.12032/TMRTH201902001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Singh V, Sangeeta T, Muzzammel M. Bridging ancient wisdom and modern insights: understanding cancer through the lens of Dooshivisha and environmental toxicology. Ayush J Integr Oncol. 2024;1(3-4):46-53. https://doi.org/10.4103/ajio.ajio_14_24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Waghmare TS, Wasu IP. Samhitokta concept of Dushi Visha: a review article. J Ayurveda Integr Med Sci. 2020;5(1):215-9. https://doi.org/10.21760/jaims.v5i01.840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P, Namewar P. Environmental toxicity and its Ayurvedic management through Agada Tantra: a comprehensive review. J Neonatal Surg. 2025;14(32S):6496-501.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Gore AC, Chappell VA, Fenton SE, Flaws JA, Nadal A, Prins GS, et al. EDC-2: the Endocrine Society's second scientific statement on endocrine-disrupting chemicals. Endocr Rev. 2015;36(6):E1-150. https://doi.org/10.1210/er.2015-1010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Shekhar C, Khosya R, Thakur K, Mahajan D, Kumar R, Kumar S, et al. A systematic review of pesticide exposure, associated risks, and long-term human health impacts. Toxicol Rep. 2024;13:101840. https://doi.org/10.1016/j.toxrep.2024.101840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Rooney JPK. The retention time of inorganic mercury in the brain: a systematic review of the evidence. Toxicol Appl Pharmacol. 2014;274(3):425-35. https://doi.org/10.1016/j.taap.2013.12.011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Nigam D, Shukla GS, Agarwal AK. Glutathione depletion and oxidative damage in mitochondria following exposure to cadmium in rat liver and kidney. Toxicol Lett. 1999;106(2-3):151-7. https://doi.org/10.1016/S0378-4274(99)00059-4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Balali-Mood M, Naseri K, Tahergorabi Z, Khazdair MR, Sadeghi M. Toxic mechanisms of five heavy metals: mercury, lead, chromium, cadmium, and arsenic. Front Pharmacol. 2021;12:643972. https://doi.org/10.3389/fphar.2021.643972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Branco V, Aschner M, Carvalho C. Neurotoxicity of mercury: an old issue with contemporary significance. Adv Neurotoxicol. 2021;5:239-62. https://doi.org/10.1016/bs.ant.2021.01.001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Joshi N, Bedekar SS. Concept of Rasayana for a better health: a review. J Ayurveda Integr Med Sci. 2017;2(1):209-12. https://doi.org/10.21760/jaims.v2i1.7512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Mikulska P, Malinowska M, Ignacyk M, Szustowski P, Nowak J, Pesta K, et al. Ashwagandha (</w:t>
      </w:r>
      <w:r w:rsidRPr="008D2159">
        <w:rPr>
          <w:rFonts w:cs="Times New Roman"/>
          <w:szCs w:val="24"/>
          <w:lang w:val="en-IN"/>
          <w:i/>
        </w:rPr>
        <w:t xml:space="preserve">Withania somnifera</w:t>
      </w:r>
      <w:r w:rsidRPr="008D2159">
        <w:rPr>
          <w:rFonts w:cs="Times New Roman"/>
          <w:szCs w:val="24"/>
          <w:lang w:val="en-IN"/>
        </w:rPr>
        <w:t xml:space="preserve">): current research on the health-promoting activities: a narrative review. Pharmaceutics. 2023;15(4):1057. https://doi.org/10.3390/pharmaceutics15041057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Arunachalam K, Yang X, San TT. </w:t>
      </w:r>
      <w:r w:rsidRPr="008D2159">
        <w:rPr>
          <w:rFonts w:cs="Times New Roman"/>
          <w:szCs w:val="24"/>
          <w:lang w:val="en-IN"/>
          <w:i/>
        </w:rPr>
        <w:t xml:space="preserve">Tinospora cordifolia</w:t>
      </w:r>
      <w:r w:rsidRPr="008D2159">
        <w:rPr>
          <w:rFonts w:cs="Times New Roman"/>
          <w:szCs w:val="24"/>
          <w:lang w:val="en-IN"/>
        </w:rPr>
        <w:t xml:space="preserve"> (Willd.) Miers: protection mechanisms and strategies against oxidative stress-related diseases. J Ethnopharmacol. 2022;283:114540. https://doi.org/10.1016/j.jep.2021.114540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Valotto Neto LJ, Reverete de Araujo M, Moretti Junior RC, Mendes Machado N, Joshi RK, dos Santos Buglio D, et al. Investigating the neuroprotective and cognitive-enhancing effects of </w:t>
      </w:r>
      <w:r w:rsidRPr="008D2159">
        <w:rPr>
          <w:rFonts w:cs="Times New Roman"/>
          <w:szCs w:val="24"/>
          <w:lang w:val="en-IN"/>
          <w:i/>
        </w:rPr>
        <w:t xml:space="preserve">Bacopa monnieri</w:t>
      </w:r>
      <w:r w:rsidRPr="008D2159">
        <w:rPr>
          <w:rFonts w:cs="Times New Roman"/>
          <w:szCs w:val="24"/>
          <w:lang w:val="en-IN"/>
        </w:rPr>
        <w:t xml:space="preserve">: a systematic review focused on inflammation, oxidative stress, mitochondrial dysfunction, and apoptosis. Antioxidants (Basel). 2024;13(4):393. https://doi.org/10.3390/antiox13040393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Flora SJS, Mittal M, Mehta A. Heavy metal induced oxidative stress &amp; its possible reversal by chelation therapy. Indian J Med Res. 2008;128(4):501-23. PMID: 19106443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Ceramella J, De Maio AC, Basile G, Facente A, Scali E, Andreu I, et al. Phytochemicals involved in mitigating silent toxicity induced by heavy metals. Foods. 2024;13(7):978. https://doi.org/10.3390/foods13070978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Ercal N, Gurer-Orhan H, Aykin-Burns N. Toxic metals and oxidative stress part I: mechanisms involved in metal-induced oxidative damage. Curr Top Med Chem. 2001;1(6):529-39. https://doi.org/10.2174/1568026013394831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Sule RO, Condon L, Gomes AV. A common feature of pesticides: oxidative stress. The role of oxidative stress in pesticide-induced toxicity. Oxid Med Cell Longev. 2022;2022:5563759. https://doi.org/10.1155/2022/5563759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Yan LJ, Allen DC. Cadmium-induced kidney injury: oxidative damage as a unifying mechanism. Biomolecules. 2021;11(11):1575. https://doi.org/10.3390/biom11111575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Kuchukashvili Z, Burjanadze G, Menabde K, Chachua M, Dachanidze N, Mikadze M, et al. Long-lasting stress, quantitative changes in nitric oxide concentration and functional state of brain mitochondria. Acta Neurobiol Exp (Wars). 2012;72(1):40-50. https://doi.org/10.55782/ane-2012-1879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Munhoz CD, García-Bueno B, Madrigal JLM, Lepsch LB, Scavone C, Leza JC. Stress-induced neuroinflammation: mechanisms and new pharmacological targets. Braz J Med Biol Res. 2008;41(12):1037-46. https://doi.org/10.1590/S0100-879X2008001200003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Guo C, Sun L, Chen X, Zhang D. Oxidative stress, mitochondrial damage and neurodegenerative diseases. Neural Regen Res. 2013;8(21):2003-14. https://doi.org/10.3969/j.issn.1673-5374.2013.21.009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Cenini G, Lloret A, Cascella R. Oxidative stress and mitochondrial damage in neurodegenerative diseases: from molecular mechanisms to targeted therapies. Oxid Med Cell Longev. 2020;2020:1270256. https://doi.org/10.1155/2020/1270256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Kraft AD, Harry GJ. Features of microglia and neuroinflammation relevant to environmental exposure and neurotoxicity. Int J Environ Res Public Health. 2011;8(7):2980-3018. https://doi.org/10.3390/ijerph8072980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Puzi NNA, Vidyadaran S. Microglia-induced neurotoxicity: a review of in vitro co-culture models. Malays J Med Health Sci. 2020;16(Suppl 9):97-113.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Songkiatisak P, Rahman SM, Aqdas M, Sung MH. NF-κB, a culprit of both inflamm-ageing and declining immunity? Immun Ageing. 2022;19(1):20. https://doi.org/10.1186/s12979-022-00277-w</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Araujo JA. Particulate air pollution, systemic oxidative stress, inflammation, and atherosclerosis. Air Qual Atmos Health. 2011;4(1):79-93. https://doi.org/10.1007/s11869-010-0101-8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Blaurock-Busch E, Busch YM. Comparison of chelating agents DMPS, DMSA and EDTA for the diagnosis and treatment of chronic metal exposure. Br J Med Med Res. 2014;4(9):1821-35. https://doi.org/10.9734/BJMMR/2014/6875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Ferrero ME. Rationale for the successful management of EDTA chelation therapy in human burden by toxic metals. Biomed Res Int. 2016;2016:8274504. https://doi.org/10.1155/2016/8274504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Andersen O, Aaseth J. A review of pitfalls and progress in chelation treatment of metal poisonings. J Trace Elem Med Biol. 2016;38:74-80. https://doi.org/10.1016/j.jtemb.2016.03.013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Ghanwat G, Patil AJ, Patil J, Kshirsagar M, Sontakke A, Ayachit RK. Effect of vitamin C supplementation on blood lead level, oxidative stress and antioxidant status of battery manufacturing workers of Western Maharashtra, India. J Clin Diagn Res. 2016;10(4):BC08-11. https://doi.org/10.7860/JCDR/2016/15968.7528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Gómez Afonso A, Fernandez-Lazaro D, Adams DP, Monserdà-Vilaró A, Fernandez-Lazaro CI. Effects of </w:t>
      </w:r>
      <w:r w:rsidRPr="008D2159">
        <w:rPr>
          <w:rFonts w:cs="Times New Roman"/>
          <w:szCs w:val="24"/>
          <w:lang w:val="en-IN"/>
          <w:i/>
        </w:rPr>
        <w:t xml:space="preserve">Withania somnifera</w:t>
      </w:r>
      <w:r w:rsidRPr="008D2159">
        <w:rPr>
          <w:rFonts w:cs="Times New Roman"/>
          <w:szCs w:val="24"/>
          <w:lang w:val="en-IN"/>
        </w:rPr>
        <w:t xml:space="preserve"> (Ashwagandha) on hematological and biochemical markers, hormonal behavior, and oxidant response in healthy adults: a systematic review. Curr Nutr Rep. 2023;12(3):465-77. https://doi.org/10.1007/s13668-023-00481-0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Siddiqui MA, Farshori NN, Al-Oqail MM, Pant AB, Al-Khedhairy AA. Neuroprotective effects of </w:t>
      </w:r>
      <w:r w:rsidRPr="008D2159">
        <w:rPr>
          <w:rFonts w:cs="Times New Roman"/>
          <w:szCs w:val="24"/>
          <w:lang w:val="en-IN"/>
          <w:i/>
        </w:rPr>
        <w:t xml:space="preserve">Withania somnifera</w:t>
      </w:r>
      <w:r w:rsidRPr="008D2159">
        <w:rPr>
          <w:rFonts w:cs="Times New Roman"/>
          <w:szCs w:val="24"/>
          <w:lang w:val="en-IN"/>
        </w:rPr>
        <w:t xml:space="preserve"> on 4-hydroxynonenal induced cell death in human neuroblastoma SH-SY5Y cells through ROS inhibition and apoptotic mitochondrial pathway. Neurochem Res. 2021;46(2):171-82. https://doi.org/10.1007/s11064-020-03146-4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Chaurasia SS, Panda S, Kar A. </w:t>
      </w:r>
      <w:r w:rsidRPr="008D2159">
        <w:rPr>
          <w:rFonts w:cs="Times New Roman"/>
          <w:szCs w:val="24"/>
          <w:lang w:val="en-IN"/>
          <w:i/>
        </w:rPr>
        <w:t xml:space="preserve">Withania somnifera</w:t>
      </w:r>
      <w:r w:rsidRPr="008D2159">
        <w:rPr>
          <w:rFonts w:cs="Times New Roman"/>
          <w:szCs w:val="24"/>
          <w:lang w:val="en-IN"/>
        </w:rPr>
        <w:t xml:space="preserve"> root extract in the regulation of lead-induced oxidative damage in male mouse. Pharmacol Res. 2000;41(6):663-6. https://doi.org/10.1006/phrs.1999.0634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Abomosallam M, Hendam BM, Abdallah AA, Refaat R, El-Hak HNG. Neuroprotective effect of </w:t>
      </w:r>
      <w:r w:rsidRPr="008D2159">
        <w:rPr>
          <w:rFonts w:cs="Times New Roman"/>
          <w:szCs w:val="24"/>
          <w:lang w:val="en-IN"/>
          <w:i/>
        </w:rPr>
        <w:t xml:space="preserve">Withania somnifera</w:t>
      </w:r>
      <w:r w:rsidRPr="008D2159">
        <w:rPr>
          <w:rFonts w:cs="Times New Roman"/>
          <w:szCs w:val="24"/>
          <w:lang w:val="en-IN"/>
        </w:rPr>
        <w:t xml:space="preserve"> leaves extract nanoemulsion against penconazole-induced neurotoxicity in albino rats via modulating TGF-β1/Smad2 signaling pathway. Inflammopharmacology. 2024;32(3):1903-28. https://doi.org/10.1007/s10787-024-01461-8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Tancreda G, Ravera S, Panfoli I. Preclinical evidence of </w:t>
      </w:r>
      <w:r w:rsidRPr="008D2159">
        <w:rPr>
          <w:rFonts w:cs="Times New Roman"/>
          <w:szCs w:val="24"/>
          <w:lang w:val="en-IN"/>
          <w:i/>
        </w:rPr>
        <w:t xml:space="preserve">Withania somnifera</w:t>
      </w:r>
      <w:r w:rsidRPr="008D2159">
        <w:rPr>
          <w:rFonts w:cs="Times New Roman"/>
          <w:szCs w:val="24"/>
          <w:lang w:val="en-IN"/>
        </w:rPr>
        <w:t xml:space="preserve"> and Cordyceps spp.: neuroprotective properties for the management of Alzheimer's disease. Int J Mol Sci. 2025;26(11):5403. https://doi.org/10.3390/ijms26115403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Sood A, Mehrotra A, Dhawan DK, Sandhir R. Neuroprotective effects of </w:t>
      </w:r>
      <w:r w:rsidRPr="008D2159">
        <w:rPr>
          <w:rFonts w:cs="Times New Roman"/>
          <w:szCs w:val="24"/>
          <w:lang w:val="en-IN"/>
          <w:i/>
        </w:rPr>
        <w:t xml:space="preserve">Withania somnifera</w:t>
      </w:r>
      <w:r w:rsidRPr="008D2159">
        <w:rPr>
          <w:rFonts w:cs="Times New Roman"/>
          <w:szCs w:val="24"/>
          <w:lang w:val="en-IN"/>
        </w:rPr>
        <w:t xml:space="preserve"> on ischemic stroke are mediated via anti-inflammatory response and modulation of neurotransmitter levels. Neurochem Int. 2024;180:105867. https://doi.org/10.1016/j.neuint.2024.105867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Sharma U, Bala M, Kumar N, Singh B, Munshi RK, Bhalerao S. Immunomodulatory active compounds from </w:t>
      </w:r>
      <w:r w:rsidRPr="008D2159">
        <w:rPr>
          <w:rFonts w:cs="Times New Roman"/>
          <w:szCs w:val="24"/>
          <w:lang w:val="en-IN"/>
          <w:i/>
        </w:rPr>
        <w:t xml:space="preserve">Tinospora cordifolia</w:t>
      </w:r>
      <w:r w:rsidRPr="008D2159">
        <w:rPr>
          <w:rFonts w:cs="Times New Roman"/>
          <w:szCs w:val="24"/>
          <w:lang w:val="en-IN"/>
        </w:rPr>
        <w:t xml:space="preserve">. J Ethnopharmacol. 2012;141(3):918-26. https://doi.org/10.1016/j.jep.2012.03.027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Mathew S, Kuttan G. Immunomodulatory and antitumour activities of </w:t>
      </w:r>
      <w:r w:rsidRPr="008D2159">
        <w:rPr>
          <w:rFonts w:cs="Times New Roman"/>
          <w:szCs w:val="24"/>
          <w:lang w:val="en-IN"/>
          <w:i/>
        </w:rPr>
        <w:t xml:space="preserve">Tinospora cordifolia</w:t>
      </w:r>
      <w:r w:rsidRPr="008D2159">
        <w:rPr>
          <w:rFonts w:cs="Times New Roman"/>
          <w:szCs w:val="24"/>
          <w:lang w:val="en-IN"/>
        </w:rPr>
        <w:t xml:space="preserve">. Fitoterapia. 1999;70(1):35-43. https://doi.org/10.1016/S0367-326X(98)00017-3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Bhattacharya A, Chatterjee A, Ghosal S, Bhattacharya SK. Antioxidant activity of active tannoid principles of Emblica officinalis (amla). Indian J Exp Biol. 1999;37(7):676-80. PMID: 10522157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Dwivedi V, Lakhotia SC. Ayurvedic Amalaki Rasayana promotes improved stress tolerance and thus has anti-aging effects in Drosophila melanogaster. J Biosci. 2016;41(4):697-711. https://doi.org/10.1007/s12038-016-9641-x</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Kunchana K, Jarisarapurin W, Chularojmontri L, Wattanapitayakul SK. Potential use of amla (</w:t>
      </w:r>
      <w:r w:rsidRPr="008D2159">
        <w:rPr>
          <w:rFonts w:cs="Times New Roman"/>
          <w:szCs w:val="24"/>
          <w:lang w:val="en-IN"/>
          <w:i/>
        </w:rPr>
        <w:t xml:space="preserve">Phyllanthus emblica</w:t>
      </w:r>
      <w:r w:rsidRPr="008D2159">
        <w:rPr>
          <w:rFonts w:cs="Times New Roman"/>
          <w:szCs w:val="24"/>
          <w:lang w:val="en-IN"/>
        </w:rPr>
        <w:t xml:space="preserve"> L.) fruit extract to protect skin keratinocytes from inflammation and apoptosis after UVB irradiation. Antioxidants (Basel). 2021;10(5):703. https://doi.org/10.3390/antiox10050703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Qu L, Wang F, Chen Y. Protective effect and mechanism research of </w:t>
      </w:r>
      <w:r w:rsidRPr="008D2159">
        <w:rPr>
          <w:rFonts w:cs="Times New Roman"/>
          <w:szCs w:val="24"/>
          <w:lang w:val="en-IN"/>
          <w:i/>
        </w:rPr>
        <w:t xml:space="preserve">Phyllanthus emblica</w:t>
      </w:r>
      <w:r w:rsidRPr="008D2159">
        <w:rPr>
          <w:rFonts w:cs="Times New Roman"/>
          <w:szCs w:val="24"/>
          <w:lang w:val="en-IN"/>
        </w:rPr>
        <w:t xml:space="preserve"> Linn. fruit extract on UV-induced photodamage in keratinocytes. Photochem Photobiol Sci. 2023;22(8):1945-59. https://doi.org/10.1007/s43630-023-00423-3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Tarasiuk A, Mosińska P, Fichna J. Triphala: current applications and new perspectives on the treatment of functional gastrointestinal disorders. Chin Med. 2018;13:39. https://doi.org/10.1186/s13020-018-0197-6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Upadhyay P, Tyagi A, Agrawal S, Kumar A, Gupta S. Bidirectional effect of Triphala on modulating gut-brain axis to improve cognition in the murine model of Alzheimer's disease. Mol Nutr Food Res. 2024;68:e2300104. https://doi.org/10.1002/mnfr.202300104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Wang W, He M, Rangji C, Yu S, Long P, Zhang Y, et al. Triphala ameliorates cognitive deficits and anxiety via activation of the Nrf2/HO-1 axis in chronic sleep-deprived mice. Int Immunopharmacol. 2024;142:113179. https://doi.org/10.1016/j.intimp.2024.113179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Kwandee P, Somnuk S, Wanikorn B, Nakphaichit M, Tunsagool P. Efficacy of Triphala extracts on the changes of obese fecal microbiome and metabolome in the human gut model. J Tradit Complement Med. 2023;13(2):207-17. https://doi.org/10.1016/j.jtcme.2023.02.011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Pavithran A, Kalamol MK, Prajeesh Nath EN, Vineeth PK, Ramesh NV. Role of Triphala on gut microbiota in the treatment of obesity and its complications. Int J Ayurveda Pharma Res. 2024;12(2):97-101. https://doi.org/10.47070/ijapr.v12i2.3088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Gościniak A, Stasiłowicz-Krzemień A, Szeląg M, Pawlak J, Skiera I, Kwiatkowska H, et al. </w:t>
      </w:r>
      <w:r w:rsidRPr="008D2159">
        <w:rPr>
          <w:rFonts w:cs="Times New Roman"/>
          <w:szCs w:val="24"/>
          <w:lang w:val="en-IN"/>
          <w:i/>
        </w:rPr>
        <w:t xml:space="preserve">Bacopa monnieri</w:t>
      </w:r>
      <w:r w:rsidRPr="008D2159">
        <w:rPr>
          <w:rFonts w:cs="Times New Roman"/>
          <w:szCs w:val="24"/>
          <w:lang w:val="en-IN"/>
        </w:rPr>
        <w:t xml:space="preserve">: preclinical and clinical evidence of neuroactive effects, safety of use and the search for improved bioavailability. Nutrients. 2025;17(11):1939. https://doi.org/10.3390/nu17111939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Keegan AP, Stough C, Paris D, Luis CA, Abdullah L, Ait-Ghezala G, et al. </w:t>
      </w:r>
      <w:r w:rsidRPr="008D2159">
        <w:rPr>
          <w:rFonts w:cs="Times New Roman"/>
          <w:szCs w:val="24"/>
          <w:lang w:val="en-IN"/>
          <w:i/>
        </w:rPr>
        <w:t xml:space="preserve">Bacopa monnieri</w:t>
      </w:r>
      <w:r w:rsidRPr="008D2159">
        <w:rPr>
          <w:rFonts w:cs="Times New Roman"/>
          <w:szCs w:val="24"/>
          <w:lang w:val="en-IN"/>
        </w:rPr>
        <w:t xml:space="preserve"> supplementation has no effect on serum brain-derived neurotrophic factor levels but beneficially modulates nuclear factor kappa B and cyclic AMP response element-binding protein levels in healthy elderly subjects. J Clin Transl Res. 2023;9(1):50-8. https://doi.org/10.18053/jctres.09.202301.007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Silva YP, Bernardi A, Frozza RL. The role of short-chain fatty acids from gut microbiota in gut-brain communication. Front Endocrinol (Lausanne). 2020;11:25. https://doi.org/10.3389/fendo.2020.00025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Fock E, Parnova R. Mechanisms of blood-brain barrier protection by microbiota-derived short-chain fatty acids. Cells. 2023;12(4):657. https://doi.org/10.3390/cells12040657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 Y, Jin T, Peng T, Zhang YL, Li J, Yu R, et al. Nano-Chinese herbal medicines and their delivery strategies for central nervous system disease therapy. Nanoscale Horiz. 2025;10(11):2772-97. https://doi.org/10.1039/d5nh00277j</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Kataria D, Singh G. Health benefits of ghee: review of Ayurveda and modern science perspectives. J Ayurveda Integr Med. 2024;15(1):100819. https://doi.org/10.1016/j.jaim.2023.100819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S, Singh AK. A clinical study to evaluate the effect of Dushivishari Ajay Ghrita in Dushivisha Janya Lakshana. J Ayurveda Integr Med Sci. 2019;4(2):7-10. https://doi.org/10.21760/jaims.v4i02.586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R, Garg R. Formulation and evaluation of solid lipid nanoparticles loaded with bacoside rich extract. Int J Pharm Sci Res. 2020;11(1):371-7. https://doi.org/10.13040/IJPSR.0975-8232.11(1).371-77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Barani M, Sangiovanni E, Angarano M, Rajizadeh MA, Mehrabani M, Piazza S, et al. Phytosomes as innovative delivery systems for phytochemicals: a comprehensive review of literature. Int J Nanomedicine. 2021;16:6983-7022. https://doi.org/10.2147/IJN.S318416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Kulkarni AV, Hanchanale P, Prakash V, Kalal C, Sharma M, Kumar K, et al. </w:t>
      </w:r>
      <w:r w:rsidRPr="008D2159">
        <w:rPr>
          <w:rFonts w:cs="Times New Roman"/>
          <w:szCs w:val="24"/>
          <w:lang w:val="en-IN"/>
          <w:i/>
        </w:rPr>
        <w:t xml:space="preserve">Tinospora cordifolia</w:t>
      </w:r>
      <w:r w:rsidRPr="008D2159">
        <w:rPr>
          <w:rFonts w:cs="Times New Roman"/>
          <w:szCs w:val="24"/>
          <w:lang w:val="en-IN"/>
        </w:rPr>
        <w:t xml:space="preserve"> (Giloy)-induced liver injury during the COVID-19 pandemic: multicenter nationwide study from India. Hepatol Commun. 2022;6(6):1289-300. https://doi.org/10.1002/hep4.1904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Björnsson HK, Björnsson ES, Avula B, Khan IA, Jonasson JG, Ghabril M, et al. Ashwagandha-induced liver injury: a case series from Iceland and the US Drug-Induced Liver Injury Network. Liver Int. 2020;40(4):825-9. https://doi.org/10.1111/liv.14393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Saper RB, Phillips RS, Sehgal A, Khouri N, Davis RB, Paquin J, et al. Lead, mercury, and arsenic in US- and Indian-manufactured Ayurvedic medicines sold via the Internet. JAMA. 2008;300(8):915-23. https://doi.org/10.1001/jama.300.8.915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Hopkins AL. Network pharmacology: the next paradigm in drug discovery. Nat Chem Biol. 2008;4(11):682-90. https://doi.org/10.1038/nchembio.118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Chandran U, Mehendale N, Tillu G, Patwardhan B. Network pharmacology of Ayurveda formulation Triphala with special reference to anti-cancer property. Comb Chem High Throughput Screen. 2015;18(9):846-54. https://doi.org/10.2174/1386207318666151019093606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Amrutha S, Abhinand CS, Upadhyay SS, Parvaje R, Prasad TS, Modi PK. Network pharmacology and metabolomics analysis of </w:t>
      </w:r>
      <w:r w:rsidRPr="008D2159">
        <w:rPr>
          <w:rFonts w:cs="Times New Roman"/>
          <w:szCs w:val="24"/>
          <w:lang w:val="en-IN"/>
          <w:i/>
        </w:rPr>
        <w:t xml:space="preserve">Tinospora cordifolia</w:t>
      </w:r>
      <w:r w:rsidRPr="008D2159">
        <w:rPr>
          <w:rFonts w:cs="Times New Roman"/>
          <w:szCs w:val="24"/>
          <w:lang w:val="en-IN"/>
        </w:rPr>
        <w:t xml:space="preserve"> reveals BACE1 and MAOB as potential therapeutic targets for neuroprotection in Alzheimer's disease. Sci Rep. 2025;15(1):8103. https://doi.org/10.1038/s41598-025-92756-5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Surajudeen YA, Sheu RK, Ayokulehin KM, Olatunbosun AG. Oxidative stress indices in Nigerian pesticide applicators and farmers occupationally exposed to organophosphate pesticides. Int J Appl Basic Med Res. 2014;4(Suppl 1):S37-40. https://doi.org/10.4103/2229-516X.140730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Lodovici M, Bigagli E. Oxidative stress and air pollution exposure. J Toxicol. 2011;2011:487074. https://doi.org/10.1155/2011/487074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Gangwar RS, Bevan GH, Palanivel R, Das L, Rajagopalan S. Oxidative stress pathways of air pollution mediated toxicity: recent insights. Redox Biol. 2020;34:101545. https://doi.org/10.1016/j.redox.2020.101545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Sierra-Vargas MP, Montero-Vargas JM, Debray-García Y, Vizuet-de-Rueda JC, Loaeza-Román A, Terán LM. Oxidative stress and air pollution: its impact on chronic respiratory diseases. Int J Mol Sci. 2023;24(1):853. https://doi.org/10.3390/ijms24010853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Chobe SV, Chobe M, Metri K, Raghuram N. Yoga and Rasayana for mental health in age-related cognitive decline: a controlled trial. Indian J Sci Technol. 2022;15(9):364-70.</w:t>
      </w:r>
      <w:proofErr w:type="spellStart"/>
      <w:proofErr w:type="spellEnd"/>
      <w:proofErr w:type="spellStart"/>
      <w:proofErr w:type="spellEnd"/>
      <w:proofErr w:type="spellStart"/>
      <w:proofErr w:type="spellEnd"/>
    </w:p>
    <w:p w14:paraId="7F38A709" w14:textId="3DA47E08" w:rsidR="00492EC0" w:rsidRPr="008D2159" w:rsidRDefault="00492EC0" w:rsidP="008D2159">
      <w:pPr>
        <w:spacing w:after="0" w:line="360" w:lineRule="auto"/>
        <w:jc w:val="both"/>
        <w:rPr>
          <w:rFonts w:cs="Times New Roman"/>
          <w:szCs w:val="24"/>
        </w:rPr>
      </w:pPr>
    </w:p>
    <w:sectPr w:rsidR="00492EC0" w:rsidRPr="008D2159" w:rsidSect="00772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9B4107"/>
    <w:multiLevelType w:val="hybridMultilevel"/>
    <w:tmpl w:val="F70627E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D43704"/>
    <w:multiLevelType w:val="multilevel"/>
    <w:tmpl w:val="96D8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317776">
    <w:abstractNumId w:val="8"/>
  </w:num>
  <w:num w:numId="2" w16cid:durableId="1236477527">
    <w:abstractNumId w:val="6"/>
  </w:num>
  <w:num w:numId="3" w16cid:durableId="162791952">
    <w:abstractNumId w:val="5"/>
  </w:num>
  <w:num w:numId="4" w16cid:durableId="806317116">
    <w:abstractNumId w:val="4"/>
  </w:num>
  <w:num w:numId="5" w16cid:durableId="295988449">
    <w:abstractNumId w:val="7"/>
  </w:num>
  <w:num w:numId="6" w16cid:durableId="2015105830">
    <w:abstractNumId w:val="3"/>
  </w:num>
  <w:num w:numId="7" w16cid:durableId="1359235730">
    <w:abstractNumId w:val="2"/>
  </w:num>
  <w:num w:numId="8" w16cid:durableId="701904425">
    <w:abstractNumId w:val="1"/>
  </w:num>
  <w:num w:numId="9" w16cid:durableId="318773597">
    <w:abstractNumId w:val="0"/>
  </w:num>
  <w:num w:numId="10" w16cid:durableId="1578515011">
    <w:abstractNumId w:val="9"/>
  </w:num>
  <w:num w:numId="11" w16cid:durableId="318461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5CC"/>
    <w:rsid w:val="00040E50"/>
    <w:rsid w:val="0006063C"/>
    <w:rsid w:val="000739DB"/>
    <w:rsid w:val="00090EC8"/>
    <w:rsid w:val="000A1F1C"/>
    <w:rsid w:val="000E126B"/>
    <w:rsid w:val="000E4624"/>
    <w:rsid w:val="000E6ABB"/>
    <w:rsid w:val="001470E9"/>
    <w:rsid w:val="0015074B"/>
    <w:rsid w:val="00163377"/>
    <w:rsid w:val="001736B8"/>
    <w:rsid w:val="001A416F"/>
    <w:rsid w:val="00202ACB"/>
    <w:rsid w:val="002169CD"/>
    <w:rsid w:val="002311B7"/>
    <w:rsid w:val="00270FB1"/>
    <w:rsid w:val="0029639D"/>
    <w:rsid w:val="002B7A2C"/>
    <w:rsid w:val="002C7AF6"/>
    <w:rsid w:val="002D5C9B"/>
    <w:rsid w:val="002E4B27"/>
    <w:rsid w:val="003173EB"/>
    <w:rsid w:val="00317F59"/>
    <w:rsid w:val="00326F90"/>
    <w:rsid w:val="00334568"/>
    <w:rsid w:val="00375A13"/>
    <w:rsid w:val="003D1B1E"/>
    <w:rsid w:val="003E3AED"/>
    <w:rsid w:val="00422232"/>
    <w:rsid w:val="00434CEB"/>
    <w:rsid w:val="004513F5"/>
    <w:rsid w:val="00453BE2"/>
    <w:rsid w:val="004562C9"/>
    <w:rsid w:val="0046290E"/>
    <w:rsid w:val="00464D04"/>
    <w:rsid w:val="00477F6B"/>
    <w:rsid w:val="00487926"/>
    <w:rsid w:val="00490318"/>
    <w:rsid w:val="00492EC0"/>
    <w:rsid w:val="004B08BC"/>
    <w:rsid w:val="0050265F"/>
    <w:rsid w:val="00521618"/>
    <w:rsid w:val="0053344D"/>
    <w:rsid w:val="00561687"/>
    <w:rsid w:val="00576B4F"/>
    <w:rsid w:val="00590F2C"/>
    <w:rsid w:val="005D3D3C"/>
    <w:rsid w:val="005D3DA8"/>
    <w:rsid w:val="005D417E"/>
    <w:rsid w:val="00612F66"/>
    <w:rsid w:val="00614870"/>
    <w:rsid w:val="00636D5E"/>
    <w:rsid w:val="00640871"/>
    <w:rsid w:val="00647AC9"/>
    <w:rsid w:val="00654D44"/>
    <w:rsid w:val="006946C5"/>
    <w:rsid w:val="006972E7"/>
    <w:rsid w:val="006C0255"/>
    <w:rsid w:val="006D07BB"/>
    <w:rsid w:val="006D0F6C"/>
    <w:rsid w:val="0070487A"/>
    <w:rsid w:val="00724861"/>
    <w:rsid w:val="00734177"/>
    <w:rsid w:val="0073678E"/>
    <w:rsid w:val="00741333"/>
    <w:rsid w:val="00743E3D"/>
    <w:rsid w:val="00772007"/>
    <w:rsid w:val="00776E18"/>
    <w:rsid w:val="00780636"/>
    <w:rsid w:val="007B4448"/>
    <w:rsid w:val="007B5EBB"/>
    <w:rsid w:val="007B67F9"/>
    <w:rsid w:val="00890028"/>
    <w:rsid w:val="00893C85"/>
    <w:rsid w:val="008C7459"/>
    <w:rsid w:val="008D2159"/>
    <w:rsid w:val="00901559"/>
    <w:rsid w:val="0090766E"/>
    <w:rsid w:val="00912206"/>
    <w:rsid w:val="00916E52"/>
    <w:rsid w:val="0092340D"/>
    <w:rsid w:val="00964B82"/>
    <w:rsid w:val="00976BE8"/>
    <w:rsid w:val="009B1A49"/>
    <w:rsid w:val="009D7FA7"/>
    <w:rsid w:val="009E104C"/>
    <w:rsid w:val="009E6620"/>
    <w:rsid w:val="00AA1D8D"/>
    <w:rsid w:val="00AA2A11"/>
    <w:rsid w:val="00AA5E68"/>
    <w:rsid w:val="00AB463A"/>
    <w:rsid w:val="00AC0680"/>
    <w:rsid w:val="00AC1172"/>
    <w:rsid w:val="00AD1513"/>
    <w:rsid w:val="00AD6C04"/>
    <w:rsid w:val="00AD749C"/>
    <w:rsid w:val="00AD795F"/>
    <w:rsid w:val="00AD7EF5"/>
    <w:rsid w:val="00AE0D3C"/>
    <w:rsid w:val="00AE7AA8"/>
    <w:rsid w:val="00B26CD6"/>
    <w:rsid w:val="00B37808"/>
    <w:rsid w:val="00B46FB1"/>
    <w:rsid w:val="00B47730"/>
    <w:rsid w:val="00B607C0"/>
    <w:rsid w:val="00B8452A"/>
    <w:rsid w:val="00BA3647"/>
    <w:rsid w:val="00BA692E"/>
    <w:rsid w:val="00BD04A6"/>
    <w:rsid w:val="00BD3BC6"/>
    <w:rsid w:val="00C60C3C"/>
    <w:rsid w:val="00C62DC1"/>
    <w:rsid w:val="00C6488F"/>
    <w:rsid w:val="00C76598"/>
    <w:rsid w:val="00C82F79"/>
    <w:rsid w:val="00CA53FF"/>
    <w:rsid w:val="00CB0664"/>
    <w:rsid w:val="00CC3505"/>
    <w:rsid w:val="00CE0002"/>
    <w:rsid w:val="00CE0943"/>
    <w:rsid w:val="00CE4A65"/>
    <w:rsid w:val="00CF14E1"/>
    <w:rsid w:val="00D61308"/>
    <w:rsid w:val="00D77060"/>
    <w:rsid w:val="00DA36A0"/>
    <w:rsid w:val="00DE6136"/>
    <w:rsid w:val="00E3166E"/>
    <w:rsid w:val="00E51951"/>
    <w:rsid w:val="00E578DB"/>
    <w:rsid w:val="00E72008"/>
    <w:rsid w:val="00E92CFB"/>
    <w:rsid w:val="00EA2E69"/>
    <w:rsid w:val="00EA4452"/>
    <w:rsid w:val="00EB26CB"/>
    <w:rsid w:val="00EB3B94"/>
    <w:rsid w:val="00F024AA"/>
    <w:rsid w:val="00F14816"/>
    <w:rsid w:val="00F32122"/>
    <w:rsid w:val="00F32829"/>
    <w:rsid w:val="00F7369D"/>
    <w:rsid w:val="00F75168"/>
    <w:rsid w:val="00FB3029"/>
    <w:rsid w:val="00FC00F3"/>
    <w:rsid w:val="00FC693F"/>
    <w:rsid w:val="00FF5E8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672D"/>
  <w14:defaultImageDpi w14:val="300"/>
  <w15:docId w15:val="{2C24AAAD-A9C7-458B-9167-F9F7A4D4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3DA8"/>
    <w:rPr>
      <w:color w:val="0000FF" w:themeColor="hyperlink"/>
      <w:u w:val="single"/>
    </w:rPr>
  </w:style>
  <w:style w:type="character" w:styleId="UnresolvedMention">
    <w:name w:val="Unresolved Mention"/>
    <w:basedOn w:val="DefaultParagraphFont"/>
    <w:uiPriority w:val="99"/>
    <w:semiHidden/>
    <w:unhideWhenUsed/>
    <w:rsid w:val="008D2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mini.google.com/" TargetMode="External"/><Relationship Id="rId21" Type="http://schemas.openxmlformats.org/officeDocument/2006/relationships/hyperlink" Target="https://gemini.google.com/" TargetMode="External"/><Relationship Id="rId42" Type="http://schemas.openxmlformats.org/officeDocument/2006/relationships/hyperlink" Target="https://gemini.google.com/" TargetMode="External"/><Relationship Id="rId47" Type="http://schemas.openxmlformats.org/officeDocument/2006/relationships/hyperlink" Target="https://gemini.google.com/" TargetMode="External"/><Relationship Id="rId63" Type="http://schemas.openxmlformats.org/officeDocument/2006/relationships/hyperlink" Target="https://gemini.google.com/"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emini.google.com/" TargetMode="External"/><Relationship Id="rId29" Type="http://schemas.openxmlformats.org/officeDocument/2006/relationships/hyperlink" Target="https://gemini.google.com/" TargetMode="External"/><Relationship Id="rId11" Type="http://schemas.openxmlformats.org/officeDocument/2006/relationships/hyperlink" Target="https://gemini.google.com/" TargetMode="External"/><Relationship Id="rId24" Type="http://schemas.openxmlformats.org/officeDocument/2006/relationships/hyperlink" Target="https://gemini.google.com/" TargetMode="External"/><Relationship Id="rId32" Type="http://schemas.openxmlformats.org/officeDocument/2006/relationships/hyperlink" Target="https://gemini.google.com/" TargetMode="External"/><Relationship Id="rId37" Type="http://schemas.openxmlformats.org/officeDocument/2006/relationships/hyperlink" Target="https://gemini.google.com/" TargetMode="External"/><Relationship Id="rId40" Type="http://schemas.openxmlformats.org/officeDocument/2006/relationships/hyperlink" Target="https://gemini.google.com/" TargetMode="External"/><Relationship Id="rId45" Type="http://schemas.openxmlformats.org/officeDocument/2006/relationships/hyperlink" Target="https://gemini.google.com/" TargetMode="External"/><Relationship Id="rId53" Type="http://schemas.openxmlformats.org/officeDocument/2006/relationships/hyperlink" Target="https://gemini.google.com/" TargetMode="External"/><Relationship Id="rId58" Type="http://schemas.openxmlformats.org/officeDocument/2006/relationships/hyperlink" Target="https://gemini.google.com/" TargetMode="External"/><Relationship Id="rId66" Type="http://schemas.openxmlformats.org/officeDocument/2006/relationships/hyperlink" Target="https://gemini.google.com/" TargetMode="External"/><Relationship Id="rId5" Type="http://schemas.openxmlformats.org/officeDocument/2006/relationships/webSettings" Target="webSettings.xml"/><Relationship Id="rId61" Type="http://schemas.openxmlformats.org/officeDocument/2006/relationships/hyperlink" Target="https://gemini.google.com/" TargetMode="External"/><Relationship Id="rId19" Type="http://schemas.openxmlformats.org/officeDocument/2006/relationships/hyperlink" Target="https://gemini.google.com/" TargetMode="External"/><Relationship Id="rId14" Type="http://schemas.openxmlformats.org/officeDocument/2006/relationships/hyperlink" Target="https://gemini.google.com/" TargetMode="External"/><Relationship Id="rId22" Type="http://schemas.openxmlformats.org/officeDocument/2006/relationships/hyperlink" Target="https://gemini.google.com/" TargetMode="External"/><Relationship Id="rId27" Type="http://schemas.openxmlformats.org/officeDocument/2006/relationships/hyperlink" Target="https://gemini.google.com/" TargetMode="External"/><Relationship Id="rId30" Type="http://schemas.openxmlformats.org/officeDocument/2006/relationships/hyperlink" Target="https://gemini.google.com/" TargetMode="External"/><Relationship Id="rId35" Type="http://schemas.openxmlformats.org/officeDocument/2006/relationships/hyperlink" Target="https://gemini.google.com/" TargetMode="External"/><Relationship Id="rId43" Type="http://schemas.openxmlformats.org/officeDocument/2006/relationships/hyperlink" Target="https://gemini.google.com/" TargetMode="External"/><Relationship Id="rId48" Type="http://schemas.openxmlformats.org/officeDocument/2006/relationships/hyperlink" Target="https://gemini.google.com/" TargetMode="External"/><Relationship Id="rId56" Type="http://schemas.openxmlformats.org/officeDocument/2006/relationships/hyperlink" Target="https://gemini.google.com/" TargetMode="External"/><Relationship Id="rId64" Type="http://schemas.openxmlformats.org/officeDocument/2006/relationships/hyperlink" Target="https://gemini.google.com/"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emini.google.com/" TargetMode="External"/><Relationship Id="rId3" Type="http://schemas.openxmlformats.org/officeDocument/2006/relationships/styles" Target="styles.xml"/><Relationship Id="rId12" Type="http://schemas.openxmlformats.org/officeDocument/2006/relationships/hyperlink" Target="https://gemini.google.com/" TargetMode="External"/><Relationship Id="rId17" Type="http://schemas.openxmlformats.org/officeDocument/2006/relationships/hyperlink" Target="https://gemini.google.com/" TargetMode="External"/><Relationship Id="rId25" Type="http://schemas.openxmlformats.org/officeDocument/2006/relationships/hyperlink" Target="https://gemini.google.com/" TargetMode="External"/><Relationship Id="rId33" Type="http://schemas.openxmlformats.org/officeDocument/2006/relationships/hyperlink" Target="https://gemini.google.com/" TargetMode="External"/><Relationship Id="rId38" Type="http://schemas.openxmlformats.org/officeDocument/2006/relationships/hyperlink" Target="https://gemini.google.com/" TargetMode="External"/><Relationship Id="rId46" Type="http://schemas.openxmlformats.org/officeDocument/2006/relationships/hyperlink" Target="https://gemini.google.com/" TargetMode="External"/><Relationship Id="rId59" Type="http://schemas.openxmlformats.org/officeDocument/2006/relationships/hyperlink" Target="https://gemini.google.com/" TargetMode="External"/><Relationship Id="rId67" Type="http://schemas.openxmlformats.org/officeDocument/2006/relationships/hyperlink" Target="https://gemini.google.com/" TargetMode="External"/><Relationship Id="rId20" Type="http://schemas.openxmlformats.org/officeDocument/2006/relationships/hyperlink" Target="https://gemini.google.com/" TargetMode="External"/><Relationship Id="rId41" Type="http://schemas.openxmlformats.org/officeDocument/2006/relationships/hyperlink" Target="https://gemini.google.com/" TargetMode="External"/><Relationship Id="rId54" Type="http://schemas.openxmlformats.org/officeDocument/2006/relationships/hyperlink" Target="https://gemini.google.com/" TargetMode="External"/><Relationship Id="rId62" Type="http://schemas.openxmlformats.org/officeDocument/2006/relationships/hyperlink" Target="https://gemini.google.com/" TargetMode="External"/><Relationship Id="rId1" Type="http://schemas.openxmlformats.org/officeDocument/2006/relationships/customXml" Target="../customXml/item1.xml"/><Relationship Id="rId6" Type="http://schemas.openxmlformats.org/officeDocument/2006/relationships/hyperlink" Target="mailto:sumitdhote12@gmail.com" TargetMode="External"/><Relationship Id="rId15" Type="http://schemas.openxmlformats.org/officeDocument/2006/relationships/hyperlink" Target="https://gemini.google.com/" TargetMode="External"/><Relationship Id="rId23" Type="http://schemas.openxmlformats.org/officeDocument/2006/relationships/hyperlink" Target="https://gemini.google.com/" TargetMode="External"/><Relationship Id="rId28" Type="http://schemas.openxmlformats.org/officeDocument/2006/relationships/hyperlink" Target="https://gemini.google.com/" TargetMode="External"/><Relationship Id="rId36" Type="http://schemas.openxmlformats.org/officeDocument/2006/relationships/hyperlink" Target="https://gemini.google.com/" TargetMode="External"/><Relationship Id="rId49" Type="http://schemas.openxmlformats.org/officeDocument/2006/relationships/hyperlink" Target="https://gemini.google.com/" TargetMode="External"/><Relationship Id="rId57" Type="http://schemas.openxmlformats.org/officeDocument/2006/relationships/hyperlink" Target="https://gemini.google.com/" TargetMode="External"/><Relationship Id="rId10" Type="http://schemas.openxmlformats.org/officeDocument/2006/relationships/hyperlink" Target="https://gemini.google.com/" TargetMode="External"/><Relationship Id="rId31" Type="http://schemas.openxmlformats.org/officeDocument/2006/relationships/hyperlink" Target="https://gemini.google.com/" TargetMode="External"/><Relationship Id="rId44" Type="http://schemas.openxmlformats.org/officeDocument/2006/relationships/hyperlink" Target="https://gemini.google.com/" TargetMode="External"/><Relationship Id="rId52" Type="http://schemas.openxmlformats.org/officeDocument/2006/relationships/hyperlink" Target="https://gemini.google.com/" TargetMode="External"/><Relationship Id="rId60" Type="http://schemas.openxmlformats.org/officeDocument/2006/relationships/hyperlink" Target="https://gemini.google.com/" TargetMode="External"/><Relationship Id="rId65"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hyperlink" Target="https://www.google.com/search?q=https://doi.org/10.4103/IJHSC.IJHSC_3_25" TargetMode="External"/><Relationship Id="rId13" Type="http://schemas.openxmlformats.org/officeDocument/2006/relationships/hyperlink" Target="https://gemini.google.com/" TargetMode="External"/><Relationship Id="rId18" Type="http://schemas.openxmlformats.org/officeDocument/2006/relationships/hyperlink" Target="https://gemini.google.com/" TargetMode="External"/><Relationship Id="rId39" Type="http://schemas.openxmlformats.org/officeDocument/2006/relationships/hyperlink" Target="https://gemini.google.com/" TargetMode="External"/><Relationship Id="rId34" Type="http://schemas.openxmlformats.org/officeDocument/2006/relationships/hyperlink" Target="https://gemini.google.com/" TargetMode="External"/><Relationship Id="rId50" Type="http://schemas.openxmlformats.org/officeDocument/2006/relationships/hyperlink" Target="https://gemini.google.com/" TargetMode="External"/><Relationship Id="rId55"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22</Pages>
  <Words>7114</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9</cp:revision>
  <dcterms:created xsi:type="dcterms:W3CDTF">2026-04-23T05:51:00Z</dcterms:created>
  <dcterms:modified xsi:type="dcterms:W3CDTF">2026-05-10T05:05:00Z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33684011-9752-4c49-95f2-a9fa9d53daf9</vt:lpwstr>
  </property>
</Properties>
</file>