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8E7C1" w14:textId="77777777" w:rsidR="005D3DA8" w:rsidRDefault="005D3DA8" w:rsidP="005D3DA8">
      <w:pPr>
        <w:ind w:left="23"/>
        <w:rPr>
          <w:rFonts w:cs="Times New Roman"/>
          <w:b/>
          <w:spacing w:val="-2"/>
          <w:szCs w:val="24"/>
        </w:rPr>
      </w:pPr>
    </w:p>
    <w:p w14:paraId="7996B18D" w14:textId="77777777" w:rsidR="005D3DA8" w:rsidRDefault="005D3DA8" w:rsidP="005D3DA8">
      <w:pPr>
        <w:ind w:left="23"/>
        <w:rPr>
          <w:rFonts w:cs="Times New Roman"/>
          <w:b/>
          <w:spacing w:val="-2"/>
          <w:szCs w:val="24"/>
        </w:rPr>
      </w:pPr>
    </w:p>
    <w:p w14:paraId="25265BFF" w14:textId="77777777" w:rsidR="005D3DA8" w:rsidRDefault="005D3DA8" w:rsidP="005D3DA8">
      <w:pPr>
        <w:ind w:left="23"/>
        <w:rPr>
          <w:rFonts w:cs="Times New Roman"/>
          <w:b/>
          <w:spacing w:val="-2"/>
          <w:szCs w:val="24"/>
        </w:rPr>
      </w:pPr>
    </w:p>
    <w:p w14:paraId="4BFFAC31" w14:textId="77777777" w:rsidR="005D3DA8" w:rsidRDefault="005D3DA8" w:rsidP="005D3DA8">
      <w:pPr>
        <w:rPr>
          <w:rFonts w:cs="Times New Roman"/>
          <w:b/>
          <w:spacing w:val="-2"/>
          <w:szCs w:val="24"/>
        </w:rPr>
      </w:pPr>
    </w:p>
    <w:p w14:paraId="3F25AC40" w14:textId="77777777" w:rsidR="005D3DA8" w:rsidRDefault="005D3DA8" w:rsidP="005D3DA8">
      <w:pPr>
        <w:rPr>
          <w:rFonts w:cs="Times New Roman"/>
          <w:b/>
          <w:spacing w:val="-2"/>
          <w:szCs w:val="24"/>
        </w:rPr>
      </w:pPr>
    </w:p>
    <w:p w14:paraId="71101EC3" w14:textId="77777777" w:rsidR="005D3DA8" w:rsidRDefault="005D3DA8" w:rsidP="005D3DA8">
      <w:pPr>
        <w:rPr>
          <w:rFonts w:cs="Times New Roman"/>
          <w:b/>
          <w:spacing w:val="-2"/>
          <w:szCs w:val="24"/>
        </w:rPr>
      </w:pPr>
    </w:p>
    <w:p w14:paraId="4AC884D4" w14:textId="77777777" w:rsidR="005D3DA8" w:rsidRDefault="005D3DA8" w:rsidP="005D3DA8">
      <w:pPr>
        <w:rPr>
          <w:rFonts w:cs="Times New Roman"/>
          <w:b/>
          <w:spacing w:val="-2"/>
          <w:szCs w:val="24"/>
        </w:rPr>
      </w:pPr>
    </w:p>
    <w:p w14:paraId="463C3ADB" w14:textId="77777777" w:rsidR="005D3DA8" w:rsidRDefault="005D3DA8" w:rsidP="005D3DA8">
      <w:pPr>
        <w:rPr>
          <w:rFonts w:cs="Times New Roman"/>
          <w:b/>
          <w:spacing w:val="-2"/>
          <w:szCs w:val="24"/>
        </w:rPr>
      </w:pPr>
    </w:p>
    <w:p w14:paraId="2A7DA83F" w14:textId="77777777" w:rsidR="005D3DA8" w:rsidRDefault="005D3DA8" w:rsidP="005D3DA8">
      <w:pPr>
        <w:rPr>
          <w:rFonts w:cs="Times New Roman"/>
          <w:b/>
          <w:spacing w:val="-2"/>
          <w:szCs w:val="24"/>
        </w:rPr>
      </w:pPr>
    </w:p>
    <w:p w14:paraId="506230A1" w14:textId="064F2029" w:rsidR="000E4624" w:rsidRPr="005D3DA8" w:rsidRDefault="000355CC" w:rsidP="005D3DA8">
      <w:pPr>
        <w:spacing w:after="0" w:line="360" w:lineRule="auto"/>
        <w:jc w:val="both"/>
        <w:rPr>
          <w:rFonts w:cs="Times New Roman"/>
          <w:szCs w:val="24"/>
        </w:rPr>
      </w:pPr>
      <w:r w:rsidRPr="000355CC">
        <w:rPr>
          <w:rFonts w:eastAsia="Times New Roman" w:cs="Times New Roman"/>
          <w:b/>
          <w:bCs/>
          <w:szCs w:val="24"/>
        </w:rPr>
        <w:lastRenderedPageBreak/>
        <w:t>ABSTRACT</w:t>
      </w:r>
    </w:p>
    <w:p w14:paraId="09DA28C5" w14:textId="6CB46D8A" w:rsidR="00772007" w:rsidRDefault="00F7369D" w:rsidP="00772007">
      <w:pPr>
        <w:spacing w:after="0" w:line="360" w:lineRule="auto"/>
        <w:jc w:val="both"/>
        <w:rPr>
          <w:rFonts w:eastAsia="Times New Roman" w:cs="Times New Roman"/>
          <w:szCs w:val="24"/>
        </w:rPr>
      </w:pPr>
      <w:proofErr w:type="gramStart"/>
      <w:proofErr w:type="gramEnd"/>
      <w:proofErr w:type="spellStart"/>
      <w:proofErr w:type="spellEnd"/>
      <w:proofErr w:type="spellStart"/>
      <w:proofErr w:type="spellEnd"/>
      <w:r>
        <w:rPr>
          <w:rFonts w:eastAsia="Times New Roman" w:cs="Times New Roman"/>
          <w:szCs w:val="24"/>
        </w:rPr>
        <w:t>Classical Ayurveda describes Dushi Visha as poison the body never finishes clearing. Weakened in potency, it sits in the tissues doing slow damage, and surfaces only when diet, season or a lapse in host defence gives it room. Set that against what modern toxicology reports for heavy metals, pesticides and environmental pollutants and the match is uncomfortably close: exposure at low dose over decades, deposition in deep compartments (bone, brain), and a slow grind of oxidative stress, failing mitochondria and chronic inflammation ending, often, in neurodegeneration. Reaching all of that is beyond any single antidote. Rasayana, we argue, is better understood as a systems-level strategy acting on several molecular and organ-level pathways at once than as one more remedy aimed at one toxicant. Dushi Visha is first recast here as a recognisable clinical picture of chronic toxicosis; the oxidative and inflammatory mechanisms that sustain it come next; then Ashwagandha, Guduchi, Amalaki, Triphala and Brahmi, examined for redox signalling, transcription, apoptosis, synaptic plasticity and the gut–brain axis. Delivery is the weak link. Many of these phytochemicals barely reach the brain, so we close by setting Ghrita, the classical lipid carrier, against nanoemulsions and solid lipid nanoparticles, and by setting out the preclinical and clinical work the field still owes.</w:t>
      </w:r>
    </w:p>
    <w:p w14:paraId="56CB25E2" w14:textId="77777777" w:rsidR="00F7369D" w:rsidRPr="00772007" w:rsidRDefault="00F7369D" w:rsidP="00772007">
      <w:pPr>
        <w:spacing w:after="0" w:line="360" w:lineRule="auto"/>
        <w:jc w:val="both"/>
        <w:rPr>
          <w:rFonts w:cs="Times New Roman"/>
          <w:szCs w:val="24"/>
        </w:rPr>
      </w:pPr>
    </w:p>
    <w:p w14:paraId="06B04F3A" w14:textId="3A06168F" w:rsidR="000E4624" w:rsidRPr="00772007" w:rsidRDefault="00490318" w:rsidP="00772007">
      <w:pPr>
        <w:spacing w:after="0" w:line="360" w:lineRule="auto"/>
        <w:jc w:val="both"/>
        <w:rPr>
          <w:rFonts w:cs="Times New Roman"/>
          <w:szCs w:val="24"/>
        </w:rPr>
      </w:pPr>
      <w:r w:rsidRPr="00772007">
        <w:rPr>
          <w:rFonts w:eastAsia="Times New Roman" w:cs="Times New Roman"/>
          <w:b/>
          <w:bCs/>
          <w:szCs w:val="24"/>
        </w:rPr>
        <w:t>Keywords</w:t>
      </w:r>
      <w:r w:rsidR="002169CD" w:rsidRPr="00772007">
        <w:rPr>
          <w:rFonts w:cs="Times New Roman"/>
          <w:b/>
          <w:bCs/>
          <w:szCs w:val="24"/>
        </w:rPr>
        <w:t>:</w:t>
      </w:r>
      <w:r w:rsidR="002169CD" w:rsidRPr="00772007">
        <w:rPr>
          <w:rFonts w:cs="Times New Roman"/>
          <w:szCs w:val="24"/>
        </w:rPr>
        <w:t xml:space="preserve"> </w:t>
      </w:r>
      <w:r w:rsidRPr="00772007">
        <w:rPr>
          <w:rFonts w:eastAsia="Times New Roman" w:cs="Times New Roman"/>
          <w:szCs w:val="24"/>
        </w:rPr>
        <w:t xml:space="preserve">Dushi Visha; </w:t>
      </w:r>
      <w:proofErr w:type="spellStart"/>
      <w:r w:rsidRPr="00772007">
        <w:rPr>
          <w:rFonts w:eastAsia="Times New Roman" w:cs="Times New Roman"/>
          <w:szCs w:val="24"/>
        </w:rPr>
        <w:t>Rasayana</w:t>
      </w:r>
      <w:proofErr w:type="spellEnd"/>
      <w:r w:rsidRPr="00772007">
        <w:rPr>
          <w:rFonts w:eastAsia="Times New Roman" w:cs="Times New Roman"/>
          <w:szCs w:val="24"/>
        </w:rPr>
        <w:t>; latent toxicity; oxidative stress; Nrf2; NF‑</w:t>
      </w:r>
      <w:proofErr w:type="spellStart"/>
      <w:r w:rsidRPr="00772007">
        <w:rPr>
          <w:rFonts w:eastAsia="Times New Roman" w:cs="Times New Roman"/>
          <w:szCs w:val="24"/>
        </w:rPr>
        <w:t>κB</w:t>
      </w:r>
      <w:proofErr w:type="spellEnd"/>
      <w:r w:rsidRPr="00772007">
        <w:rPr>
          <w:rFonts w:eastAsia="Times New Roman" w:cs="Times New Roman"/>
          <w:szCs w:val="24"/>
        </w:rPr>
        <w:t xml:space="preserve">; gut–brain axis; </w:t>
      </w:r>
      <w:proofErr w:type="spellStart"/>
      <w:r w:rsidRPr="00772007">
        <w:rPr>
          <w:rFonts w:eastAsia="Times New Roman" w:cs="Times New Roman"/>
          <w:szCs w:val="24"/>
        </w:rPr>
        <w:t>nanoemulsion</w:t>
      </w:r>
      <w:proofErr w:type="spellEnd"/>
      <w:r w:rsidRPr="00772007">
        <w:rPr>
          <w:rFonts w:eastAsia="Times New Roman" w:cs="Times New Roman"/>
          <w:szCs w:val="24"/>
        </w:rPr>
        <w:t>; solid lipid nanoparticles; environmental toxicology.</w:t>
      </w:r>
    </w:p>
    <w:p w14:paraId="34DC202A" w14:textId="77777777" w:rsidR="000E4624" w:rsidRPr="00772007" w:rsidRDefault="000E4624" w:rsidP="00772007">
      <w:pPr>
        <w:spacing w:after="0" w:line="360" w:lineRule="auto"/>
        <w:rPr>
          <w:rFonts w:cs="Times New Roman"/>
          <w:szCs w:val="24"/>
        </w:rPr>
      </w:pPr>
    </w:p>
    <w:p w14:paraId="1502BD31" w14:textId="77777777" w:rsidR="00772007" w:rsidRDefault="00772007" w:rsidP="00772007">
      <w:pPr>
        <w:spacing w:after="0" w:line="360" w:lineRule="auto"/>
        <w:rPr>
          <w:rFonts w:eastAsia="Times New Roman" w:cs="Times New Roman"/>
          <w:szCs w:val="24"/>
        </w:rPr>
      </w:pPr>
    </w:p>
    <w:p w14:paraId="74828483" w14:textId="77777777" w:rsidR="00772007" w:rsidRDefault="00772007" w:rsidP="00772007">
      <w:pPr>
        <w:spacing w:after="0" w:line="360" w:lineRule="auto"/>
        <w:rPr>
          <w:rFonts w:eastAsia="Times New Roman" w:cs="Times New Roman"/>
          <w:szCs w:val="24"/>
        </w:rPr>
      </w:pPr>
    </w:p>
    <w:p w14:paraId="1D77F9EA" w14:textId="77777777" w:rsidR="00772007" w:rsidRDefault="00772007" w:rsidP="00772007">
      <w:pPr>
        <w:spacing w:after="0" w:line="360" w:lineRule="auto"/>
        <w:rPr>
          <w:rFonts w:eastAsia="Times New Roman" w:cs="Times New Roman"/>
          <w:szCs w:val="24"/>
        </w:rPr>
      </w:pPr>
    </w:p>
    <w:p w14:paraId="0F45BF79" w14:textId="77777777" w:rsidR="00772007" w:rsidRDefault="00772007" w:rsidP="00772007">
      <w:pPr>
        <w:spacing w:after="0" w:line="360" w:lineRule="auto"/>
        <w:rPr>
          <w:rFonts w:eastAsia="Times New Roman" w:cs="Times New Roman"/>
          <w:szCs w:val="24"/>
        </w:rPr>
      </w:pPr>
    </w:p>
    <w:p w14:paraId="064D2525" w14:textId="77777777" w:rsidR="00772007" w:rsidRDefault="00772007" w:rsidP="00772007">
      <w:pPr>
        <w:spacing w:after="0" w:line="360" w:lineRule="auto"/>
        <w:rPr>
          <w:rFonts w:eastAsia="Times New Roman" w:cs="Times New Roman"/>
          <w:szCs w:val="24"/>
        </w:rPr>
      </w:pPr>
    </w:p>
    <w:p w14:paraId="2999BF83" w14:textId="77777777" w:rsidR="00772007" w:rsidRDefault="00772007" w:rsidP="00772007">
      <w:pPr>
        <w:spacing w:after="0" w:line="360" w:lineRule="auto"/>
        <w:rPr>
          <w:rFonts w:eastAsia="Times New Roman" w:cs="Times New Roman"/>
          <w:szCs w:val="24"/>
        </w:rPr>
      </w:pPr>
    </w:p>
    <w:p w14:paraId="26358AF0" w14:textId="77777777" w:rsidR="00F7369D" w:rsidRDefault="00F7369D" w:rsidP="00772007">
      <w:pPr>
        <w:spacing w:after="0" w:line="360" w:lineRule="auto"/>
        <w:rPr>
          <w:rFonts w:eastAsia="Times New Roman" w:cs="Times New Roman"/>
          <w:szCs w:val="24"/>
        </w:rPr>
      </w:pPr>
    </w:p>
    <w:p w14:paraId="367C1392" w14:textId="77777777" w:rsidR="00F7369D" w:rsidRDefault="00F7369D" w:rsidP="00772007">
      <w:pPr>
        <w:spacing w:after="0" w:line="360" w:lineRule="auto"/>
        <w:rPr>
          <w:rFonts w:eastAsia="Times New Roman" w:cs="Times New Roman"/>
          <w:szCs w:val="24"/>
        </w:rPr>
      </w:pPr>
    </w:p>
    <w:p w14:paraId="6FE9AD0D" w14:textId="77777777" w:rsidR="00772007" w:rsidRDefault="00772007" w:rsidP="00772007">
      <w:pPr>
        <w:spacing w:after="0" w:line="360" w:lineRule="auto"/>
        <w:rPr>
          <w:rFonts w:eastAsia="Times New Roman" w:cs="Times New Roman"/>
          <w:szCs w:val="24"/>
        </w:rPr>
      </w:pPr>
    </w:p>
    <w:p w14:paraId="1BEA69CC" w14:textId="77777777" w:rsidR="00772007" w:rsidRDefault="00772007" w:rsidP="00772007">
      <w:pPr>
        <w:spacing w:after="0" w:line="360" w:lineRule="auto"/>
        <w:rPr>
          <w:rFonts w:eastAsia="Times New Roman" w:cs="Times New Roman"/>
          <w:szCs w:val="24"/>
        </w:rPr>
      </w:pPr>
    </w:p>
    <w:p w14:paraId="3AF7E825" w14:textId="77777777" w:rsidR="00772007" w:rsidRDefault="00772007" w:rsidP="00772007">
      <w:pPr>
        <w:spacing w:after="0" w:line="360" w:lineRule="auto"/>
        <w:rPr>
          <w:rFonts w:eastAsia="Times New Roman" w:cs="Times New Roman"/>
          <w:szCs w:val="24"/>
        </w:rPr>
      </w:pPr>
    </w:p>
    <w:p w14:paraId="13479C25" w14:textId="77777777" w:rsidR="00772007" w:rsidRDefault="00772007" w:rsidP="00772007">
      <w:pPr>
        <w:spacing w:after="0" w:line="360" w:lineRule="auto"/>
        <w:rPr>
          <w:rFonts w:eastAsia="Times New Roman" w:cs="Times New Roman"/>
          <w:szCs w:val="24"/>
        </w:rPr>
      </w:pPr>
    </w:p>
    <w:p w14:paraId="24FAFE4E" w14:textId="1421649E" w:rsidR="00772007" w:rsidRPr="000355CC" w:rsidRDefault="000355CC" w:rsidP="000355CC">
      <w:pPr>
        <w:spacing w:after="0" w:line="360" w:lineRule="auto"/>
        <w:jc w:val="both"/>
        <w:rPr>
          <w:rFonts w:eastAsia="Times New Roman" w:cs="Times New Roman"/>
          <w:b/>
          <w:bCs/>
          <w:szCs w:val="24"/>
        </w:rPr>
      </w:pPr>
      <w:r w:rsidRPr="000355CC">
        <w:rPr>
          <w:rFonts w:eastAsia="Times New Roman" w:cs="Times New Roman"/>
          <w:b/>
          <w:bCs/>
          <w:szCs w:val="24"/>
        </w:rPr>
        <w:lastRenderedPageBreak/>
        <w:t>INTRODUCTION</w:t>
      </w:r>
      <w:r w:rsidR="00490318" w:rsidRPr="000355CC">
        <w:rPr>
          <w:rFonts w:eastAsia="Times New Roman" w:cs="Times New Roman"/>
          <w:b/>
          <w:bCs/>
          <w:szCs w:val="24"/>
        </w:rPr>
        <w:t xml:space="preserve"> </w:t>
      </w:r>
    </w:p>
    <w:p w14:paraId="0D07BFCA" w14:textId="666C36A0" w:rsidR="000E4624" w:rsidRDefault="00490318" w:rsidP="000355CC">
      <w:pPr>
        <w:spacing w:after="0" w:line="360" w:lineRule="auto"/>
        <w:jc w:val="both"/>
        <w:rPr>
          <w:rFonts w:eastAsia="Times New Roman" w:cs="Times New Roman"/>
          <w:szCs w:val="24"/>
        </w:rPr>
      </w:pPr>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rPr>
          <w:rFonts w:eastAsia="Times New Roman" w:cs="Times New Roman"/>
          <w:szCs w:val="24"/>
        </w:rPr>
        <w:t>Bone holds lead and the kidney holds cadmium, both for decades, so internal exposure continues long after the external source is gone. Mercury is the odd one out. Blood clears it within months, yet inorganic mercury deposited in the brain appears to be retained for years and possibly decades[7]. Cadmium at low dose strips glutathione out of liver and kidney mitochondria by degrees, leaving oxidative damage that accumulates[8]; lead and mercury are neurotropic and cardiotoxic alike, and may take years of dietary and environmental exposure before they declare themselves clinically[9,10]. Organic solvents and endocrine-disrupting chemicals accumulate the same way, across years of subclinical contact with little to show for it, until adaptive capacity runs out and several organ systems give way at once[5]. The presenting complaints are vague: fatigue, cognitive difficulty, dysautonomia, metabolic derangement, chronic inflammatory disease. Nobody can date the onset, because there is rarely a single episode to name[5,6]. Kinetics of a poison that does not leave, and the clinic calls the consequences latent toxicity.</w:t>
      </w:r>
    </w:p>
    <w:p w14:paraId="0D07BFCA" w14:textId="666C36A0" w:rsidR="000E4624" w:rsidRDefault="00490318" w:rsidP="000355CC">
      <w:pPr>
        <w:spacing w:after="0" w:line="360" w:lineRule="auto"/>
        <w:jc w:val="both"/>
        <w:rPr>
          <w:rFonts w:eastAsia="Times New Roman" w:cs="Times New Roman"/>
          <w:szCs w:val="24"/>
        </w:rPr>
      </w:pPr>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rPr>
          <w:rFonts w:eastAsia="Times New Roman" w:cs="Times New Roman"/>
          <w:szCs w:val="24"/>
        </w:rPr>
        <w:t>An older vocabulary got there first. Charaka and Sushruta both describe Dushi Visha as poison that has lost its acute virulence and was never cleared[1]. It stays. A change of season, a dietary indiscretion, a dip in host defence: any of these wakes it[1]. Because it carries an incomplete set of the ten properties classical nosology attributes to Visha, it kills nobody quickly, producing delayed and shifting complaints instead (indigestion, skin eruptions, oedema, neurological disturbance, progressive tissue wasting)[1]. Ayurvedic reviews now read all of this as the chronic low-dose load of pesticide residues, food adulterants and occupational chemicals, often enough for the reading to count as standard[2–4]. How exact the equation is matters less than whether it earns its keep. We think it does.</w:t>
      </w:r>
    </w:p>
    <w:p w14:paraId="0D07BFCA" w14:textId="666C36A0" w:rsidR="000E4624" w:rsidRDefault="00490318" w:rsidP="000355CC">
      <w:pPr>
        <w:spacing w:after="0" w:line="360" w:lineRule="auto"/>
        <w:jc w:val="both"/>
        <w:rPr>
          <w:rFonts w:eastAsia="Times New Roman" w:cs="Times New Roman"/>
          <w:szCs w:val="24"/>
        </w:rPr>
      </w:pPr>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rPr>
          <w:rFonts w:eastAsia="Times New Roman" w:cs="Times New Roman"/>
          <w:szCs w:val="24"/>
        </w:rPr>
        <w:t>Image 1 lays out the reading. Seen through environmental toxicology this is a latent toxic state produced by chronic low-dose exposure to heavy metals, pesticides, industrial pollutants and dietary adulterants; metals accumulate, redox balance fails, mitochondria falter and inflammation persists, which between them explain why the illness declares itself late and scatters across organ systems. Rasayana cannot then be filed under rejuvenation in the loose sense. Whether it restores redox balance, keeps mitochondria working, recalibrates immune responses and protects neurocognitive reserve is the question. Those are measurable things. As the word is usually deployed, rejuvenation is not.</w:t>
      </w:r>
    </w:p>
    <w:p w14:paraId="51EA9615" w14:textId="77777777" w:rsidR="0046290E" w:rsidRDefault="0046290E" w:rsidP="000355CC">
      <w:pPr>
        <w:spacing w:after="0" w:line="360" w:lineRule="auto"/>
        <w:jc w:val="both"/>
        <w:rPr>
          <w:rFonts w:eastAsia="Times New Roman" w:cs="Times New Roman"/>
          <w:szCs w:val="24"/>
        </w:rPr>
      </w:pPr>
    </w:p>
    <w:p w14:paraId="63627B2A" w14:textId="2D10389D" w:rsidR="0046290E" w:rsidRPr="0046290E" w:rsidRDefault="0046290E" w:rsidP="0046290E">
      <w:pPr>
        <w:spacing w:after="0" w:line="360" w:lineRule="auto"/>
        <w:jc w:val="center"/>
        <w:rPr>
          <w:rFonts w:eastAsia="Times New Roman" w:cs="Times New Roman"/>
          <w:b/>
          <w:bCs/>
          <w:szCs w:val="24"/>
        </w:rPr>
      </w:pPr>
      <w:r w:rsidRPr="0046290E">
        <w:rPr>
          <w:rFonts w:eastAsia="Times New Roman" w:cs="Times New Roman"/>
          <w:b/>
          <w:bCs/>
          <w:szCs w:val="24"/>
          <w:lang w:val="en-IN"/>
        </w:rPr>
        <w:drawing>
          <wp:anchor distT="0" distB="0" distL="114300" distR="114300" simplePos="0" relativeHeight="251658240" behindDoc="0" locked="0" layoutInCell="1" allowOverlap="1" wp14:anchorId="4BFF6776" wp14:editId="6258AF35">
            <wp:simplePos x="0" y="0"/>
            <wp:positionH relativeFrom="margin">
              <wp:align>right</wp:align>
            </wp:positionH>
            <wp:positionV relativeFrom="paragraph">
              <wp:posOffset>512156</wp:posOffset>
            </wp:positionV>
            <wp:extent cx="5943600" cy="3574415"/>
            <wp:effectExtent l="0" t="0" r="0" b="6985"/>
            <wp:wrapTopAndBottom/>
            <wp:docPr id="1186119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t="9790"/>
                    <a:stretch>
                      <a:fillRect/>
                    </a:stretch>
                  </pic:blipFill>
                  <pic:spPr bwMode="auto">
                    <a:xfrm>
                      <a:off x="0" y="0"/>
                      <a:ext cx="5943600" cy="35744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46290E">
        <w:rPr>
          <w:rFonts w:eastAsia="Times New Roman" w:cs="Times New Roman"/>
          <w:b/>
          <w:bCs/>
          <w:szCs w:val="24"/>
        </w:rPr>
        <w:t xml:space="preserve">Image 1: From Dushi Visha to Chronic Latent Toxicity: Pathophysiology and Systems-Level Counteraction by </w:t>
      </w:r>
      <w:proofErr w:type="spellStart"/>
      <w:r w:rsidRPr="0046290E">
        <w:rPr>
          <w:rFonts w:eastAsia="Times New Roman" w:cs="Times New Roman"/>
          <w:b/>
          <w:bCs/>
          <w:szCs w:val="24"/>
        </w:rPr>
        <w:t>Rasayana</w:t>
      </w:r>
      <w:proofErr w:type="spellEnd"/>
      <w:r w:rsidRPr="0046290E">
        <w:rPr>
          <w:rFonts w:eastAsia="Times New Roman" w:cs="Times New Roman"/>
          <w:b/>
          <w:bCs/>
          <w:szCs w:val="24"/>
        </w:rPr>
        <w:t xml:space="preserve"> Therapy</w:t>
      </w:r>
    </w:p>
    <w:p w14:paraId="4CC3DC50" w14:textId="6084269B" w:rsidR="0046290E" w:rsidRPr="0046290E" w:rsidRDefault="0046290E" w:rsidP="000355CC">
      <w:pPr>
        <w:spacing w:after="0" w:line="360" w:lineRule="auto"/>
        <w:jc w:val="both"/>
        <w:rPr>
          <w:rFonts w:eastAsia="Times New Roman" w:cs="Times New Roman"/>
          <w:szCs w:val="24"/>
          <w:lang w:val="en-IN"/>
        </w:rPr>
      </w:pPr>
    </w:p>
    <w:p w14:paraId="4D7B668F" w14:textId="71AA84C6" w:rsidR="000E4624" w:rsidRPr="00772007" w:rsidRDefault="000355CC"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RASAYANA THERAPY AS A SYSTEMS-LEVEL COUNTERMEASURE</w:t>
      </w:r>
    </w:p>
    <w:p w14:paraId="5BD3F62F" w14:textId="3BC5A855" w:rsidR="000E4624" w:rsidRPr="00772007" w:rsidRDefault="00490318" w:rsidP="000355CC">
      <w:pPr>
        <w:spacing w:after="0" w:line="360" w:lineRule="auto"/>
        <w:jc w:val="both"/>
        <w:rPr>
          <w:rFonts w:cs="Times New Roman"/>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gramStart"/>
      <w:proofErr w:type="gramEnd"/>
      <w:proofErr w:type="spellStart"/>
      <w:proofErr w:type="spellEnd"/>
      <w:proofErr w:type="spellStart"/>
      <w:proofErr w:type="spellEnd"/>
      <w:proofErr w:type="gramStart"/>
      <w:proofErr w:type="gramEnd"/>
      <w:proofErr w:type="gramStart"/>
      <w:proofErr w:type="gramEnd"/>
      <w:r>
        <w:rPr>
          <w:rFonts w:eastAsia="Times New Roman" w:cs="Times New Roman"/>
          <w:szCs w:val="24"/>
        </w:rPr>
        <w:t>One of the eight branches of Ashtanga Ayurveda, Rasayana classically covers dietary, behavioural and pharmacological measures meant to extend life, sharpen cognition, strengthen tissues and raise resistance to disease, chiefly by building Ojas and correcting Agni[11]. Pharmacology has caught up with part of that claim. Many Rasayana botanicals show antioxidant, anti-inflammatory, antiapoptotic, immunomodulatory and cytoprotective activity, and they usually get there through several signalling pathways rather than one (rarely just one) [12–14].</w:t>
      </w:r>
    </w:p>
    <w:p w14:paraId="5BD3F62F" w14:textId="3BC5A855" w:rsidR="000E4624" w:rsidRPr="00772007" w:rsidRDefault="00490318" w:rsidP="000355CC">
      <w:pPr>
        <w:spacing w:after="0" w:line="360" w:lineRule="auto"/>
        <w:jc w:val="both"/>
        <w:rPr>
          <w:rFonts w:cs="Times New Roman"/>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gramStart"/>
      <w:proofErr w:type="gramEnd"/>
      <w:proofErr w:type="spellStart"/>
      <w:proofErr w:type="spellEnd"/>
      <w:proofErr w:type="spellStart"/>
      <w:proofErr w:type="spellEnd"/>
      <w:proofErr w:type="gramStart"/>
      <w:proofErr w:type="gramEnd"/>
      <w:proofErr w:type="gramStart"/>
      <w:proofErr w:type="gramEnd"/>
      <w:r>
        <w:rPr>
          <w:rFonts w:eastAsia="Times New Roman" w:cs="Times New Roman"/>
          <w:szCs w:val="24"/>
        </w:rPr>
        <w:t>Chelators work differently. They bind a metal, remove it, and do nothing about the damage already done, which is the argument for putting a multi-target agent alongside Agada (antidotal) treatment in Dushi Visha rather than in competition with it[4]. Two stages, then. Bring the toxic load down first, by avoidance, chelation and Agada Tantra; Rasayana takes the slower half afterwards, with redox balance rebuilt, mitochondria restored, immune homeostasis resettled and neurocognitive resilience protected[4,15,16]. An antidote-centred model was never going to fit a disease that damages many systems at once.</w:t>
      </w:r>
    </w:p>
    <w:p w14:paraId="09792C93" w14:textId="6AAFC9DB" w:rsidR="000E4624" w:rsidRPr="00772007" w:rsidRDefault="000355CC"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 xml:space="preserve">MOLECULAR PATHOLOGY OF LATENT TOXICITY (DUSHI VISHA)</w:t>
      </w:r>
    </w:p>
    <w:p w14:paraId="44B3993D" w14:textId="19D42A30" w:rsidR="000E4624" w:rsidRPr="00772007" w:rsidRDefault="00490318" w:rsidP="000355CC">
      <w:pPr>
        <w:spacing w:after="0" w:line="360" w:lineRule="auto"/>
        <w:jc w:val="both"/>
        <w:rPr>
          <w:rFonts w:cs="Times New Roman"/>
          <w:szCs w:val="24"/>
        </w:rPr>
      </w:pPr>
      <w:proofErr w:type="gramStart"/>
      <w:proofErr w:type="gramEnd"/>
      <w:proofErr w:type="gramStart"/>
      <w:proofErr w:type="gramEnd"/>
      <w:proofErr w:type="gramStart"/>
      <w:proofErr w:type="gramEnd"/>
      <w:r>
        <w:rPr>
          <w:rFonts w:eastAsia="Times New Roman" w:cs="Times New Roman"/>
          <w:szCs w:val="24"/>
        </w:rPr>
        <w:t>What keeps the damage going once exposure turns chronic? Mostly the mitochondrion. Continuous contact with heavy metals, pesticides and related toxicants holds reactive oxygen species production high and drains glutathione, with the mitochondrial pool hit hardest; lipids peroxidise, proteins oxidise and the electron transport chain complexes themselves take damage[17,18]. Cadmium shows the pattern cleanly, and has shown it for more than two decades. In rats given long-term low doses, mitochondrial glutathione in liver and kidney falls in a time- and dose-dependent way while oxidatively damaged end-products pile up, and the loss of mitochondrial glutathione tracks closely with the loss of cell viability[8,19]. Chronic stress produces a comparable lesion in the brain, where sustained nitric oxide overproduction inhibits respiratory chain complexes, depletes glutathione and drives lipid peroxidation; that gives a plausible route from stress, through mitochondrial failure, to latent neurotoxicity[20,21].</w:t>
      </w:r>
    </w:p>
    <w:p w14:paraId="66A7ADCE" w14:textId="19233B89" w:rsidR="000E4624" w:rsidRPr="00772007" w:rsidRDefault="00490318" w:rsidP="000355CC">
      <w:pPr>
        <w:spacing w:after="0" w:line="360" w:lineRule="auto"/>
        <w:jc w:val="both"/>
        <w:rPr>
          <w:rFonts w:cs="Times New Roman"/>
          <w:szCs w:val="24"/>
        </w:rPr>
      </w:pPr>
      <w:proofErr w:type="spellStart"/>
      <w:proofErr w:type="spellEnd"/>
      <w:proofErr w:type="spellStart"/>
      <w:proofErr w:type="spellEnd"/>
      <w:proofErr w:type="spellStart"/>
      <w:proofErr w:type="spellEnd"/>
      <w:proofErr w:type="gramStart"/>
      <w:proofErr w:type="gramEnd"/>
      <w:r>
        <w:rPr>
          <w:rFonts w:eastAsia="Times New Roman" w:cs="Times New Roman"/>
          <w:szCs w:val="24"/>
        </w:rPr>
        <w:t>Ayurveda reads the same process as Dhatu Kshaya and Srotodushti, a chronic erosion of tissue resilience with impaired Agni at its centre. Where the Visha sits matters as much as what it is: lodged in the deeper Dhatus and Srotas, held under Avarana by the Doshas, it lies dormant until stress or poor diet overwhelms compensation[1]. Set that beside lead in bone and inorganic mercury in brain, each retained for years and each leaking back into the circulation to drive subclinical or overt disease[7,8]. Read in current terms, the classical picture is failing mitochondrial energetics and exhausted redox buffering. Here, more than anywhere else in the comparison, the classical idea of smouldering toxicity and the modern data on cumulative organ damage line up[22,23].</w:t>
      </w:r>
    </w:p>
    <w:p w14:paraId="74446BA1" w14:textId="4858FE5E" w:rsidR="000E4624" w:rsidRPr="00772007" w:rsidRDefault="000355CC"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 xml:space="preserve">INFLAMMATORY CASCADES: MICROGLIAL ACTIVATION AND SYSTEMIC INFLAMMATION</w:t>
      </w:r>
    </w:p>
    <w:p w14:paraId="5A9943B5" w14:textId="49667D32" w:rsidR="000E4624" w:rsidRPr="00772007" w:rsidRDefault="00490318" w:rsidP="000355CC">
      <w:pPr>
        <w:spacing w:after="0" w:line="360" w:lineRule="auto"/>
        <w:jc w:val="both"/>
        <w:rPr>
          <w:rFonts w:cs="Times New Roman"/>
          <w:szCs w:val="24"/>
        </w:rPr>
      </w:pPr>
      <w:proofErr w:type="spellStart"/>
      <w:proofErr w:type="spellEnd"/>
      <w:proofErr w:type="gramStart"/>
      <w:proofErr w:type="gramEnd"/>
      <w:proofErr w:type="gramStart"/>
      <w:proofErr w:type="gramEnd"/>
      <w:proofErr w:type="gramStart"/>
      <w:proofErr w:type="gramEnd"/>
      <w:proofErr w:type="gramStart"/>
      <w:proofErr w:type="gramEnd"/>
      <w:proofErr w:type="spellStart"/>
      <w:proofErr w:type="spellEnd"/>
      <w:proofErr w:type="gramStart"/>
      <w:proofErr w:type="gramEnd"/>
      <w:r>
        <w:rPr>
          <w:rFonts w:eastAsia="Times New Roman" w:cs="Times New Roman"/>
          <w:szCs w:val="24"/>
        </w:rPr>
        <w:t>Neuroinflammation is the second engine, and microglia run it. These resident immune cells of the central nervous system answer a toxic insult by releasing reactive oxygen species, nitric oxide and pro-inflammatory cytokines, a response that can start neuronal injury or worsen injury already under way[25]; chronic exposure to environmental toxicants is now recognised as a driver of exactly that activation[24]. How delicate is the balance? Very. Tip the microglial phenotype slightly and these cells move from protection into a chronic, self-sustaining inflammatory state that feeds neurodegenerative disease[24]. Pesticides and heavy metals cross the blood–brain barrier and provoke the response directly, which makes the path from environmental exposure to central immune dysregulation a short one[10,18]. Outside the brain the picture repeats. Insulin resistance, endothelial damage and atherosclerosis all follow from chronic low-grade inflammation running through transcription factors such as NF‑κB[26,27]. Dushi Visha has an obvious multisystem counterpart in that. Either it is a real convergence, or the two descriptions are loose enough to fit almost anything. We would bet on the first, though not heavily.</w:t>
      </w:r>
    </w:p>
    <w:p w14:paraId="2E9C5B2F" w14:textId="55F15ECB" w:rsidR="000E4624" w:rsidRPr="00772007" w:rsidRDefault="00490318"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What chelation does not reach</w:t>
      </w:r>
    </w:p>
    <w:p w14:paraId="42B8E5CE" w14:textId="599DA46A" w:rsidR="000E4624" w:rsidRDefault="00490318" w:rsidP="000355CC">
      <w:pPr>
        <w:spacing w:after="0" w:line="360" w:lineRule="auto"/>
        <w:jc w:val="both"/>
        <w:rPr>
          <w:rFonts w:eastAsia="Times New Roman" w:cs="Times New Roman"/>
          <w:szCs w:val="24"/>
        </w:rPr>
      </w:pPr>
      <w:proofErr w:type="gramStart"/>
      <w:proofErr w:type="gramEnd"/>
      <w:proofErr w:type="spellStart"/>
      <w:proofErr w:type="spellEnd"/>
      <w:proofErr w:type="gramStart"/>
      <w:proofErr w:type="gramEnd"/>
      <w:proofErr w:type="gramStart"/>
      <w:proofErr w:type="gramEnd"/>
      <w:proofErr w:type="spellStart"/>
      <w:proofErr w:type="spellEnd"/>
      <w:proofErr w:type="gramStart"/>
      <w:proofErr w:type="gramEnd"/>
      <w:r>
        <w:rPr>
          <w:rFonts w:eastAsia="Times New Roman" w:cs="Times New Roman"/>
          <w:szCs w:val="24"/>
        </w:rPr>
        <w:t>What would it take to work on the residue instead of the metal? One crude test exists. Workers in a western Maharashtra battery plant, mean blood lead near 63 µg/dL at entry, took 500 mg of vitamin C daily for a month. Blood lead barely moved. Serum lipid peroxides fell by about 16%; erythrocyte superoxide dismutase rose by 38%[31]. One month, soft endpoints, a small sample, and still the nearest thing to a proof of principle anyone here has. Standard treatment, by contrast, runs on EDTA, DMSA and DMPS, which handle metal in blood and some soft tissues well enough but reach brain and bone hardly at all; what is locked there stays locked, and none of the three reverses mitochondrial or inflammatory damage once it is established[15,28,29]. Nor do they touch the toxin's effect on redox signalling, on immune networks, on neuroplasticity[15]. Prolonged courses cost something, too: trace elements the body needs get stripped out alongside the metal, and tolerance is worst in exactly the patients least able to absorb it[30]. Rasayana botanicals act on oxidative stress, on inflammation, on apoptosis and on synaptic function, which puts them in exactly the gap chelation leaves[4].</w:t>
      </w:r>
    </w:p>
    <w:p w14:paraId="063B06ED" w14:textId="77777777" w:rsidR="00F7369D" w:rsidRPr="00772007" w:rsidRDefault="00F7369D" w:rsidP="000355CC">
      <w:pPr>
        <w:spacing w:after="0" w:line="360" w:lineRule="auto"/>
        <w:jc w:val="both"/>
        <w:rPr>
          <w:rFonts w:cs="Times New Roman"/>
          <w:szCs w:val="24"/>
        </w:rPr>
      </w:pPr>
    </w:p>
    <w:p w14:paraId="0A4F5AED" w14:textId="77777777" w:rsidR="002D5C9B" w:rsidRDefault="00490318" w:rsidP="000355CC">
      <w:pPr>
        <w:pStyle w:val="Heading1"/>
        <w:spacing w:before="0"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 xml:space="preserve">Pharmacodynamics of </w:t>
      </w:r>
      <w:proofErr w:type="spellStart"/>
      <w:r w:rsidRPr="00772007">
        <w:rPr>
          <w:rFonts w:ascii="Times New Roman" w:hAnsi="Times New Roman" w:cs="Times New Roman"/>
          <w:color w:val="auto"/>
          <w:sz w:val="24"/>
          <w:szCs w:val="24"/>
        </w:rPr>
        <w:t>Rasayana</w:t>
      </w:r>
      <w:proofErr w:type="spellEnd"/>
      <w:r w:rsidRPr="00772007">
        <w:rPr>
          <w:rFonts w:ascii="Times New Roman" w:hAnsi="Times New Roman" w:cs="Times New Roman"/>
          <w:color w:val="auto"/>
          <w:sz w:val="24"/>
          <w:szCs w:val="24"/>
        </w:rPr>
        <w:t xml:space="preserve"> botanicals</w:t>
      </w:r>
    </w:p>
    <w:p w14:paraId="3406AE78" w14:textId="604B0E91" w:rsidR="00AC0680" w:rsidRPr="00AC0680" w:rsidRDefault="00AC0680" w:rsidP="00AC0680">
      <w:pPr>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Not one of these five acts on a single target. Between them, Ashwagandha, Guduchi, Amalaki, Triphala and Brahmi reach antioxidant, anti-inflammatory, immunomodulatory and neuroprotective effects. How much of that reaches tissue is the vehicle's business. Ghrita, the classical lipid carrier, raises bioavailability and sharpens tissue targeting; so do nanoemulsions and solid lipid nanoparticles (Image 2).</w:t>
      </w:r>
    </w:p>
    <w:p w14:paraId="34D5994A" w14:textId="2D680332" w:rsidR="000E4624" w:rsidRDefault="00490318" w:rsidP="000355CC">
      <w:pPr>
        <w:pStyle w:val="Heading1"/>
        <w:spacing w:before="0" w:line="360" w:lineRule="auto"/>
        <w:jc w:val="both"/>
        <w:rPr>
          <w:rFonts w:ascii="Times New Roman" w:hAnsi="Times New Roman" w:cs="Times New Roman"/>
          <w:color w:val="auto"/>
          <w:sz w:val="24"/>
          <w:szCs w:val="24"/>
        </w:rPr>
      </w:pPr>
      <w:proofErr w:type="spellStart"/>
      <w:r w:rsidRPr="00772007">
        <w:rPr>
          <w:rFonts w:ascii="Times New Roman" w:hAnsi="Times New Roman" w:cs="Times New Roman"/>
          <w:color w:val="auto"/>
          <w:sz w:val="24"/>
          <w:szCs w:val="24"/>
        </w:rPr>
      </w:r>
      <w:r w:rsidRPr="00772007">
        <w:rPr>
          <w:rFonts w:ascii="Times New Roman" w:hAnsi="Times New Roman" w:cs="Times New Roman"/>
          <w:color w:val="auto"/>
          <w:sz w:val="24"/>
          <w:szCs w:val="24"/>
          <w:i/>
        </w:rPr>
        <w:t xml:space="preserve">Withania somnifera</w:t>
      </w:r>
      <w:r w:rsidRPr="00772007">
        <w:rPr>
          <w:rFonts w:ascii="Times New Roman" w:hAnsi="Times New Roman" w:cs="Times New Roman"/>
          <w:color w:val="auto"/>
          <w:sz w:val="24"/>
          <w:szCs w:val="24"/>
        </w:rPr>
        <w:t xml:space="preserve"> (Ashwagandha)</w:t>
      </w:r>
      <w:proofErr w:type="spellEnd"/>
      <w:proofErr w:type="spellStart"/>
      <w:proofErr w:type="spellEnd"/>
    </w:p>
    <w:p w14:paraId="2D8A826B" w14:textId="706B396B" w:rsidR="001470E9" w:rsidRDefault="001470E9" w:rsidP="000355CC">
      <w:pPr>
        <w:spacing w:line="360" w:lineRule="auto"/>
        <w:jc w:val="both"/>
      </w:pPr>
      <w:proofErr w:type="spellStart"/>
      <w:proofErr w:type="spellEnd"/>
      <w:proofErr w:type="gramStart"/>
      <w:proofErr w:type="gram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gramStart"/>
      <w:proofErr w:type="gramEnd"/>
      <w:r>
        <w:rPr/>
        <w:t>Medhya and Balya Rasayana is how Ashwagandha is classed, with antioxidant, anti-inflammatory and neuroprotective activity reported for it in preclinical and clinical work alike[12,32]. Withania somnifera extracts hold down toxic lipid peroxidation products in cells: reactive oxygen species suppressed, mitochondrial membrane potential stabilised, the mitochondrial route to programmed cell death damped[33]. Evidence against a genuine toxicant is older but direct. Lead-exposed mice given Withania somnifera root extract showed lower hepatic and renal lipid peroxidation, with superoxide dismutase and catalase activity restored[34]. A nanoemulsion prepared from Withania somnifera leaves protected albino rats substantially against penconazole-induced neurotoxicity, working through TGF‑β1/Smad2 signalling, which argues for better blood–brain barrier penetration as well as an effect on specific cascades[35]. One study, one pesticide model. It carries more weight in this review than a single experiment should, for the plain reason that nothing else like it exists.</w:t>
      </w:r>
      <w:r>
        <w:rPr>
          <w:i/>
        </w:rPr>
      </w:r>
      <w:r>
        <w:rPr/>
      </w:r>
      <w:r>
        <w:rPr>
          <w:i/>
        </w:rPr>
      </w:r>
      <w:r>
        <w:rPr/>
      </w:r>
      <w:r>
        <w:rPr>
          <w:i/>
        </w:rPr>
      </w:r>
      <w:r>
        <w:rPr/>
      </w:r>
    </w:p>
    <w:p w14:paraId="3FF20388" w14:textId="26994804" w:rsidR="001470E9" w:rsidRDefault="001470E9" w:rsidP="000355CC">
      <w:pPr>
        <w:spacing w:line="360" w:lineRule="auto"/>
        <w:jc w:val="both"/>
      </w:pPr>
      <w:proofErr w:type="spellStart"/>
      <w:proofErr w:type="spellEnd"/>
      <w:proofErr w:type="spellStart"/>
      <w:proofErr w:type="spellEnd"/>
      <w:proofErr w:type="gramStart"/>
      <w:proofErr w:type="gramEnd"/>
      <w:proofErr w:type="spellStart"/>
      <w:proofErr w:type="spellEnd"/>
      <w:proofErr w:type="spellStart"/>
      <w:proofErr w:type="spellEnd"/>
      <w:proofErr w:type="gramStart"/>
      <w:proofErr w:type="gramEnd"/>
      <w:proofErr w:type="spellStart"/>
      <w:proofErr w:type="spellEnd"/>
      <w:proofErr w:type="gramStart"/>
      <w:proofErr w:type="gramEnd"/>
      <w:r>
        <w:rPr/>
        <w:t>Withanolides carry much of the molecular activity. Ashwagandha and its withanolides strengthen endogenous antioxidant defence and induce the transcription factor Nrf2, raising cellular resistance to oxidative damage[12,36]. Withanolides also inhibit NF‑κB and its downstream proinflammatory mediators across a range of disease models, an immunomodulatory profile well suited to shutting down the inflammatory cascades of latent toxicity[12,37]. Few Rasayanas cover the oxidative arm of Dushi Visha and its inflammatory arm this neatly. On paper, at least.</w:t>
      </w:r>
    </w:p>
    <w:p w14:paraId="427E498E" w14:textId="77777777" w:rsidR="001470E9" w:rsidRPr="001470E9" w:rsidRDefault="001470E9" w:rsidP="000355CC">
      <w:pPr>
        <w:spacing w:line="360" w:lineRule="auto"/>
        <w:jc w:val="both"/>
        <w:rPr>
          <w:b/>
          <w:bCs/>
        </w:rPr>
      </w:pPr>
      <w:proofErr w:type="spellStart"/>
      <w:r w:rsidRPr="001470E9">
        <w:rPr>
          <w:b/>
          <w:bCs/>
        </w:rPr>
      </w:r>
      <w:r w:rsidRPr="001470E9">
        <w:rPr>
          <w:b/>
          <w:bCs/>
          <w:i/>
        </w:rPr>
        <w:t xml:space="preserve">Tinospora cordifolia</w:t>
      </w:r>
      <w:r w:rsidRPr="001470E9">
        <w:rPr>
          <w:b/>
          <w:bCs/>
        </w:rPr>
        <w:t xml:space="preserve"> (Guduchi)</w:t>
      </w:r>
      <w:proofErr w:type="spellEnd"/>
      <w:proofErr w:type="spellStart"/>
      <w:proofErr w:type="spellEnd"/>
    </w:p>
    <w:p w14:paraId="42FA12C2" w14:textId="77777777" w:rsidR="000355CC" w:rsidRDefault="001470E9" w:rsidP="000355CC">
      <w:pPr>
        <w:spacing w:line="360" w:lineRule="auto"/>
        <w:jc w:val="both"/>
      </w:pPr>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gramStart"/>
      <w:proofErr w:type="gramEnd"/>
      <w:r>
        <w:rPr/>
        <w:t>Among Rasayana and Vishaghna drugs Tinospora cordifolia ranks with the foremost, with immunomodulatory, antioxidant and hepatoprotective effects in many models[13]. Immunopharmacological work names cordifolioside A, magnoflorine and tinocordiside as the active constituents; they enhance phagocytosis, modulate reactive oxygen species and raise nitric oxide in neutrophils. Balanced immune stimulation, then, not blunt activation[38]. Guduchi extract given to mice raised the total white cell count, lifted the peak antibody titre to 256 (against 32 in controls) and increased splenic plaque-forming cells[39]. Those mice were healthy. What a titre of 256 in an unstressed animal tells you about immune competence worn down by years of metal exposure is a separate question, and an open one. Newer data put the herb on redox-sensitive transcription too, through Nrf2 and NF‑κB[13]; add the hepatoprotective and anti-inflammatory activity and a candidate emerges for those Dushi Visha phenotypes where the liver bioactivates a toxin and systemic inflammation follows[13]. That candidacy is badly complicated by the 43 liver-injury cases in the safety section below[58].</w:t>
      </w:r>
      <w:r>
        <w:rPr>
          <w:i/>
        </w:rPr>
      </w:r>
      <w:r>
        <w:rPr/>
      </w:r>
    </w:p>
    <w:p w14:paraId="2AE0AAD8" w14:textId="77777777" w:rsidR="00E51951" w:rsidRDefault="00E51951" w:rsidP="000355CC">
      <w:pPr>
        <w:spacing w:line="360" w:lineRule="auto"/>
        <w:jc w:val="both"/>
      </w:pPr>
    </w:p>
    <w:p w14:paraId="0B0B4D69" w14:textId="77777777" w:rsidR="001470E9" w:rsidRPr="001470E9" w:rsidRDefault="001470E9" w:rsidP="000355CC">
      <w:pPr>
        <w:spacing w:line="360" w:lineRule="auto"/>
        <w:jc w:val="both"/>
        <w:rPr>
          <w:b/>
          <w:bCs/>
        </w:rPr>
      </w:pPr>
      <w:r w:rsidRPr="001470E9">
        <w:rPr>
          <w:b/>
          <w:bCs/>
        </w:rPr>
        <w:lastRenderedPageBreak/>
      </w:r>
      <w:r w:rsidRPr="001470E9">
        <w:rPr>
          <w:b/>
          <w:bCs/>
          <w:i/>
        </w:rPr>
        <w:lastRenderedPageBreak/>
        <w:t xml:space="preserve">Phyllanthus emblica</w:t>
      </w:r>
      <w:r w:rsidRPr="001470E9">
        <w:rPr>
          <w:b/>
          <w:bCs/>
        </w:rPr>
        <w:lastRenderedPageBreak/>
        <w:t xml:space="preserve"> (Amalaki)</w:t>
      </w:r>
      <w:proofErr w:type="spellStart"/>
      <w:proofErr w:type="spellEnd"/>
      <w:proofErr w:type="spellStart"/>
      <w:proofErr w:type="spellEnd"/>
    </w:p>
    <w:p w14:paraId="4BA56459" w14:textId="7A315737" w:rsidR="001470E9" w:rsidRDefault="001470E9" w:rsidP="000355CC">
      <w:pPr>
        <w:spacing w:line="360" w:lineRule="auto"/>
        <w:jc w:val="both"/>
      </w:pPr>
      <w:proofErr w:type="spellStart"/>
      <w:proofErr w:type="spellEnd"/>
      <w:proofErr w:type="spellStart"/>
      <w:proofErr w:type="spellEnd"/>
      <w:proofErr w:type="gramStart"/>
      <w:proofErr w:type="gram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gramStart"/>
      <w:proofErr w:type="spellEnd"/>
      <w:proofErr w:type="gramEnd"/>
      <w:r>
        <w:rPr/>
        <w:t>Emblicanin A and B, the characteristic hydrolysable tannins, carry much of Amalaki's activity alongside its vitamin C and polyphenol content; the fruit behaves as a potent antioxidant and cytoprotectant[40]. Drosophila work found that dietary Amalaki Rasayana raised superoxide dismutase activity, cut reactive oxygen species and lipid peroxidation even in aged flies, and improved survival under thermal, oxidative and crowding stress (with a gain in lifespan)[41]. Fly lifespan is a weak proxy for anything clinical; we cite the study for its redox measurements, not its survival curve. The keratinocyte data go further mechanistically. Amalaki extract blocked inflammation and apoptosis in UVB-exposed human keratinocytes by inhibiting AP‑1 and NF‑κB and their downstream mediators, prostaglandins included. Protection therefore runs through transcriptional control of inflammatory and apoptotic signalling[42,43].</w:t>
      </w:r>
    </w:p>
    <w:p w14:paraId="74E480F1" w14:textId="51EBDB0E" w:rsidR="001470E9" w:rsidRDefault="001470E9" w:rsidP="000355CC">
      <w:pPr>
        <w:spacing w:line="360" w:lineRule="auto"/>
        <w:jc w:val="both"/>
      </w:pPr>
      <w:proofErr w:type="spellStart"/>
      <w:proofErr w:type="spellEnd"/>
      <w:proofErr w:type="spellStart"/>
      <w:proofErr w:type="spellEnd"/>
      <w:proofErr w:type="spellStart"/>
      <w:proofErr w:type="spellEnd"/>
      <w:proofErr w:type="gramStart"/>
      <w:proofErr w:type="gramEnd"/>
      <w:r>
        <w:rPr/>
        <w:t>Skin is one tissue, and extrapolating from it needs care. Most tissues run the same transcriptional machinery, though, so Amalaki may well protect against toxin-driven redox failure and inflammation elsewhere. Classed as a Tridoshaghna Rasayana, Amalaki is traditionally held to reach many tissues. Tradition claims scope there; pharmacology has not, and reviews in this area conflate the two more often than they should.</w:t>
      </w:r>
    </w:p>
    <w:p w14:paraId="7D33A325" w14:textId="77777777" w:rsidR="001470E9" w:rsidRPr="001470E9" w:rsidRDefault="001470E9" w:rsidP="000355CC">
      <w:pPr>
        <w:spacing w:line="360" w:lineRule="auto"/>
        <w:jc w:val="both"/>
        <w:rPr>
          <w:b/>
          <w:bCs/>
        </w:rPr>
      </w:pPr>
      <w:proofErr w:type="spellStart"/>
      <w:r w:rsidRPr="001470E9">
        <w:rPr>
          <w:b/>
          <w:bCs/>
        </w:rPr>
        <w:t>Triphala</w:t>
      </w:r>
      <w:proofErr w:type="spellEnd"/>
      <w:r w:rsidRPr="001470E9">
        <w:rPr>
          <w:b/>
          <w:bCs/>
        </w:rPr>
        <w:t xml:space="preserve"> and polyphenolic </w:t>
      </w:r>
      <w:proofErr w:type="spellStart"/>
      <w:r w:rsidRPr="001470E9">
        <w:rPr>
          <w:b/>
          <w:bCs/>
        </w:rPr>
        <w:t>Rasayanas</w:t>
      </w:r>
      <w:proofErr w:type="spellEnd"/>
    </w:p>
    <w:p w14:paraId="3AA28E7C" w14:textId="014B1D0C" w:rsidR="001470E9" w:rsidRDefault="001470E9" w:rsidP="000355CC">
      <w:pPr>
        <w:spacing w:line="36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gramStart"/>
      <w:proofErr w:type="gramEnd"/>
      <w:r>
        <w:rPr/>
        <w:t>Triphala combines three Rasayana fruits (Amalaki, Haritaki and Bibhitaka) and has antioxidant, anti-inflammatory, immunomodulatory and microbiota-modulating activity[44]. Its constituents regulate redox-sensitive transcription. Cognitive models show Triphala improving function through the gut–brain axis, calming neuroinflammation and shifting amyloid-related pathways[45], and its polyphenols engage Nrf2 directly: in sleep-deprived mice Triphala drove Nrf2 into the nucleus and switched on the Nrf2/HO-1 axis, with an Nrf2 inhibitor abolishing the benefit[46]. Seeded with faecal microbiota from obese donors, a human gut model also showed it behaving as a prebiotic, favouring beneficial bacteria, raising short-chain fatty acid output and holding back pathogens. By that route it would dampen inflammation and metabolic toxicity indirectly[47,48]. In a fermentation vessel, at any rate, which is where the experiment was run.</w:t>
      </w:r>
    </w:p>
    <w:p w14:paraId="0940F0BC" w14:textId="77777777" w:rsidR="001470E9" w:rsidRPr="001470E9" w:rsidRDefault="001470E9" w:rsidP="000355CC">
      <w:pPr>
        <w:spacing w:line="360" w:lineRule="auto"/>
        <w:jc w:val="both"/>
        <w:rPr>
          <w:b/>
          <w:bCs/>
        </w:rPr>
      </w:pPr>
      <w:r w:rsidRPr="001470E9">
        <w:rPr>
          <w:b/>
          <w:bCs/>
        </w:rPr>
      </w:r>
      <w:r w:rsidRPr="001470E9">
        <w:rPr>
          <w:b/>
          <w:bCs/>
          <w:i/>
        </w:rPr>
        <w:t xml:space="preserve">Bacopa monnieri</w:t>
      </w:r>
      <w:r w:rsidRPr="001470E9">
        <w:rPr>
          <w:b/>
          <w:bCs/>
        </w:rPr>
        <w:t xml:space="preserve"> and neuro-rejuvenative Rasayanas</w:t>
      </w:r>
      <w:proofErr w:type="spellStart"/>
      <w:proofErr w:type="spellEnd"/>
      <w:proofErr w:type="spellStart"/>
      <w:proofErr w:type="spellEnd"/>
      <w:proofErr w:type="spellStart"/>
      <w:proofErr w:type="spellEnd"/>
    </w:p>
    <w:p w14:paraId="386B754E" w14:textId="0181EE52" w:rsidR="00AC0680" w:rsidRDefault="001470E9" w:rsidP="000355CC">
      <w:pPr>
        <w:spacing w:line="360" w:lineRule="auto"/>
        <w:jc w:val="both"/>
      </w:pPr>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i/>
        </w:rPr>
        <w:t>Bacopa monnieri, one of the Medhya Rasayanas, protects neurons by enhancing synaptic plasticity, increasing dendritic arborisation and adjusting neurotransmitter pathways. Animal models show Bacopa and its principal constituent bacoside A preserving cognitive performance and modulating dopaminergic and other neurotransmitter signalling[49]. Systematic review adds NF‑κB inhibition, reduced neuroinflammation, protection of mitochondria and suppression of apoptosis to that list[14], and in healthy elderly volunteers supplementation shifted NF‑κB and CREB in a favourable direction[50]. Where Dushi Visha presents a neurodegenerative component, Bacopa is the obvious first candidate. Among the five it is also the only one with a human study that measured anything mechanistic[50].</w:t>
      </w:r>
      <w:r>
        <w:rPr/>
      </w:r>
    </w:p>
    <w:p w14:paraId="386B754E" w14:textId="0181EE52" w:rsidR="00AC0680" w:rsidRDefault="001470E9" w:rsidP="000355CC">
      <w:pPr>
        <w:spacing w:line="360" w:lineRule="auto"/>
        <w:jc w:val="both"/>
      </w:pPr>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Across the five botanicals the mechanisms converge: up-regulation of endogenous antioxidants, NF‑κB inhibition, adjustment of apoptotic regulators such as the Bax:Bcl-2 ratio, and synaptic and neurogenic repair within the central nervous system[14]. Table 1 summarises that convergence. No single molecular target explains the effect of any of these herbs; between them they act on oxidative stress, inflammatory signalling, faltering mitochondria, apoptosis, synaptic plasticity and communication between gut and brain. Mechanism is only half the case, however. Ghrita, nanoemulsions and solid lipid nanoparticles may carry these compounds into deep tissues and the central nervous system, and without that the argument for Rasayana as an adjunct in chronic latent toxicity stays theoretical.</w:t>
      </w:r>
    </w:p>
    <w:p w14:paraId="3284EB8D" w14:textId="0D7FF90C" w:rsidR="0046290E" w:rsidRPr="00AC0680" w:rsidRDefault="0046290E" w:rsidP="0046290E">
      <w:pPr>
        <w:spacing w:line="360" w:lineRule="auto"/>
        <w:jc w:val="center"/>
        <w:rPr>
          <w:b/>
          <w:bCs/>
        </w:rPr>
      </w:pPr>
      <w:r w:rsidRPr="00AC0680">
        <w:rPr>
          <w:b/>
          <w:bCs/>
        </w:rPr>
        <w:t xml:space="preserve">Table 1. Key </w:t>
      </w:r>
      <w:proofErr w:type="spellStart"/>
      <w:r w:rsidRPr="00AC0680">
        <w:rPr>
          <w:b/>
          <w:bCs/>
        </w:rPr>
        <w:t>Rasayana</w:t>
      </w:r>
      <w:proofErr w:type="spellEnd"/>
      <w:r w:rsidRPr="00AC0680">
        <w:rPr>
          <w:b/>
          <w:bCs/>
        </w:rPr>
        <w:t xml:space="preserve"> Botanicals and Their Mechanistic Actions Against Latent Toxicity </w:t>
      </w:r>
    </w:p>
    <w:tbl>
      <w:tblPr>
        <w:tblStyle w:val="TableGrid"/>
        <w:tblW w:w="9968" w:type="dxa"/>
        <w:tblLook w:val="04A0" w:firstRow="1" w:lastRow="0" w:firstColumn="1" w:lastColumn="0" w:noHBand="0" w:noVBand="1"/>
      </w:tblPr>
      <w:tblGrid>
        <w:gridCol w:w="1646"/>
        <w:gridCol w:w="1675"/>
        <w:gridCol w:w="2061"/>
        <w:gridCol w:w="2364"/>
        <w:gridCol w:w="2222"/>
      </w:tblGrid>
      <w:tr w:rsidR="0046290E" w:rsidRPr="0046290E" w14:paraId="462615A1" w14:textId="77777777" w:rsidTr="0046290E">
        <w:trPr>
          <w:trHeight w:val="1444"/>
        </w:trPr>
        <w:tc>
          <w:tcPr>
            <w:tcW w:w="1646" w:type="dxa"/>
            <w:hideMark/>
          </w:tcPr>
          <w:p w14:paraId="5967DCBA" w14:textId="77777777" w:rsidR="0046290E" w:rsidRPr="0046290E" w:rsidRDefault="0046290E" w:rsidP="0046290E">
            <w:pPr>
              <w:spacing w:after="200" w:line="360" w:lineRule="auto"/>
              <w:jc w:val="both"/>
              <w:rPr>
                <w:b/>
                <w:bCs/>
                <w:lang w:val="en-IN"/>
              </w:rPr>
            </w:pPr>
            <w:proofErr w:type="spellStart"/>
            <w:r w:rsidRPr="0046290E">
              <w:rPr>
                <w:b/>
                <w:bCs/>
                <w:lang w:val="en-IN"/>
              </w:rPr>
              <w:t>Rasayana</w:t>
            </w:r>
            <w:proofErr w:type="spellEnd"/>
            <w:r w:rsidRPr="0046290E">
              <w:rPr>
                <w:b/>
                <w:bCs/>
                <w:lang w:val="en-IN"/>
              </w:rPr>
              <w:t xml:space="preserve"> Herb</w:t>
            </w:r>
          </w:p>
        </w:tc>
        <w:tc>
          <w:tcPr>
            <w:tcW w:w="1675" w:type="dxa"/>
            <w:hideMark/>
          </w:tcPr>
          <w:p w14:paraId="008BA63D" w14:textId="77777777" w:rsidR="0046290E" w:rsidRPr="0046290E" w:rsidRDefault="0046290E" w:rsidP="0046290E">
            <w:pPr>
              <w:spacing w:after="200" w:line="360" w:lineRule="auto"/>
              <w:jc w:val="both"/>
              <w:rPr>
                <w:b/>
                <w:bCs/>
                <w:lang w:val="en-IN"/>
              </w:rPr>
            </w:pPr>
            <w:r w:rsidRPr="0046290E">
              <w:rPr>
                <w:b/>
                <w:bCs/>
                <w:lang w:val="en-IN"/>
              </w:rPr>
              <w:t>Major Bioactive Constituents</w:t>
            </w:r>
          </w:p>
        </w:tc>
        <w:tc>
          <w:tcPr>
            <w:tcW w:w="2061" w:type="dxa"/>
            <w:hideMark/>
          </w:tcPr>
          <w:p w14:paraId="08751D66" w14:textId="77777777" w:rsidR="0046290E" w:rsidRPr="0046290E" w:rsidRDefault="0046290E" w:rsidP="0046290E">
            <w:pPr>
              <w:spacing w:after="200" w:line="360" w:lineRule="auto"/>
              <w:jc w:val="both"/>
              <w:rPr>
                <w:b/>
                <w:bCs/>
                <w:lang w:val="en-IN"/>
              </w:rPr>
            </w:pPr>
            <w:r w:rsidRPr="0046290E">
              <w:rPr>
                <w:b/>
                <w:bCs/>
                <w:lang w:val="en-IN"/>
              </w:rPr>
              <w:t>Key Molecular Targets/Pathways</w:t>
            </w:r>
          </w:p>
        </w:tc>
        <w:tc>
          <w:tcPr>
            <w:tcW w:w="2364" w:type="dxa"/>
            <w:hideMark/>
          </w:tcPr>
          <w:p w14:paraId="0FF57E1E" w14:textId="77777777" w:rsidR="0046290E" w:rsidRPr="0046290E" w:rsidRDefault="0046290E" w:rsidP="0046290E">
            <w:pPr>
              <w:spacing w:after="200" w:line="360" w:lineRule="auto"/>
              <w:jc w:val="both"/>
              <w:rPr>
                <w:b/>
                <w:bCs/>
                <w:lang w:val="en-IN"/>
              </w:rPr>
            </w:pPr>
            <w:r w:rsidRPr="0046290E">
              <w:rPr>
                <w:b/>
                <w:bCs/>
                <w:lang w:val="en-IN"/>
              </w:rPr>
              <w:t>Pharmacological Actions Relevant to Dushi Visha</w:t>
            </w:r>
          </w:p>
        </w:tc>
        <w:tc>
          <w:tcPr>
            <w:tcW w:w="0" w:type="auto"/>
            <w:hideMark/>
          </w:tcPr>
          <w:p w14:paraId="57F3FC62" w14:textId="77777777" w:rsidR="0046290E" w:rsidRPr="0046290E" w:rsidRDefault="0046290E" w:rsidP="0046290E">
            <w:pPr>
              <w:spacing w:after="200" w:line="360" w:lineRule="auto"/>
              <w:jc w:val="both"/>
              <w:rPr>
                <w:b/>
                <w:bCs/>
                <w:lang w:val="en-IN"/>
              </w:rPr>
            </w:pPr>
            <w:r w:rsidRPr="0046290E">
              <w:rPr>
                <w:b/>
                <w:bCs/>
                <w:lang w:val="en-IN"/>
              </w:rPr>
              <w:t>Therapeutic Relevance</w:t>
            </w:r>
          </w:p>
        </w:tc>
      </w:tr>
      <w:tr w:rsidR="0046290E" w:rsidRPr="0046290E" w14:paraId="362F8F16" w14:textId="77777777" w:rsidTr="0046290E">
        <w:trPr>
          <w:trHeight w:val="2276"/>
        </w:trPr>
        <w:tc>
          <w:tcPr>
            <w:tcW w:w="1646" w:type="dxa"/>
            <w:hideMark/>
          </w:tcPr>
          <w:p w14:paraId="3E18915D" w14:textId="77777777" w:rsidR="0046290E" w:rsidRPr="0046290E" w:rsidRDefault="0046290E" w:rsidP="0046290E">
            <w:pPr>
              <w:spacing w:after="200" w:line="360" w:lineRule="auto"/>
              <w:rPr>
                <w:lang w:val="en-IN"/>
              </w:rPr>
            </w:pPr>
            <w:r w:rsidRPr="0046290E">
              <w:rPr>
                <w:lang w:val="en-IN"/>
              </w:rPr>
              <w:t xml:space="preserve">Ashwagandha [12,33,36]</w:t>
            </w:r>
          </w:p>
        </w:tc>
        <w:tc>
          <w:tcPr>
            <w:tcW w:w="1675" w:type="dxa"/>
            <w:hideMark/>
          </w:tcPr>
          <w:p w14:paraId="4F8D6863" w14:textId="77777777" w:rsidR="0046290E" w:rsidRPr="0046290E" w:rsidRDefault="0046290E" w:rsidP="0046290E">
            <w:pPr>
              <w:spacing w:after="200" w:line="360" w:lineRule="auto"/>
              <w:rPr>
                <w:lang w:val="en-IN"/>
              </w:rPr>
            </w:pPr>
            <w:proofErr w:type="spellStart"/>
            <w:r w:rsidRPr="0046290E">
              <w:rPr>
                <w:lang w:val="en-IN"/>
              </w:rPr>
              <w:t>Withanolides</w:t>
            </w:r>
            <w:proofErr w:type="spellEnd"/>
          </w:p>
        </w:tc>
        <w:tc>
          <w:tcPr>
            <w:tcW w:w="2061" w:type="dxa"/>
            <w:hideMark/>
          </w:tcPr>
          <w:p w14:paraId="7EEA825E" w14:textId="77777777" w:rsidR="0046290E" w:rsidRPr="0046290E" w:rsidRDefault="0046290E" w:rsidP="0046290E">
            <w:pPr>
              <w:spacing w:after="200" w:line="360" w:lineRule="auto"/>
              <w:rPr>
                <w:lang w:val="en-IN"/>
              </w:rPr>
            </w:pPr>
            <w:r w:rsidRPr="0046290E">
              <w:rPr>
                <w:lang w:val="en-IN"/>
              </w:rPr>
              <w:t>Nrf2, NF-</w:t>
            </w:r>
            <w:proofErr w:type="spellStart"/>
            <w:r w:rsidRPr="0046290E">
              <w:rPr>
                <w:lang w:val="en-IN"/>
              </w:rPr>
              <w:t>κB</w:t>
            </w:r>
            <w:proofErr w:type="spellEnd"/>
            <w:r w:rsidRPr="0046290E">
              <w:rPr>
                <w:lang w:val="en-IN"/>
              </w:rPr>
              <w:t>, Bax/Bcl-2, mitochondrial pathways</w:t>
            </w:r>
          </w:p>
        </w:tc>
        <w:tc>
          <w:tcPr>
            <w:tcW w:w="2364" w:type="dxa"/>
            <w:hideMark/>
          </w:tcPr>
          <w:p w14:paraId="05983947" w14:textId="77777777" w:rsidR="0046290E" w:rsidRPr="0046290E" w:rsidRDefault="0046290E" w:rsidP="0046290E">
            <w:pPr>
              <w:spacing w:after="200" w:line="360" w:lineRule="auto"/>
              <w:rPr>
                <w:lang w:val="en-IN"/>
              </w:rPr>
            </w:pPr>
            <w:r w:rsidRPr="0046290E">
              <w:rPr>
                <w:lang w:val="en-IN"/>
              </w:rPr>
              <w:t>Antioxidant, anti-inflammatory, anti-apoptotic, neuroprotective</w:t>
            </w:r>
          </w:p>
        </w:tc>
        <w:tc>
          <w:tcPr>
            <w:tcW w:w="0" w:type="auto"/>
            <w:hideMark/>
          </w:tcPr>
          <w:p w14:paraId="3BDA0646" w14:textId="77777777" w:rsidR="0046290E" w:rsidRPr="0046290E" w:rsidRDefault="0046290E" w:rsidP="0046290E">
            <w:pPr>
              <w:spacing w:after="200" w:line="360" w:lineRule="auto"/>
              <w:rPr>
                <w:lang w:val="en-IN"/>
              </w:rPr>
            </w:pPr>
            <w:r w:rsidRPr="0046290E">
              <w:rPr>
                <w:lang w:val="en-IN"/>
              </w:rPr>
              <w:t>Reduces oxidative stress, restores mitochondrial integrity, protects neurons</w:t>
            </w:r>
          </w:p>
        </w:tc>
      </w:tr>
      <w:tr w:rsidR="0046290E" w:rsidRPr="0046290E" w14:paraId="47367038" w14:textId="77777777" w:rsidTr="0046290E">
        <w:trPr>
          <w:trHeight w:val="2276"/>
        </w:trPr>
        <w:tc>
          <w:tcPr>
            <w:tcW w:w="1646" w:type="dxa"/>
            <w:hideMark/>
          </w:tcPr>
          <w:p w14:paraId="599108CC" w14:textId="77777777" w:rsidR="0046290E" w:rsidRPr="0046290E" w:rsidRDefault="0046290E" w:rsidP="0046290E">
            <w:pPr>
              <w:spacing w:after="200" w:line="360" w:lineRule="auto"/>
              <w:rPr>
                <w:lang w:val="en-IN"/>
              </w:rPr>
            </w:pPr>
            <w:proofErr w:type="spellStart"/>
            <w:r w:rsidRPr="0046290E">
              <w:rPr>
                <w:lang w:val="en-IN"/>
              </w:rPr>
              <w:t xml:space="preserve">Guduchi [13,38]</w:t>
            </w:r>
            <w:proofErr w:type="spellEnd"/>
          </w:p>
        </w:tc>
        <w:tc>
          <w:tcPr>
            <w:tcW w:w="1675" w:type="dxa"/>
            <w:hideMark/>
          </w:tcPr>
          <w:p w14:paraId="2C0B50BA" w14:textId="77777777" w:rsidR="0046290E" w:rsidRPr="0046290E" w:rsidRDefault="0046290E" w:rsidP="0046290E">
            <w:pPr>
              <w:spacing w:after="200" w:line="360" w:lineRule="auto"/>
              <w:rPr>
                <w:lang w:val="en-IN"/>
              </w:rPr>
            </w:pPr>
            <w:proofErr w:type="spellStart"/>
            <w:r w:rsidRPr="0046290E">
              <w:rPr>
                <w:lang w:val="en-IN"/>
              </w:rPr>
              <w:t>Cordifolioside</w:t>
            </w:r>
            <w:proofErr w:type="spellEnd"/>
            <w:r w:rsidRPr="0046290E">
              <w:rPr>
                <w:lang w:val="en-IN"/>
              </w:rPr>
              <w:t xml:space="preserve"> A, </w:t>
            </w:r>
            <w:proofErr w:type="spellStart"/>
            <w:r w:rsidRPr="0046290E">
              <w:rPr>
                <w:lang w:val="en-IN"/>
              </w:rPr>
              <w:t>Magnoflorine</w:t>
            </w:r>
            <w:proofErr w:type="spellEnd"/>
            <w:r w:rsidRPr="0046290E">
              <w:rPr>
                <w:lang w:val="en-IN"/>
              </w:rPr>
              <w:t xml:space="preserve">, </w:t>
            </w:r>
            <w:proofErr w:type="spellStart"/>
            <w:r w:rsidRPr="0046290E">
              <w:rPr>
                <w:lang w:val="en-IN"/>
              </w:rPr>
              <w:t>Tinocordiside</w:t>
            </w:r>
            <w:proofErr w:type="spellEnd"/>
          </w:p>
        </w:tc>
        <w:tc>
          <w:tcPr>
            <w:tcW w:w="2061" w:type="dxa"/>
            <w:hideMark/>
          </w:tcPr>
          <w:p w14:paraId="4924C883" w14:textId="77777777" w:rsidR="0046290E" w:rsidRPr="0046290E" w:rsidRDefault="0046290E" w:rsidP="0046290E">
            <w:pPr>
              <w:spacing w:after="200" w:line="360" w:lineRule="auto"/>
              <w:rPr>
                <w:lang w:val="en-IN"/>
              </w:rPr>
            </w:pPr>
            <w:r w:rsidRPr="0046290E">
              <w:rPr>
                <w:lang w:val="en-IN"/>
              </w:rPr>
              <w:t>Nrf2, NF-</w:t>
            </w:r>
            <w:proofErr w:type="spellStart"/>
            <w:r w:rsidRPr="0046290E">
              <w:rPr>
                <w:lang w:val="en-IN"/>
              </w:rPr>
              <w:t>κB</w:t>
            </w:r>
            <w:proofErr w:type="spellEnd"/>
            <w:r w:rsidRPr="0046290E">
              <w:rPr>
                <w:lang w:val="en-IN"/>
              </w:rPr>
              <w:t>, immune signalling pathways</w:t>
            </w:r>
          </w:p>
        </w:tc>
        <w:tc>
          <w:tcPr>
            <w:tcW w:w="2364" w:type="dxa"/>
            <w:hideMark/>
          </w:tcPr>
          <w:p w14:paraId="232D145F" w14:textId="77777777" w:rsidR="0046290E" w:rsidRPr="0046290E" w:rsidRDefault="0046290E" w:rsidP="0046290E">
            <w:pPr>
              <w:spacing w:after="200" w:line="360" w:lineRule="auto"/>
              <w:rPr>
                <w:lang w:val="en-IN"/>
              </w:rPr>
            </w:pPr>
            <w:r w:rsidRPr="0046290E">
              <w:rPr>
                <w:lang w:val="en-IN"/>
              </w:rPr>
              <w:t>Immunomodulatory, hepatoprotective, ROS regulation</w:t>
            </w:r>
          </w:p>
        </w:tc>
        <w:tc>
          <w:tcPr>
            <w:tcW w:w="0" w:type="auto"/>
            <w:hideMark/>
          </w:tcPr>
          <w:p w14:paraId="13733EA1" w14:textId="77777777" w:rsidR="0046290E" w:rsidRPr="0046290E" w:rsidRDefault="0046290E" w:rsidP="0046290E">
            <w:pPr>
              <w:spacing w:after="200" w:line="360" w:lineRule="auto"/>
              <w:rPr>
                <w:lang w:val="en-IN"/>
              </w:rPr>
            </w:pPr>
            <w:r w:rsidRPr="0046290E">
              <w:rPr>
                <w:lang w:val="en-IN"/>
              </w:rPr>
              <w:t>Supports detoxification, immune restoration, hepatic resilience</w:t>
            </w:r>
          </w:p>
        </w:tc>
      </w:tr>
      <w:tr w:rsidR="0046290E" w:rsidRPr="0046290E" w14:paraId="25A06F3E" w14:textId="77777777" w:rsidTr="0046290E">
        <w:trPr>
          <w:trHeight w:val="2276"/>
        </w:trPr>
        <w:tc>
          <w:tcPr>
            <w:tcW w:w="1646" w:type="dxa"/>
            <w:hideMark/>
          </w:tcPr>
          <w:p w14:paraId="0E7BE3FF" w14:textId="77777777" w:rsidR="0046290E" w:rsidRPr="0046290E" w:rsidRDefault="0046290E" w:rsidP="0046290E">
            <w:pPr>
              <w:spacing w:after="200" w:line="360" w:lineRule="auto"/>
              <w:rPr>
                <w:lang w:val="en-IN"/>
              </w:rPr>
            </w:pPr>
            <w:proofErr w:type="spellStart"/>
            <w:r w:rsidRPr="0046290E">
              <w:rPr>
                <w:lang w:val="en-IN"/>
              </w:rPr>
              <w:lastRenderedPageBreak/>
              <w:t xml:space="preserve">Amalaki [40,42]</w:t>
            </w:r>
            <w:proofErr w:type="spellEnd"/>
          </w:p>
        </w:tc>
        <w:tc>
          <w:tcPr>
            <w:tcW w:w="1675" w:type="dxa"/>
            <w:hideMark/>
          </w:tcPr>
          <w:p w14:paraId="41E66456" w14:textId="77777777" w:rsidR="0046290E" w:rsidRPr="0046290E" w:rsidRDefault="0046290E" w:rsidP="0046290E">
            <w:pPr>
              <w:spacing w:after="200" w:line="360" w:lineRule="auto"/>
              <w:rPr>
                <w:lang w:val="en-IN"/>
              </w:rPr>
            </w:pPr>
            <w:r w:rsidRPr="0046290E">
              <w:rPr>
                <w:lang w:val="en-IN"/>
              </w:rPr>
              <w:t>Emblicanin A &amp; B, Vitamin C, Polyphenols</w:t>
            </w:r>
          </w:p>
        </w:tc>
        <w:tc>
          <w:tcPr>
            <w:tcW w:w="2061" w:type="dxa"/>
            <w:hideMark/>
          </w:tcPr>
          <w:p w14:paraId="3EA401A5" w14:textId="77777777" w:rsidR="0046290E" w:rsidRPr="0046290E" w:rsidRDefault="0046290E" w:rsidP="0046290E">
            <w:pPr>
              <w:spacing w:after="200" w:line="360" w:lineRule="auto"/>
              <w:rPr>
                <w:lang w:val="en-IN"/>
              </w:rPr>
            </w:pPr>
            <w:r w:rsidRPr="0046290E">
              <w:rPr>
                <w:lang w:val="en-IN"/>
              </w:rPr>
              <w:t>AP-1, NF-</w:t>
            </w:r>
            <w:proofErr w:type="spellStart"/>
            <w:r w:rsidRPr="0046290E">
              <w:rPr>
                <w:lang w:val="en-IN"/>
              </w:rPr>
              <w:t>κB</w:t>
            </w:r>
            <w:proofErr w:type="spellEnd"/>
            <w:r w:rsidRPr="0046290E">
              <w:rPr>
                <w:lang w:val="en-IN"/>
              </w:rPr>
              <w:t>, antioxidant enzymes</w:t>
            </w:r>
          </w:p>
        </w:tc>
        <w:tc>
          <w:tcPr>
            <w:tcW w:w="2364" w:type="dxa"/>
            <w:hideMark/>
          </w:tcPr>
          <w:p w14:paraId="34DFFEF1" w14:textId="77777777" w:rsidR="0046290E" w:rsidRPr="0046290E" w:rsidRDefault="0046290E" w:rsidP="0046290E">
            <w:pPr>
              <w:spacing w:after="200" w:line="360" w:lineRule="auto"/>
              <w:rPr>
                <w:lang w:val="en-IN"/>
              </w:rPr>
            </w:pPr>
            <w:r w:rsidRPr="0046290E">
              <w:rPr>
                <w:lang w:val="en-IN"/>
              </w:rPr>
              <w:t>Cytoprotective, anti-inflammatory, anti-aging</w:t>
            </w:r>
          </w:p>
        </w:tc>
        <w:tc>
          <w:tcPr>
            <w:tcW w:w="0" w:type="auto"/>
            <w:hideMark/>
          </w:tcPr>
          <w:p w14:paraId="104441E4" w14:textId="77777777" w:rsidR="0046290E" w:rsidRPr="0046290E" w:rsidRDefault="0046290E" w:rsidP="0046290E">
            <w:pPr>
              <w:spacing w:after="200" w:line="360" w:lineRule="auto"/>
              <w:rPr>
                <w:lang w:val="en-IN"/>
              </w:rPr>
            </w:pPr>
            <w:r w:rsidRPr="0046290E">
              <w:rPr>
                <w:lang w:val="en-IN"/>
              </w:rPr>
              <w:t>Restores redox balance and reduces inflammatory tissue injury</w:t>
            </w:r>
          </w:p>
        </w:tc>
      </w:tr>
      <w:tr w:rsidR="0046290E" w:rsidRPr="0046290E" w14:paraId="0C279A00" w14:textId="77777777" w:rsidTr="0046290E">
        <w:trPr>
          <w:trHeight w:val="2276"/>
        </w:trPr>
        <w:tc>
          <w:tcPr>
            <w:tcW w:w="1646" w:type="dxa"/>
            <w:hideMark/>
          </w:tcPr>
          <w:p w14:paraId="16D865D5" w14:textId="77777777" w:rsidR="0046290E" w:rsidRPr="0046290E" w:rsidRDefault="0046290E" w:rsidP="0046290E">
            <w:pPr>
              <w:spacing w:after="200" w:line="360" w:lineRule="auto"/>
              <w:rPr>
                <w:lang w:val="en-IN"/>
              </w:rPr>
            </w:pPr>
            <w:proofErr w:type="spellStart"/>
            <w:r w:rsidRPr="0046290E">
              <w:rPr>
                <w:lang w:val="en-IN"/>
              </w:rPr>
              <w:t xml:space="preserve">Triphala [44–46]</w:t>
            </w:r>
            <w:proofErr w:type="spellEnd"/>
          </w:p>
        </w:tc>
        <w:tc>
          <w:tcPr>
            <w:tcW w:w="1675" w:type="dxa"/>
            <w:hideMark/>
          </w:tcPr>
          <w:p w14:paraId="06C75AB9" w14:textId="77777777" w:rsidR="0046290E" w:rsidRPr="0046290E" w:rsidRDefault="0046290E" w:rsidP="0046290E">
            <w:pPr>
              <w:spacing w:after="200" w:line="360" w:lineRule="auto"/>
              <w:rPr>
                <w:lang w:val="en-IN"/>
              </w:rPr>
            </w:pPr>
            <w:r w:rsidRPr="0046290E">
              <w:rPr>
                <w:lang w:val="en-IN"/>
              </w:rPr>
              <w:t>Gallic acid, Ellagic acid, Tannins</w:t>
            </w:r>
          </w:p>
        </w:tc>
        <w:tc>
          <w:tcPr>
            <w:tcW w:w="2061" w:type="dxa"/>
            <w:hideMark/>
          </w:tcPr>
          <w:p w14:paraId="28F0237B" w14:textId="77777777" w:rsidR="0046290E" w:rsidRPr="0046290E" w:rsidRDefault="0046290E" w:rsidP="0046290E">
            <w:pPr>
              <w:spacing w:after="200" w:line="360" w:lineRule="auto"/>
              <w:rPr>
                <w:lang w:val="en-IN"/>
              </w:rPr>
            </w:pPr>
            <w:r w:rsidRPr="0046290E">
              <w:rPr>
                <w:lang w:val="en-IN"/>
              </w:rPr>
              <w:t>Gut–brain axis, Nrf2, NF-</w:t>
            </w:r>
            <w:proofErr w:type="spellStart"/>
            <w:r w:rsidRPr="0046290E">
              <w:rPr>
                <w:lang w:val="en-IN"/>
              </w:rPr>
              <w:t>κB</w:t>
            </w:r>
            <w:proofErr w:type="spellEnd"/>
          </w:p>
        </w:tc>
        <w:tc>
          <w:tcPr>
            <w:tcW w:w="2364" w:type="dxa"/>
            <w:hideMark/>
          </w:tcPr>
          <w:p w14:paraId="1F8DE8F9" w14:textId="77777777" w:rsidR="0046290E" w:rsidRPr="0046290E" w:rsidRDefault="0046290E" w:rsidP="0046290E">
            <w:pPr>
              <w:spacing w:after="200" w:line="360" w:lineRule="auto"/>
              <w:rPr>
                <w:lang w:val="en-IN"/>
              </w:rPr>
            </w:pPr>
            <w:r w:rsidRPr="0046290E">
              <w:rPr>
                <w:lang w:val="en-IN"/>
              </w:rPr>
              <w:t>Prebiotic, antioxidant, microbiome modulation</w:t>
            </w:r>
          </w:p>
        </w:tc>
        <w:tc>
          <w:tcPr>
            <w:tcW w:w="0" w:type="auto"/>
            <w:hideMark/>
          </w:tcPr>
          <w:p w14:paraId="222F5048" w14:textId="77777777" w:rsidR="0046290E" w:rsidRPr="0046290E" w:rsidRDefault="0046290E" w:rsidP="0046290E">
            <w:pPr>
              <w:spacing w:after="200" w:line="360" w:lineRule="auto"/>
              <w:rPr>
                <w:lang w:val="en-IN"/>
              </w:rPr>
            </w:pPr>
            <w:r w:rsidRPr="0046290E">
              <w:rPr>
                <w:lang w:val="en-IN"/>
              </w:rPr>
              <w:t>Improves gut integrity, neuroinflammation, and metabolic toxicity</w:t>
            </w:r>
          </w:p>
        </w:tc>
      </w:tr>
      <w:tr w:rsidR="0046290E" w:rsidRPr="0046290E" w14:paraId="6E96A063" w14:textId="77777777" w:rsidTr="0046290E">
        <w:trPr>
          <w:trHeight w:val="2276"/>
        </w:trPr>
        <w:tc>
          <w:tcPr>
            <w:tcW w:w="1646" w:type="dxa"/>
            <w:hideMark/>
          </w:tcPr>
          <w:p w14:paraId="664B9C2F" w14:textId="77777777" w:rsidR="0046290E" w:rsidRPr="0046290E" w:rsidRDefault="0046290E" w:rsidP="0046290E">
            <w:pPr>
              <w:spacing w:after="200" w:line="360" w:lineRule="auto"/>
              <w:rPr>
                <w:lang w:val="en-IN"/>
              </w:rPr>
            </w:pPr>
            <w:r w:rsidRPr="0046290E">
              <w:rPr>
                <w:lang w:val="en-IN"/>
              </w:rPr>
              <w:t xml:space="preserve">Brahmi [14,50]</w:t>
            </w:r>
          </w:p>
        </w:tc>
        <w:tc>
          <w:tcPr>
            <w:tcW w:w="1675" w:type="dxa"/>
            <w:hideMark/>
          </w:tcPr>
          <w:p w14:paraId="7DB39B06" w14:textId="77777777" w:rsidR="0046290E" w:rsidRPr="0046290E" w:rsidRDefault="0046290E" w:rsidP="0046290E">
            <w:pPr>
              <w:spacing w:after="200" w:line="360" w:lineRule="auto"/>
              <w:rPr>
                <w:lang w:val="en-IN"/>
              </w:rPr>
            </w:pPr>
            <w:r w:rsidRPr="0046290E">
              <w:rPr>
                <w:lang w:val="en-IN"/>
              </w:rPr>
              <w:t>Bacosides</w:t>
            </w:r>
          </w:p>
        </w:tc>
        <w:tc>
          <w:tcPr>
            <w:tcW w:w="2061" w:type="dxa"/>
            <w:hideMark/>
          </w:tcPr>
          <w:p w14:paraId="6E4F4138" w14:textId="77777777" w:rsidR="0046290E" w:rsidRPr="0046290E" w:rsidRDefault="0046290E" w:rsidP="0046290E">
            <w:pPr>
              <w:spacing w:after="200" w:line="360" w:lineRule="auto"/>
              <w:rPr>
                <w:lang w:val="en-IN"/>
              </w:rPr>
            </w:pPr>
            <w:r w:rsidRPr="0046290E">
              <w:rPr>
                <w:lang w:val="en-IN"/>
              </w:rPr>
              <w:t>CREB, NF-</w:t>
            </w:r>
            <w:proofErr w:type="spellStart"/>
            <w:r w:rsidRPr="0046290E">
              <w:rPr>
                <w:lang w:val="en-IN"/>
              </w:rPr>
              <w:t>κB</w:t>
            </w:r>
            <w:proofErr w:type="spellEnd"/>
            <w:r w:rsidRPr="0046290E">
              <w:rPr>
                <w:lang w:val="en-IN"/>
              </w:rPr>
              <w:t>, synaptic signalling</w:t>
            </w:r>
          </w:p>
        </w:tc>
        <w:tc>
          <w:tcPr>
            <w:tcW w:w="2364" w:type="dxa"/>
            <w:hideMark/>
          </w:tcPr>
          <w:p w14:paraId="7185EDEA" w14:textId="77777777" w:rsidR="0046290E" w:rsidRPr="0046290E" w:rsidRDefault="0046290E" w:rsidP="0046290E">
            <w:pPr>
              <w:spacing w:after="200" w:line="360" w:lineRule="auto"/>
              <w:rPr>
                <w:lang w:val="en-IN"/>
              </w:rPr>
            </w:pPr>
            <w:r w:rsidRPr="0046290E">
              <w:rPr>
                <w:lang w:val="en-IN"/>
              </w:rPr>
              <w:t>Neuroprotective, cognition-enhancing, synaptic repair</w:t>
            </w:r>
          </w:p>
        </w:tc>
        <w:tc>
          <w:tcPr>
            <w:tcW w:w="0" w:type="auto"/>
            <w:hideMark/>
          </w:tcPr>
          <w:p w14:paraId="3A050B7D" w14:textId="77777777" w:rsidR="0046290E" w:rsidRPr="0046290E" w:rsidRDefault="0046290E" w:rsidP="0046290E">
            <w:pPr>
              <w:spacing w:after="200" w:line="360" w:lineRule="auto"/>
              <w:rPr>
                <w:lang w:val="en-IN"/>
              </w:rPr>
            </w:pPr>
            <w:r w:rsidRPr="0046290E">
              <w:rPr>
                <w:lang w:val="en-IN"/>
              </w:rPr>
              <w:t>Counteracts toxin-induced neurodegeneration and cognitive decline</w:t>
            </w:r>
          </w:p>
        </w:tc>
      </w:tr>
    </w:tbl>
    <w:p w14:paraId="41C3B545" w14:textId="77777777" w:rsidR="0046290E" w:rsidRDefault="0046290E" w:rsidP="000355CC">
      <w:pPr>
        <w:spacing w:line="360" w:lineRule="auto"/>
        <w:jc w:val="both"/>
      </w:pPr>
    </w:p>
    <w:p w14:paraId="042C657E" w14:textId="77777777" w:rsidR="001470E9" w:rsidRPr="001470E9" w:rsidRDefault="001470E9" w:rsidP="000355CC">
      <w:pPr>
        <w:spacing w:line="360" w:lineRule="auto"/>
        <w:jc w:val="both"/>
        <w:rPr>
          <w:b/>
          <w:bCs/>
        </w:rPr>
      </w:pPr>
      <w:r w:rsidRPr="001470E9">
        <w:rPr>
          <w:b/>
          <w:bCs/>
        </w:rPr>
        <w:t>Systemic detoxification and the gut–brain axis</w:t>
      </w:r>
    </w:p>
    <w:p w14:paraId="363E52C3" w14:textId="77777777" w:rsidR="001470E9" w:rsidRPr="001470E9" w:rsidRDefault="001470E9" w:rsidP="000355CC">
      <w:pPr>
        <w:spacing w:line="360" w:lineRule="auto"/>
        <w:jc w:val="both"/>
        <w:rPr>
          <w:b/>
          <w:bCs/>
        </w:rPr>
      </w:pPr>
      <w:proofErr w:type="spellStart"/>
      <w:r w:rsidRPr="001470E9">
        <w:rPr>
          <w:b/>
          <w:bCs/>
        </w:rPr>
        <w:t>Rasayana</w:t>
      </w:r>
      <w:proofErr w:type="spellEnd"/>
      <w:r w:rsidRPr="001470E9">
        <w:rPr>
          <w:b/>
          <w:bCs/>
        </w:rPr>
        <w:t xml:space="preserve"> herbs as prebiotics and microbiota modulators</w:t>
      </w:r>
    </w:p>
    <w:p w14:paraId="3090B2DB" w14:textId="7B90A9F3" w:rsidR="001470E9" w:rsidRPr="001470E9" w:rsidRDefault="001470E9" w:rsidP="000355CC">
      <w:pPr>
        <w:spacing w:line="360" w:lineRule="auto"/>
        <w:jc w:val="both"/>
      </w:pPr>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gramStart"/>
      <w:proofErr w:type="gramEnd"/>
      <w:r>
        <w:rPr/>
        <w:t>Chronic toxin exposure disturbs systemic inflammation, metabolic homeostasis and cognition alike, and the gut microbiota regulates all three. In gut-model and obesity studies Triphala encourages health-promoting bacteria (butyrate producers among them) while suppressing pathogenic species; that prebiotic effect could help in Dushi Visha indirectly, by helping the body clear toxins, tightening the epithelial barrier and steadying the immune response[44,47,48]. Whether the same shift happens in toxin-exposed people is unknown. Amalaki, Chyavanaprasha and other polyphenol-rich Rasayanas may behave the same way in the gut, for the same polyphenolic reasons, and the experiment that would settle it is straightforward enough. It has not been done.</w:t>
      </w:r>
    </w:p>
    <w:p w14:paraId="56D4B469" w14:textId="3E00577B" w:rsidR="000E4624" w:rsidRPr="00772007" w:rsidRDefault="00490318"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lastRenderedPageBreak/>
        <w:t>Microbial metabolites, barrier function, and Dushi Visha</w:t>
      </w:r>
    </w:p>
    <w:p w14:paraId="2FC30BE6" w14:textId="4E75BEC0" w:rsidR="000E4624" w:rsidRPr="00AC0680" w:rsidRDefault="00490318" w:rsidP="000355CC">
      <w:pPr>
        <w:spacing w:after="0" w:line="360" w:lineRule="auto"/>
        <w:jc w:val="both"/>
        <w:rPr>
          <w:rFonts w:cs="Times New Roman"/>
          <w:szCs w:val="24"/>
        </w:rPr>
      </w:pPr>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gramStart"/>
      <w:proofErr w:type="spellEnd"/>
      <w:proofErr w:type="gramEnd"/>
      <w:r>
        <w:rPr>
          <w:rFonts w:eastAsia="Times New Roman" w:cs="Times New Roman"/>
          <w:szCs w:val="24"/>
        </w:rPr>
        <w:t>Butyrate and propionate (the main short-chain fatty acids made by gut bacteria) keep the intestinal epithelium intact, temper systemic inflammation and influence blood–brain barrier permeability. Enrich the taxa that produce them and, in principle, both barriers tighten. That would limit further entry of environmental toxins and endotoxins, slowing the spread of Dushi Visha-like pathology[51,52]. One concrete precedent exists. In neurodegenerative models Triphala improved cognition by restoring the gut–brain axis: it reshaped the microbiota, calmed neuroinflammation and normalised amyloid-related pathways[45]. Equivalent work in environmental neurotoxicity remains undone. Barrier failure and systemic inflammation sit at the centre of latent Dushi Visha too, so the logic carries over. Logic is not data.</w:t>
      </w:r>
    </w:p>
    <w:p w14:paraId="25905943" w14:textId="77777777" w:rsidR="00772007" w:rsidRPr="00772007" w:rsidRDefault="00772007" w:rsidP="000355CC">
      <w:pPr>
        <w:spacing w:after="0" w:line="360" w:lineRule="auto"/>
        <w:jc w:val="both"/>
        <w:rPr>
          <w:rFonts w:cs="Times New Roman"/>
          <w:szCs w:val="24"/>
        </w:rPr>
      </w:pPr>
    </w:p>
    <w:p w14:paraId="4BFA5167" w14:textId="5D11CC22" w:rsidR="00772007" w:rsidRPr="00772007" w:rsidRDefault="00490318" w:rsidP="000355CC">
      <w:pPr>
        <w:pStyle w:val="Heading1"/>
        <w:spacing w:before="0" w:line="360" w:lineRule="auto"/>
        <w:jc w:val="both"/>
        <w:rPr>
          <w:rFonts w:ascii="Times New Roman" w:hAnsi="Times New Roman" w:cs="Times New Roman"/>
          <w:sz w:val="24"/>
          <w:szCs w:val="24"/>
        </w:rPr>
      </w:pPr>
      <w:r w:rsidRPr="00772007">
        <w:rPr>
          <w:rFonts w:ascii="Times New Roman" w:hAnsi="Times New Roman" w:cs="Times New Roman"/>
          <w:color w:val="auto"/>
          <w:sz w:val="24"/>
          <w:szCs w:val="24"/>
        </w:rPr>
        <w:t>Delivery: why so little reaches the brain, and what Ghrita was already doing</w:t>
      </w:r>
    </w:p>
    <w:p w14:paraId="5FAA77AE" w14:textId="36A5FBE6" w:rsidR="000E4624" w:rsidRPr="00772007" w:rsidRDefault="00490318"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 xml:space="preserve">Classical </w:t>
      </w:r>
      <w:proofErr w:type="spellStart"/>
      <w:r w:rsidRPr="00772007">
        <w:rPr>
          <w:rFonts w:ascii="Times New Roman" w:hAnsi="Times New Roman" w:cs="Times New Roman"/>
          <w:color w:val="auto"/>
          <w:sz w:val="24"/>
          <w:szCs w:val="24"/>
        </w:rPr>
        <w:t>Anupana</w:t>
      </w:r>
      <w:proofErr w:type="spellEnd"/>
      <w:r w:rsidRPr="00772007">
        <w:rPr>
          <w:rFonts w:ascii="Times New Roman" w:hAnsi="Times New Roman" w:cs="Times New Roman"/>
          <w:color w:val="auto"/>
          <w:sz w:val="24"/>
          <w:szCs w:val="24"/>
        </w:rPr>
        <w:t xml:space="preserve">: </w:t>
      </w:r>
      <w:proofErr w:type="spellStart"/>
      <w:r w:rsidRPr="00772007">
        <w:rPr>
          <w:rFonts w:ascii="Times New Roman" w:hAnsi="Times New Roman" w:cs="Times New Roman"/>
          <w:color w:val="auto"/>
          <w:sz w:val="24"/>
          <w:szCs w:val="24"/>
        </w:rPr>
        <w:t>Ghrita</w:t>
      </w:r>
      <w:proofErr w:type="spellEnd"/>
      <w:r w:rsidRPr="00772007">
        <w:rPr>
          <w:rFonts w:ascii="Times New Roman" w:hAnsi="Times New Roman" w:cs="Times New Roman"/>
          <w:color w:val="auto"/>
          <w:sz w:val="24"/>
          <w:szCs w:val="24"/>
        </w:rPr>
        <w:t xml:space="preserve"> as a traditional lipid carrier</w:t>
      </w:r>
    </w:p>
    <w:p w14:paraId="7E599602" w14:textId="310D008E" w:rsidR="000E4624" w:rsidRDefault="00490318" w:rsidP="000355CC">
      <w:pPr>
        <w:spacing w:after="0" w:line="360" w:lineRule="auto"/>
        <w:jc w:val="both"/>
        <w:rPr>
          <w:rFonts w:eastAsia="Times New Roman" w:cs="Times New Roman"/>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gramStart"/>
      <w:proofErr w:type="gramEnd"/>
      <w:r>
        <w:rPr>
          <w:rFonts w:eastAsia="Times New Roman" w:cs="Times New Roman"/>
          <w:szCs w:val="24"/>
        </w:rPr>
        <w:t>Absorption after oral dosing is poor for withanolides, bacosides and the larger polyphenols. They dissolve badly and undergo heavy first-pass metabolism; across the blood–brain barrier only small amounts arrive, and bone and neuronal membranes defeat conventional dosage forms just as thoroughly. Where neurotoxicity dominates the phenotype, getting adequate concentrations into the central nervous system becomes the whole question. Nothing in this review matters more. Phytomedicine at large owns the problem, not Ayurveda in particular: the field is full of promising in vitro and preclinical results that failed in the clinic because the compound never arrived at the tissue in useful amounts[49]. Until delivery is solved, Rasayana-based toxicology will not leave the laboratory[53].</w:t>
      </w:r>
    </w:p>
    <w:p w14:paraId="7E599602" w14:textId="310D008E" w:rsidR="000E4624" w:rsidRDefault="00490318" w:rsidP="000355CC">
      <w:pPr>
        <w:spacing w:after="0" w:line="360" w:lineRule="auto"/>
        <w:jc w:val="both"/>
        <w:rPr>
          <w:rFonts w:eastAsia="Times New Roman" w:cs="Times New Roman"/>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gramStart"/>
      <w:proofErr w:type="gramEnd"/>
      <w:r>
        <w:rPr>
          <w:rFonts w:eastAsia="Times New Roman" w:cs="Times New Roman"/>
          <w:szCs w:val="24"/>
        </w:rPr>
        <w:t>Ayurvedic pharmaceutics addressed part of that problem long ago, empirically at least. Ghrita (clarified butter, or medicated ghee) has served as a lipid Anupana for lipophilic herbs, especially in neuropsychiatric and Rasayana prescriptions. Classical texts call it Yogavahi: a vehicle that enters the subtle channels and carries the properties of the drugs processed into it to deeper tissues, provided the preparation follows the proper Ghrita and Sneha procedures. Read pharmaceutically, Ghrita is a natural lipid matrix. It raises the solubility of lipophilic constituents, promotes lymphatic absorption and may improve brain delivery through chylomicron-mediated transport[54]. Within Agada Tantra, Sushruta prescribes Ajeya Ghrita for Dushi Visha, and Dushivishari Ajeya Ghrita has been evaluated clinically against Dushi Visha-related symptoms[55]; such medicated ghees detoxify first and rejuvenate afterwards. Proper pharmacokinetics for these preparations do not exist. Even so, the pharmaceutics anticipated by several centuries what the lipid-nanoparticle literature rediscovered in the last twenty years[54].</w:t>
      </w:r>
    </w:p>
    <w:p w14:paraId="436483FE" w14:textId="77777777" w:rsidR="0046290E" w:rsidRDefault="0046290E" w:rsidP="000355CC">
      <w:pPr>
        <w:spacing w:after="0" w:line="360" w:lineRule="auto"/>
        <w:jc w:val="both"/>
        <w:rPr>
          <w:rFonts w:eastAsia="Times New Roman" w:cs="Times New Roman"/>
          <w:szCs w:val="24"/>
        </w:rPr>
      </w:pPr>
    </w:p>
    <w:p w14:paraId="655B9950" w14:textId="29DCD099" w:rsidR="0046290E" w:rsidRPr="00AC0680" w:rsidRDefault="00AC0680" w:rsidP="00AC0680">
      <w:pPr>
        <w:spacing w:after="0" w:line="360" w:lineRule="auto"/>
        <w:jc w:val="center"/>
        <w:rPr>
          <w:rFonts w:eastAsia="Times New Roman" w:cs="Times New Roman"/>
          <w:b/>
          <w:bCs/>
          <w:szCs w:val="24"/>
        </w:rPr>
      </w:pPr>
      <w:r w:rsidRPr="00AC0680">
        <w:rPr>
          <w:rFonts w:cs="Times New Roman"/>
          <w:b/>
          <w:bCs/>
          <w:szCs w:val="24"/>
          <w:lang w:val="en-IN"/>
        </w:rPr>
        <w:drawing>
          <wp:anchor distT="0" distB="0" distL="114300" distR="114300" simplePos="0" relativeHeight="251659264" behindDoc="0" locked="0" layoutInCell="1" allowOverlap="1" wp14:anchorId="295E3454" wp14:editId="4D9F1B3F">
            <wp:simplePos x="0" y="0"/>
            <wp:positionH relativeFrom="margin">
              <wp:posOffset>61826</wp:posOffset>
            </wp:positionH>
            <wp:positionV relativeFrom="paragraph">
              <wp:posOffset>597535</wp:posOffset>
            </wp:positionV>
            <wp:extent cx="5375275" cy="3243580"/>
            <wp:effectExtent l="0" t="0" r="0" b="0"/>
            <wp:wrapTopAndBottom/>
            <wp:docPr id="2012473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a:extLst>
                        <a:ext uri="{28A0092B-C50C-407E-A947-70E740481C1C}">
                          <a14:useLocalDpi xmlns:a14="http://schemas.microsoft.com/office/drawing/2010/main" val="0"/>
                        </a:ext>
                      </a:extLst>
                    </a:blip>
                    <a:srcRect t="9473"/>
                    <a:stretch>
                      <a:fillRect/>
                    </a:stretch>
                  </pic:blipFill>
                  <pic:spPr bwMode="auto">
                    <a:xfrm>
                      <a:off x="0" y="0"/>
                      <a:ext cx="5375275" cy="3243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C0680">
        <w:rPr>
          <w:rFonts w:eastAsia="Times New Roman" w:cs="Times New Roman"/>
          <w:b/>
          <w:bCs/>
          <w:szCs w:val="24"/>
        </w:rPr>
        <w:t xml:space="preserve">Image 2: </w:t>
      </w:r>
      <w:proofErr w:type="spellStart"/>
      <w:r w:rsidRPr="00AC0680">
        <w:rPr>
          <w:rFonts w:eastAsia="Times New Roman" w:cs="Times New Roman"/>
          <w:b/>
          <w:bCs/>
          <w:szCs w:val="24"/>
        </w:rPr>
        <w:t>Rasayana</w:t>
      </w:r>
      <w:proofErr w:type="spellEnd"/>
      <w:r w:rsidRPr="00AC0680">
        <w:rPr>
          <w:rFonts w:eastAsia="Times New Roman" w:cs="Times New Roman"/>
          <w:b/>
          <w:bCs/>
          <w:szCs w:val="24"/>
        </w:rPr>
        <w:t xml:space="preserve"> Botanicals, Molecular Targets, and Advanced Delivery Platforms for Countering Dushi Visha</w:t>
      </w:r>
    </w:p>
    <w:p w14:paraId="2AE78828" w14:textId="77777777" w:rsidR="000E4624" w:rsidRPr="00772007" w:rsidRDefault="00490318"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 xml:space="preserve">Modern </w:t>
      </w:r>
      <w:proofErr w:type="spellStart"/>
      <w:r w:rsidRPr="00772007">
        <w:rPr>
          <w:rFonts w:ascii="Times New Roman" w:hAnsi="Times New Roman" w:cs="Times New Roman"/>
          <w:color w:val="auto"/>
          <w:sz w:val="24"/>
          <w:szCs w:val="24"/>
        </w:rPr>
        <w:t>nanoemulsions</w:t>
      </w:r>
      <w:proofErr w:type="spellEnd"/>
      <w:r w:rsidRPr="00772007">
        <w:rPr>
          <w:rFonts w:ascii="Times New Roman" w:hAnsi="Times New Roman" w:cs="Times New Roman"/>
          <w:color w:val="auto"/>
          <w:sz w:val="24"/>
          <w:szCs w:val="24"/>
        </w:rPr>
        <w:t xml:space="preserve"> and solid lipid nanoparticles</w:t>
      </w:r>
    </w:p>
    <w:p w14:paraId="54B0E89F" w14:textId="3045CEC0" w:rsidR="000E4624" w:rsidRPr="00772007" w:rsidRDefault="00490318" w:rsidP="000355CC">
      <w:pPr>
        <w:spacing w:after="0" w:line="360" w:lineRule="auto"/>
        <w:jc w:val="both"/>
        <w:rPr>
          <w:rFonts w:cs="Times New Roman"/>
          <w:szCs w:val="24"/>
        </w:rPr>
      </w:pPr>
      <w:proofErr w:type="gramStart"/>
      <w:proofErr w:type="gramEnd"/>
      <w:proofErr w:type="gramStart"/>
      <w:proofErr w:type="gramEnd"/>
      <w:r>
        <w:rPr>
          <w:rFonts w:eastAsia="Times New Roman" w:cs="Times New Roman"/>
          <w:szCs w:val="24"/>
        </w:rPr>
        <w:t>Nanocarriers offer much finer control. Particle size, surface chemistry and release profile can each be tuned; each changes how much of a herbal extract is absorbed and where it ends up. Solid lipid nanoparticles, built from physiological lipids, have carried herbal extracts with gains in oral bioavailability and stability, better central nervous system penetration and lower systemic toxicity[53]. One worked example: stearic acid solid lipid nanoparticles loaded with a bacoside-rich Bacopa extract released the drug over 24 h and stayed stable for three months[56].</w:t>
      </w:r>
    </w:p>
    <w:p w14:paraId="1D722E2D" w14:textId="5797048E" w:rsidR="000E4624" w:rsidRDefault="00490318" w:rsidP="000355CC">
      <w:pPr>
        <w:spacing w:after="0" w:line="360" w:lineRule="auto"/>
        <w:jc w:val="both"/>
        <w:rPr>
          <w:rFonts w:eastAsia="Times New Roman" w:cs="Times New Roman"/>
          <w:szCs w:val="24"/>
        </w:rPr>
      </w:pPr>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r>
        <w:rPr>
          <w:rFonts w:eastAsia="Times New Roman" w:cs="Times New Roman"/>
          <w:szCs w:val="24"/>
        </w:rPr>
        <w:t>Rasayana-specific evidence is thinner than that, though still encouraging. As a nanoemulsion, Withania somnifera crossed the blood–brain barrier more effectively and protected albino rats against penconazole-induced neurotoxicity[35]. Feasibility, if nothing else: a nanocarrier can deliver a Rasayana against a neurotoxic insult. The likelier route to usable bioavailability, by most reviews, is the herbal solid lipid nanoparticle, Ashwagandha-loaded systems among them; conceptually these are engineered descendants of Ghrita doing the same job with control over particle size and release[53]. Pleasing as that is, do not press it: one end of the comparison is a food, the other a manufactured colloid with a toxicology of its own. Table 2 sets the classical and modern platforms side by side.</w:t>
      </w:r>
      <w:r>
        <w:rPr>
          <w:rFonts w:eastAsia="Times New Roman" w:cs="Times New Roman"/>
          <w:szCs w:val="24"/>
          <w:i/>
        </w:rPr>
      </w:r>
      <w:r>
        <w:rPr>
          <w:rFonts w:eastAsia="Times New Roman" w:cs="Times New Roman"/>
          <w:szCs w:val="24"/>
        </w:rPr>
      </w:r>
    </w:p>
    <w:p w14:paraId="7104BB6D" w14:textId="77777777" w:rsidR="00AC0680" w:rsidRDefault="00AC0680" w:rsidP="000355CC">
      <w:pPr>
        <w:spacing w:after="0" w:line="360" w:lineRule="auto"/>
        <w:jc w:val="both"/>
        <w:rPr>
          <w:rFonts w:eastAsia="Times New Roman" w:cs="Times New Roman"/>
          <w:szCs w:val="24"/>
        </w:rPr>
      </w:pPr>
    </w:p>
    <w:p w14:paraId="565BCA69" w14:textId="5D973B5C" w:rsidR="00AC0680" w:rsidRPr="00AC0680" w:rsidRDefault="00AC0680" w:rsidP="00AC0680">
      <w:pPr>
        <w:spacing w:after="0" w:line="360" w:lineRule="auto"/>
        <w:jc w:val="center"/>
        <w:rPr>
          <w:rFonts w:eastAsia="Times New Roman" w:cs="Times New Roman"/>
          <w:b/>
          <w:bCs/>
          <w:szCs w:val="24"/>
        </w:rPr>
      </w:pPr>
      <w:r w:rsidRPr="00AC0680">
        <w:rPr>
          <w:rFonts w:eastAsia="Times New Roman" w:cs="Times New Roman"/>
          <w:b/>
          <w:bCs/>
          <w:szCs w:val="24"/>
        </w:rPr>
        <w:t>Table 2: Classical and Modern Delivery Platforms for Rasayana-Based Management of Dushi Visha</w:t>
      </w:r>
    </w:p>
    <w:tbl>
      <w:tblPr>
        <w:tblStyle w:val="TableGrid"/>
        <w:tblW w:w="10001" w:type="dxa"/>
        <w:tblLayout w:type="fixed"/>
        <w:tblLook w:val="04A0" w:firstRow="1" w:lastRow="0" w:firstColumn="1" w:lastColumn="0" w:noHBand="0" w:noVBand="1"/>
      </w:tblPr>
      <w:tblGrid>
        <w:gridCol w:w="2443"/>
        <w:gridCol w:w="2283"/>
        <w:gridCol w:w="1723"/>
        <w:gridCol w:w="1736"/>
        <w:gridCol w:w="1816"/>
      </w:tblGrid>
      <w:tr w:rsidR="00AC0680" w:rsidRPr="00AC0680" w14:paraId="428B1B8A" w14:textId="77777777" w:rsidTr="00AC0680">
        <w:trPr>
          <w:trHeight w:val="833"/>
        </w:trPr>
        <w:tc>
          <w:tcPr>
            <w:tcW w:w="2443" w:type="dxa"/>
            <w:hideMark/>
          </w:tcPr>
          <w:p w14:paraId="34F2904D" w14:textId="77777777" w:rsidR="00AC0680" w:rsidRPr="00AC0680" w:rsidRDefault="00AC0680" w:rsidP="00AC0680">
            <w:pPr>
              <w:spacing w:line="360" w:lineRule="auto"/>
              <w:rPr>
                <w:rFonts w:eastAsia="Times New Roman" w:cs="Times New Roman"/>
                <w:b/>
                <w:bCs/>
                <w:szCs w:val="24"/>
                <w:lang w:val="en-IN"/>
              </w:rPr>
            </w:pPr>
            <w:r w:rsidRPr="00AC0680">
              <w:rPr>
                <w:rFonts w:eastAsia="Times New Roman" w:cs="Times New Roman"/>
                <w:b/>
                <w:bCs/>
                <w:szCs w:val="24"/>
                <w:lang w:val="en-IN"/>
              </w:rPr>
              <w:t>Delivery Platform</w:t>
            </w:r>
          </w:p>
        </w:tc>
        <w:tc>
          <w:tcPr>
            <w:tcW w:w="2283" w:type="dxa"/>
            <w:hideMark/>
          </w:tcPr>
          <w:p w14:paraId="58969C0F" w14:textId="77777777" w:rsidR="00AC0680" w:rsidRPr="00AC0680" w:rsidRDefault="00AC0680" w:rsidP="00AC0680">
            <w:pPr>
              <w:spacing w:line="360" w:lineRule="auto"/>
              <w:rPr>
                <w:rFonts w:eastAsia="Times New Roman" w:cs="Times New Roman"/>
                <w:b/>
                <w:bCs/>
                <w:szCs w:val="24"/>
                <w:lang w:val="en-IN"/>
              </w:rPr>
            </w:pPr>
            <w:r w:rsidRPr="00AC0680">
              <w:rPr>
                <w:rFonts w:eastAsia="Times New Roman" w:cs="Times New Roman"/>
                <w:b/>
                <w:bCs/>
                <w:szCs w:val="24"/>
                <w:lang w:val="en-IN"/>
              </w:rPr>
              <w:t>Traditional/Modern Approach</w:t>
            </w:r>
          </w:p>
        </w:tc>
        <w:tc>
          <w:tcPr>
            <w:tcW w:w="1723" w:type="dxa"/>
            <w:hideMark/>
          </w:tcPr>
          <w:p w14:paraId="24EDCD3C" w14:textId="77777777" w:rsidR="00AC0680" w:rsidRPr="00AC0680" w:rsidRDefault="00AC0680" w:rsidP="00AC0680">
            <w:pPr>
              <w:spacing w:line="360" w:lineRule="auto"/>
              <w:rPr>
                <w:rFonts w:eastAsia="Times New Roman" w:cs="Times New Roman"/>
                <w:b/>
                <w:bCs/>
                <w:szCs w:val="24"/>
                <w:lang w:val="en-IN"/>
              </w:rPr>
            </w:pPr>
            <w:r w:rsidRPr="00AC0680">
              <w:rPr>
                <w:rFonts w:eastAsia="Times New Roman" w:cs="Times New Roman"/>
                <w:b/>
                <w:bCs/>
                <w:szCs w:val="24"/>
                <w:lang w:val="en-IN"/>
              </w:rPr>
              <w:t>Functional Role</w:t>
            </w:r>
          </w:p>
        </w:tc>
        <w:tc>
          <w:tcPr>
            <w:tcW w:w="1736" w:type="dxa"/>
            <w:hideMark/>
          </w:tcPr>
          <w:p w14:paraId="51E72BD8" w14:textId="77777777" w:rsidR="00AC0680" w:rsidRPr="00AC0680" w:rsidRDefault="00AC0680" w:rsidP="00AC0680">
            <w:pPr>
              <w:spacing w:line="360" w:lineRule="auto"/>
              <w:rPr>
                <w:rFonts w:eastAsia="Times New Roman" w:cs="Times New Roman"/>
                <w:b/>
                <w:bCs/>
                <w:szCs w:val="24"/>
                <w:lang w:val="en-IN"/>
              </w:rPr>
            </w:pPr>
            <w:r w:rsidRPr="00AC0680">
              <w:rPr>
                <w:rFonts w:eastAsia="Times New Roman" w:cs="Times New Roman"/>
                <w:b/>
                <w:bCs/>
                <w:szCs w:val="24"/>
                <w:lang w:val="en-IN"/>
              </w:rPr>
              <w:t>Advantages</w:t>
            </w:r>
          </w:p>
        </w:tc>
        <w:tc>
          <w:tcPr>
            <w:tcW w:w="1816" w:type="dxa"/>
            <w:hideMark/>
          </w:tcPr>
          <w:p w14:paraId="2C89EE63" w14:textId="77777777" w:rsidR="00AC0680" w:rsidRPr="00AC0680" w:rsidRDefault="00AC0680" w:rsidP="00AC0680">
            <w:pPr>
              <w:spacing w:line="360" w:lineRule="auto"/>
              <w:rPr>
                <w:rFonts w:eastAsia="Times New Roman" w:cs="Times New Roman"/>
                <w:b/>
                <w:bCs/>
                <w:szCs w:val="24"/>
                <w:lang w:val="en-IN"/>
              </w:rPr>
            </w:pPr>
            <w:r w:rsidRPr="00AC0680">
              <w:rPr>
                <w:rFonts w:eastAsia="Times New Roman" w:cs="Times New Roman"/>
                <w:b/>
                <w:bCs/>
                <w:szCs w:val="24"/>
                <w:lang w:val="en-IN"/>
              </w:rPr>
              <w:t>Limitations</w:t>
            </w:r>
          </w:p>
        </w:tc>
      </w:tr>
      <w:tr w:rsidR="00AC0680" w:rsidRPr="00AC0680" w14:paraId="280C4434" w14:textId="77777777" w:rsidTr="00AC0680">
        <w:trPr>
          <w:trHeight w:val="2490"/>
        </w:trPr>
        <w:tc>
          <w:tcPr>
            <w:tcW w:w="2443" w:type="dxa"/>
            <w:hideMark/>
          </w:tcPr>
          <w:p w14:paraId="6DAC5339" w14:textId="77777777" w:rsidR="00AC0680" w:rsidRPr="00AC0680" w:rsidRDefault="00AC0680" w:rsidP="00AC0680">
            <w:pPr>
              <w:spacing w:line="360" w:lineRule="auto"/>
              <w:rPr>
                <w:rFonts w:eastAsia="Times New Roman" w:cs="Times New Roman"/>
                <w:szCs w:val="24"/>
                <w:lang w:val="en-IN"/>
              </w:rPr>
            </w:pPr>
            <w:proofErr w:type="spellStart"/>
            <w:r w:rsidRPr="00AC0680">
              <w:rPr>
                <w:rFonts w:eastAsia="Times New Roman" w:cs="Times New Roman"/>
                <w:szCs w:val="24"/>
                <w:lang w:val="en-IN"/>
              </w:rPr>
              <w:t xml:space="preserve">Ghrita (Medicated Ghee) [54]</w:t>
            </w:r>
            <w:proofErr w:type="spellEnd"/>
          </w:p>
        </w:tc>
        <w:tc>
          <w:tcPr>
            <w:tcW w:w="2283" w:type="dxa"/>
            <w:hideMark/>
          </w:tcPr>
          <w:p w14:paraId="0701A699"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 xml:space="preserve">Classical Ayurvedic </w:t>
            </w:r>
            <w:proofErr w:type="spellStart"/>
            <w:r w:rsidRPr="00AC0680">
              <w:rPr>
                <w:rFonts w:eastAsia="Times New Roman" w:cs="Times New Roman"/>
                <w:szCs w:val="24"/>
                <w:lang w:val="en-IN"/>
              </w:rPr>
              <w:t>Anupana</w:t>
            </w:r>
            <w:proofErr w:type="spellEnd"/>
          </w:p>
        </w:tc>
        <w:tc>
          <w:tcPr>
            <w:tcW w:w="1723" w:type="dxa"/>
            <w:hideMark/>
          </w:tcPr>
          <w:p w14:paraId="6560FCD8"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Lipid-based carrier for phytochemicals</w:t>
            </w:r>
          </w:p>
        </w:tc>
        <w:tc>
          <w:tcPr>
            <w:tcW w:w="1736" w:type="dxa"/>
            <w:hideMark/>
          </w:tcPr>
          <w:p w14:paraId="54D0CC53"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Enhances solubility, deep tissue penetration, possible CNS targeting</w:t>
            </w:r>
          </w:p>
        </w:tc>
        <w:tc>
          <w:tcPr>
            <w:tcW w:w="1816" w:type="dxa"/>
            <w:hideMark/>
          </w:tcPr>
          <w:p w14:paraId="693B6E88"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Limited pharmacokinetic standardization</w:t>
            </w:r>
          </w:p>
        </w:tc>
      </w:tr>
      <w:tr w:rsidR="00AC0680" w:rsidRPr="00AC0680" w14:paraId="70E24EB2" w14:textId="77777777" w:rsidTr="00AC0680">
        <w:trPr>
          <w:trHeight w:val="2084"/>
        </w:trPr>
        <w:tc>
          <w:tcPr>
            <w:tcW w:w="2443" w:type="dxa"/>
            <w:hideMark/>
          </w:tcPr>
          <w:p w14:paraId="79A14ED6" w14:textId="77777777" w:rsidR="00AC0680" w:rsidRPr="00AC0680" w:rsidRDefault="00AC0680" w:rsidP="00AC0680">
            <w:pPr>
              <w:spacing w:line="360" w:lineRule="auto"/>
              <w:rPr>
                <w:rFonts w:eastAsia="Times New Roman" w:cs="Times New Roman"/>
                <w:szCs w:val="24"/>
                <w:lang w:val="en-IN"/>
              </w:rPr>
            </w:pPr>
            <w:proofErr w:type="spellStart"/>
            <w:r w:rsidRPr="00AC0680">
              <w:rPr>
                <w:rFonts w:eastAsia="Times New Roman" w:cs="Times New Roman"/>
                <w:szCs w:val="24"/>
                <w:lang w:val="en-IN"/>
              </w:rPr>
              <w:t xml:space="preserve">Nanoemulsion Systems [35]</w:t>
            </w:r>
            <w:proofErr w:type="spellEnd"/>
          </w:p>
        </w:tc>
        <w:tc>
          <w:tcPr>
            <w:tcW w:w="2283" w:type="dxa"/>
            <w:hideMark/>
          </w:tcPr>
          <w:p w14:paraId="3C5A60AD"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Modern nanotechnology</w:t>
            </w:r>
          </w:p>
        </w:tc>
        <w:tc>
          <w:tcPr>
            <w:tcW w:w="1723" w:type="dxa"/>
            <w:hideMark/>
          </w:tcPr>
          <w:p w14:paraId="723BAD47"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Improves absorption and BBB penetration</w:t>
            </w:r>
          </w:p>
        </w:tc>
        <w:tc>
          <w:tcPr>
            <w:tcW w:w="1736" w:type="dxa"/>
            <w:hideMark/>
          </w:tcPr>
          <w:p w14:paraId="7673743A"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Enhanced bioavailability and neuroprotection</w:t>
            </w:r>
          </w:p>
        </w:tc>
        <w:tc>
          <w:tcPr>
            <w:tcW w:w="1816" w:type="dxa"/>
            <w:hideMark/>
          </w:tcPr>
          <w:p w14:paraId="463EC397"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Stability optimization required</w:t>
            </w:r>
          </w:p>
        </w:tc>
      </w:tr>
      <w:tr w:rsidR="00AC0680" w:rsidRPr="00AC0680" w14:paraId="2FCB4B30" w14:textId="77777777" w:rsidTr="00AC0680">
        <w:trPr>
          <w:trHeight w:val="2084"/>
        </w:trPr>
        <w:tc>
          <w:tcPr>
            <w:tcW w:w="2443" w:type="dxa"/>
            <w:hideMark/>
          </w:tcPr>
          <w:p w14:paraId="34F1F083"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lastRenderedPageBreak/>
              <w:t xml:space="preserve">Solid Lipid Nanoparticles (SLNs) [53,56]</w:t>
            </w:r>
          </w:p>
        </w:tc>
        <w:tc>
          <w:tcPr>
            <w:tcW w:w="2283" w:type="dxa"/>
            <w:hideMark/>
          </w:tcPr>
          <w:p w14:paraId="40A49028"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Modern lipid nanocarriers</w:t>
            </w:r>
          </w:p>
        </w:tc>
        <w:tc>
          <w:tcPr>
            <w:tcW w:w="1723" w:type="dxa"/>
            <w:hideMark/>
          </w:tcPr>
          <w:p w14:paraId="043B1BB6"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Controlled release and targeted delivery</w:t>
            </w:r>
          </w:p>
        </w:tc>
        <w:tc>
          <w:tcPr>
            <w:tcW w:w="1736" w:type="dxa"/>
            <w:hideMark/>
          </w:tcPr>
          <w:p w14:paraId="6AA2CC0A"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Better CNS delivery, reduced systemic toxicity</w:t>
            </w:r>
          </w:p>
        </w:tc>
        <w:tc>
          <w:tcPr>
            <w:tcW w:w="1816" w:type="dxa"/>
            <w:hideMark/>
          </w:tcPr>
          <w:p w14:paraId="027A7AF2"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Complex manufacturing process</w:t>
            </w:r>
          </w:p>
        </w:tc>
      </w:tr>
      <w:tr w:rsidR="00AC0680" w:rsidRPr="00AC0680" w14:paraId="3E5D26E4" w14:textId="77777777" w:rsidTr="00AC0680">
        <w:trPr>
          <w:trHeight w:val="2084"/>
        </w:trPr>
        <w:tc>
          <w:tcPr>
            <w:tcW w:w="2443" w:type="dxa"/>
            <w:hideMark/>
          </w:tcPr>
          <w:p w14:paraId="25104FE7"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 xml:space="preserve">Liposomal/Phytosomal Delivery [57]</w:t>
            </w:r>
            <w:proofErr w:type="spellStart"/>
            <w:proofErr w:type="spellEnd"/>
          </w:p>
        </w:tc>
        <w:tc>
          <w:tcPr>
            <w:tcW w:w="2283" w:type="dxa"/>
            <w:hideMark/>
          </w:tcPr>
          <w:p w14:paraId="7DD604C4"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Advanced phytochemical encapsulation</w:t>
            </w:r>
          </w:p>
        </w:tc>
        <w:tc>
          <w:tcPr>
            <w:tcW w:w="1723" w:type="dxa"/>
            <w:hideMark/>
          </w:tcPr>
          <w:p w14:paraId="1681C7B8"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Improves membrane permeability</w:t>
            </w:r>
          </w:p>
        </w:tc>
        <w:tc>
          <w:tcPr>
            <w:tcW w:w="1736" w:type="dxa"/>
            <w:hideMark/>
          </w:tcPr>
          <w:p w14:paraId="0BD7A2B5"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Increased cellular uptake and therapeutic efficacy</w:t>
            </w:r>
          </w:p>
        </w:tc>
        <w:tc>
          <w:tcPr>
            <w:tcW w:w="1816" w:type="dxa"/>
            <w:hideMark/>
          </w:tcPr>
          <w:p w14:paraId="6A89AA74"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Cost-intensive formulation</w:t>
            </w:r>
          </w:p>
        </w:tc>
      </w:tr>
      <w:tr w:rsidR="00AC0680" w:rsidRPr="00AC0680" w14:paraId="4AEC9A17" w14:textId="77777777" w:rsidTr="00AC0680">
        <w:trPr>
          <w:trHeight w:val="2073"/>
        </w:trPr>
        <w:tc>
          <w:tcPr>
            <w:tcW w:w="2443" w:type="dxa"/>
            <w:hideMark/>
          </w:tcPr>
          <w:p w14:paraId="16A9D13F"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 xml:space="preserve">Conventional Herbal Powders/Decoctions [53,57]</w:t>
            </w:r>
          </w:p>
        </w:tc>
        <w:tc>
          <w:tcPr>
            <w:tcW w:w="2283" w:type="dxa"/>
            <w:hideMark/>
          </w:tcPr>
          <w:p w14:paraId="0BCD1E41"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Traditional dosage forms</w:t>
            </w:r>
          </w:p>
        </w:tc>
        <w:tc>
          <w:tcPr>
            <w:tcW w:w="1723" w:type="dxa"/>
            <w:hideMark/>
          </w:tcPr>
          <w:p w14:paraId="570E5836"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 xml:space="preserve">General systemic </w:t>
            </w:r>
            <w:proofErr w:type="spellStart"/>
            <w:r w:rsidRPr="00AC0680">
              <w:rPr>
                <w:rFonts w:eastAsia="Times New Roman" w:cs="Times New Roman"/>
                <w:szCs w:val="24"/>
                <w:lang w:val="en-IN"/>
              </w:rPr>
              <w:t>Rasayana</w:t>
            </w:r>
            <w:proofErr w:type="spellEnd"/>
            <w:r w:rsidRPr="00AC0680">
              <w:rPr>
                <w:rFonts w:eastAsia="Times New Roman" w:cs="Times New Roman"/>
                <w:szCs w:val="24"/>
                <w:lang w:val="en-IN"/>
              </w:rPr>
              <w:t xml:space="preserve"> support</w:t>
            </w:r>
          </w:p>
        </w:tc>
        <w:tc>
          <w:tcPr>
            <w:tcW w:w="1736" w:type="dxa"/>
            <w:hideMark/>
          </w:tcPr>
          <w:p w14:paraId="5C5AFD16"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Easy preparation and affordability</w:t>
            </w:r>
          </w:p>
        </w:tc>
        <w:tc>
          <w:tcPr>
            <w:tcW w:w="1816" w:type="dxa"/>
            <w:hideMark/>
          </w:tcPr>
          <w:p w14:paraId="29AC1D4B" w14:textId="77777777" w:rsidR="00AC0680" w:rsidRPr="00AC0680" w:rsidRDefault="00AC0680" w:rsidP="00AC0680">
            <w:pPr>
              <w:spacing w:line="360" w:lineRule="auto"/>
              <w:rPr>
                <w:rFonts w:eastAsia="Times New Roman" w:cs="Times New Roman"/>
                <w:szCs w:val="24"/>
                <w:lang w:val="en-IN"/>
              </w:rPr>
            </w:pPr>
            <w:r w:rsidRPr="00AC0680">
              <w:rPr>
                <w:rFonts w:eastAsia="Times New Roman" w:cs="Times New Roman"/>
                <w:szCs w:val="24"/>
                <w:lang w:val="en-IN"/>
              </w:rPr>
              <w:t>Poor bioavailability and inconsistent absorption</w:t>
            </w:r>
          </w:p>
        </w:tc>
      </w:tr>
    </w:tbl>
    <w:p w14:paraId="7BC0C663" w14:textId="77777777" w:rsidR="00AC0680" w:rsidRDefault="00AC0680" w:rsidP="000355CC">
      <w:pPr>
        <w:spacing w:after="0" w:line="360" w:lineRule="auto"/>
        <w:jc w:val="both"/>
        <w:rPr>
          <w:rFonts w:eastAsia="Times New Roman" w:cs="Times New Roman"/>
          <w:szCs w:val="24"/>
        </w:rPr>
      </w:pPr>
    </w:p>
    <w:p w14:paraId="68091EAD" w14:textId="77777777" w:rsidR="001470E9" w:rsidRPr="00772007" w:rsidRDefault="001470E9" w:rsidP="000355CC">
      <w:pPr>
        <w:spacing w:after="0" w:line="360" w:lineRule="auto"/>
        <w:jc w:val="both"/>
        <w:rPr>
          <w:rFonts w:cs="Times New Roman"/>
          <w:szCs w:val="24"/>
        </w:rPr>
      </w:pPr>
    </w:p>
    <w:p w14:paraId="2AE78828" w14:textId="77777777" w:rsidR="000E4624" w:rsidRPr="00772007" w:rsidRDefault="00490318"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 xml:space="preserve">Safety and quality concerns</w:t>
      </w:r>
      <w:proofErr w:type="spellStart"/>
      <w:proofErr w:type="spellEnd"/>
    </w:p>
    <w:p w14:paraId="54B0E89F" w14:textId="3045CEC0" w:rsidR="000E4624" w:rsidRPr="00772007" w:rsidRDefault="00490318" w:rsidP="000355CC">
      <w:pPr>
        <w:spacing w:after="0" w:line="360" w:lineRule="auto"/>
        <w:jc w:val="both"/>
        <w:rPr>
          <w:rFonts w:cs="Times New Roman"/>
          <w:szCs w:val="24"/>
        </w:rPr>
      </w:pPr>
      <w:proofErr w:type="gramStart"/>
      <w:proofErr w:type="gramEnd"/>
      <w:proofErr w:type="gramStart"/>
      <w:proofErr w:type="gramEnd"/>
      <w:r>
        <w:rPr>
          <w:rFonts w:eastAsia="Times New Roman" w:cs="Times New Roman"/>
          <w:szCs w:val="24"/>
        </w:rPr>
        <w:t>Any review proposing Rasayana against toxicity has an awkward fact to confront: some of these herbs are themselves hepatotoxic in a minority of users. Which is the clearest case? Guduchi. Forty-three patients with liver injury attributed to Tinospora cordifolia were documented in a multicentre Indian study, the herb having been taken widely as an immune booster through the COVID-19 pandemic; about half presented with acute worsening of underlying chronic liver disease, and some died[58]. The Ashwagandha signal is smaller: jaundice with a cholestatic or mixed pattern in five patients from Iceland and the US Drug-Induced Liver Injury Network, none progressing to liver failure[59]. Separate from that is product quality, which comes with a harder number attached. One Ayurvedic medicine in five bought online carried detectable lead, mercury or arsenic, US-made and Indian-made alike; for rasa shastra preparations that deliberately incorporate metals the figure was 40.6%[60]. In a condition defined by chronic toxic load, 40.6% is not a footnote. Nor is the first awkwardness small. Earlier in this review, the herb recommended for hepatic phenotypes is the one carrying its largest liver-injury signal. Authenticated contaminant-tested material, liver function checked at baseline and during dosing, particular caution in patients who already have liver disease: all three will be needed in any clinical protocol.</w:t>
      </w:r>
      <w:r>
        <w:rPr>
          <w:rFonts w:eastAsia="Times New Roman" w:cs="Times New Roman"/>
          <w:szCs w:val="24"/>
          <w:i/>
        </w:rPr>
      </w:r>
      <w:r>
        <w:rPr>
          <w:rFonts w:eastAsia="Times New Roman" w:cs="Times New Roman"/>
          <w:szCs w:val="24"/>
        </w:rPr>
      </w:r>
    </w:p>
    <w:p w14:paraId="09FA7F0E" w14:textId="69E8FBB3" w:rsidR="001470E9" w:rsidRPr="001470E9" w:rsidRDefault="00490318" w:rsidP="000355CC">
      <w:pPr>
        <w:pStyle w:val="Heading1"/>
        <w:spacing w:before="0"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Future directions and translational strategy</w:t>
      </w:r>
    </w:p>
    <w:p w14:paraId="4B94F739" w14:textId="2CDD2A43" w:rsidR="001470E9" w:rsidRPr="001470E9" w:rsidRDefault="00490318" w:rsidP="000355CC">
      <w:pPr>
        <w:pStyle w:val="Heading1"/>
        <w:spacing w:before="0"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Network pharmacology for polyherbal formulations</w:t>
      </w:r>
    </w:p>
    <w:p w14:paraId="0B4886AC" w14:textId="4FAE6F65" w:rsidR="000E4624" w:rsidRPr="00772007" w:rsidRDefault="00490318" w:rsidP="000355CC">
      <w:pPr>
        <w:spacing w:after="0" w:line="360" w:lineRule="auto"/>
        <w:jc w:val="both"/>
        <w:rPr>
          <w:rFonts w:cs="Times New Roman"/>
          <w:szCs w:val="24"/>
        </w:rPr>
      </w:pPr>
      <w:proofErr w:type="spellStart"/>
      <w:proofErr w:type="spellEnd"/>
      <w:proofErr w:type="gramStart"/>
      <w:proofErr w:type="gramEnd"/>
      <w:proofErr w:type="spellStart"/>
      <w:proofErr w:type="spellEnd"/>
      <w:proofErr w:type="spellStart"/>
      <w:proofErr w:type="spellEnd"/>
      <w:proofErr w:type="gramStart"/>
      <w:proofErr w:type="gramEnd"/>
      <w:proofErr w:type="spellStart"/>
      <w:proofErr w:type="spellEnd"/>
      <w:proofErr w:type="gramStart"/>
      <w:proofErr w:type="gramEnd"/>
      <w:proofErr w:type="spellStart"/>
      <w:proofErr w:type="spellEnd"/>
      <w:proofErr w:type="gramStart"/>
      <w:proofErr w:type="gramEnd"/>
      <w:r>
        <w:rPr>
          <w:rFonts w:eastAsia="Times New Roman" w:cs="Times New Roman"/>
          <w:szCs w:val="24"/>
        </w:rPr>
        <w:t>Triphala and Tinospora cordifolia have already been mapped by network pharmacology[62,63]. That is the method's natural application here. Polyherbal formulations defeat the one-drug, one-target logic of conventional pharmacology, and network approaches were built for precisely that situation: many components against many targets inside the molecular machinery of latent toxicity[61].</w:t>
      </w:r>
      <w:r>
        <w:rPr>
          <w:rFonts w:eastAsia="Times New Roman" w:cs="Times New Roman"/>
          <w:szCs w:val="24"/>
          <w:i/>
        </w:rPr>
      </w:r>
      <w:r>
        <w:rPr>
          <w:rFonts w:eastAsia="Times New Roman" w:cs="Times New Roman"/>
          <w:szCs w:val="24"/>
        </w:rPr>
      </w:r>
    </w:p>
    <w:p w14:paraId="0B4886AC" w14:textId="4FAE6F65" w:rsidR="000E4624" w:rsidRPr="00772007" w:rsidRDefault="00490318" w:rsidP="000355CC">
      <w:pPr>
        <w:spacing w:after="0" w:line="360" w:lineRule="auto"/>
        <w:jc w:val="both"/>
        <w:rPr>
          <w:rFonts w:cs="Times New Roman"/>
          <w:szCs w:val="24"/>
        </w:rPr>
      </w:pPr>
      <w:proofErr w:type="spellStart"/>
      <w:proofErr w:type="spellEnd"/>
      <w:proofErr w:type="gramStart"/>
      <w:proofErr w:type="gramEnd"/>
      <w:proofErr w:type="spellStart"/>
      <w:proofErr w:type="spellEnd"/>
      <w:proofErr w:type="spellStart"/>
      <w:proofErr w:type="spellEnd"/>
      <w:proofErr w:type="gramStart"/>
      <w:proofErr w:type="gramEnd"/>
      <w:proofErr w:type="spellStart"/>
      <w:proofErr w:type="spellEnd"/>
      <w:proofErr w:type="gramStart"/>
      <w:proofErr w:type="gramEnd"/>
      <w:proofErr w:type="spellStart"/>
      <w:proofErr w:type="spellEnd"/>
      <w:proofErr w:type="gramStart"/>
      <w:proofErr w:type="gramEnd"/>
      <w:r>
        <w:rPr>
          <w:rFonts w:eastAsia="Times New Roman" w:cs="Times New Roman"/>
          <w:szCs w:val="24"/>
        </w:rPr>
        <w:t>Put target-prediction algorithms, phytochemical databases and pathway enrichment together and the convergence points come out; Nrf2 and NF‑κB lead, with apoptotic regulators and the synaptic plasticity pathways that matter in Dushi Visha behind them. Whether a model of that kind earns its keep depends on whether it changes practice. It should bite first on which herbs enter a formula and at what dose, then on the biomarkers a trial chooses to measure[61]. Those same maps flag herb–drug interactions and safety liabilities before a patient meets them, which matters a great deal once Rasayana is given alongside DMSA or EDTA[58,59].</w:t>
      </w:r>
      <w:r>
        <w:rPr>
          <w:rFonts w:eastAsia="Times New Roman" w:cs="Times New Roman"/>
          <w:szCs w:val="24"/>
          <w:i/>
        </w:rPr>
      </w:r>
      <w:r>
        <w:rPr>
          <w:rFonts w:eastAsia="Times New Roman" w:cs="Times New Roman"/>
          <w:szCs w:val="24"/>
        </w:rPr>
      </w:r>
    </w:p>
    <w:p w14:paraId="10F223AB" w14:textId="77777777" w:rsidR="000E4624" w:rsidRPr="00772007" w:rsidRDefault="00490318"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What the trials would have to look like</w:t>
      </w:r>
    </w:p>
    <w:p w14:paraId="59AC465A" w14:textId="77777777" w:rsidR="000E4624" w:rsidRPr="00772007" w:rsidRDefault="00490318" w:rsidP="000355CC">
      <w:pPr>
        <w:spacing w:after="0" w:line="360" w:lineRule="auto"/>
        <w:jc w:val="both"/>
        <w:rPr>
          <w:rFonts w:cs="Times New Roman"/>
          <w:szCs w:val="24"/>
        </w:rPr>
      </w:pPr>
      <w:r w:rsidRPr="00772007">
        <w:rPr>
          <w:rFonts w:eastAsia="Times New Roman" w:cs="Times New Roman"/>
          <w:szCs w:val="24"/>
        </w:rPr>
        <w:t>Three lines of work should come first, and they are not equally hard. Preclinical models of chronic environmental toxicity (low-dose heavy-metal or pesticide exposure, with Rasayana tested both as pre-conditioning and as post-exposure treatment) are straightforward to build, and nobody has built them. Pharmacokinetic and pharmacodynamic comparison of classical Ghrita-based preparations against nano-enabled formulations is harder; no proper pharmacokinetics exist for the Ghrita arm to begin with[54]. Phase II and III trials come last, in exposure cohorts that have actually been characterised[31].</w:t>
      </w:r>
      <w:proofErr w:type="spellStart"/>
      <w:proofErr w:type="spellEnd"/>
      <w:proofErr w:type="spellStart"/>
      <w:proofErr w:type="spellEnd"/>
    </w:p>
    <w:p w14:paraId="52F382B4" w14:textId="34D9B6A4" w:rsidR="000E4624" w:rsidRPr="00772007" w:rsidRDefault="00490318" w:rsidP="000355CC">
      <w:pPr>
        <w:spacing w:after="0" w:line="360" w:lineRule="auto"/>
        <w:jc w:val="both"/>
        <w:rPr>
          <w:rFonts w:cs="Times New Roman"/>
          <w:szCs w:val="24"/>
        </w:rPr>
      </w:pPr>
      <w:proofErr w:type="spellStart"/>
      <w:proofErr w:type="spellEnd"/>
      <w:proofErr w:type="gramStart"/>
      <w:proofErr w:type="gramEnd"/>
      <w:proofErr w:type="gramStart"/>
      <w:proofErr w:type="gramEnd"/>
      <w:r>
        <w:rPr>
          <w:rFonts w:eastAsia="Times New Roman" w:cs="Times New Roman"/>
          <w:szCs w:val="24"/>
        </w:rPr>
        <w:t>Five domains at once is what animal work has to cover. Oxidative, mitochondrial, inflammatory, apoptotic, neurocognitive. In practice that is mitochondrial complex activity, antioxidant ratios, microglial activation indices, behavioural assays. For the human studies, recruitment is the easy part (arguably the only easy part). Pesticide applicators, lead-exposed industrial workers and city residents living with high air-pollution indices all carry documented exposure already[31]. Diagnosis is harder. Each trial would have to pair Ayurvedic assessment of Dushi Visha with modern biomarkers of oxidative stress, inflammation and organ function[64–67], then run standard care with chelation where indicated against standard care plus a Rasayana protocol, stratifying by phenotype: neurocognitive, cardiometabolic, dermatological, and the rest. Build microbiome and metabolomic profiling into the protocol from the start, so that systemic effects and those routed through the gut get measured instead of inferred. Controlled designs of this kind have already tested Medhya Rasayana in age-related cognitive decline[68]. Nothing short of that quality will produce evidence toxicology and integrative medicine both accept.</w:t>
      </w:r>
    </w:p>
    <w:p w14:paraId="5BD45EAC" w14:textId="77777777" w:rsidR="000E4624" w:rsidRPr="00772007" w:rsidRDefault="00490318" w:rsidP="000355CC">
      <w:pPr>
        <w:pStyle w:val="Heading1"/>
        <w:spacing w:line="360" w:lineRule="auto"/>
        <w:jc w:val="both"/>
        <w:rPr>
          <w:rFonts w:ascii="Times New Roman" w:hAnsi="Times New Roman" w:cs="Times New Roman"/>
          <w:color w:val="auto"/>
          <w:sz w:val="24"/>
          <w:szCs w:val="24"/>
        </w:rPr>
      </w:pPr>
      <w:r w:rsidRPr="00772007">
        <w:rPr>
          <w:rFonts w:ascii="Times New Roman" w:hAnsi="Times New Roman" w:cs="Times New Roman"/>
          <w:color w:val="auto"/>
          <w:sz w:val="24"/>
          <w:szCs w:val="24"/>
        </w:rPr>
        <w:t>Conclusion</w:t>
      </w:r>
    </w:p>
    <w:p w14:paraId="0AA649F5" w14:textId="108BD878" w:rsidR="000E4624" w:rsidRPr="00772007" w:rsidRDefault="000355CC" w:rsidP="000355CC">
      <w:pPr>
        <w:spacing w:after="0" w:line="360" w:lineRule="auto"/>
        <w:jc w:val="both"/>
        <w:rPr>
          <w:rFonts w:cs="Times New Roman"/>
          <w:szCs w:val="24"/>
        </w:rPr>
      </w:pPr>
      <w:proofErr w:type="spellStart"/>
      <w:proofErr w:type="spellEnd"/>
      <w:proofErr w:type="spellStart"/>
      <w:proofErr w:type="spellEnd"/>
      <w:proofErr w:type="spellStart"/>
      <w:proofErr w:type="spellEnd"/>
      <w:proofErr w:type="spellStart"/>
      <w:proofErr w:type="spellEnd"/>
      <w:r>
        <w:rPr>
          <w:rFonts w:eastAsia="Times New Roman" w:cs="Times New Roman"/>
          <w:szCs w:val="24"/>
        </w:rPr>
        <w:t>What toxicology now calls latent toxicity is, on the classical account, Dushi Visha: the product of steady low-level exposure to environmental and dietary toxins. Three things sustain it at the molecular level. Mitochondria that are failing. Inflammation that persists. A neuroimmune and metabolic balance knocked out of true. No mono-targeted antidote corrects all three, and EDTA, DMSA and DMPS do not try[15,28,29]. Rasayana herbs might. They reinforce the intrinsic antioxidant network, act on Nrf2 and NF‑κB, engage anti-apoptotic and synaptic repair programmes and regulate the axis between gut and brain[14,36,45]. As a group that is a credible systems-level response to a disease with no single lesion.</w:t>
      </w:r>
    </w:p>
    <w:p w14:paraId="0AA649F5" w14:textId="108BD878" w:rsidR="000E4624" w:rsidRPr="00772007" w:rsidRDefault="000355CC" w:rsidP="000355CC">
      <w:pPr>
        <w:spacing w:after="0" w:line="360" w:lineRule="auto"/>
        <w:jc w:val="both"/>
        <w:rPr>
          <w:rFonts w:cs="Times New Roman"/>
          <w:szCs w:val="24"/>
        </w:rPr>
      </w:pPr>
      <w:proofErr w:type="spellStart"/>
      <w:proofErr w:type="spellEnd"/>
      <w:proofErr w:type="spellStart"/>
      <w:proofErr w:type="spellEnd"/>
      <w:proofErr w:type="spellStart"/>
      <w:proofErr w:type="spellEnd"/>
      <w:proofErr w:type="spellStart"/>
      <w:proofErr w:type="spellEnd"/>
      <w:r>
        <w:rPr>
          <w:rFonts w:eastAsia="Times New Roman" w:cs="Times New Roman"/>
          <w:szCs w:val="24"/>
        </w:rPr>
        <w:t>Credible is not demonstrated, and the distance between the two is most of what this review has been about. Rasayana's strongest human datum remains a one-month trial of 500 mg vitamin C daily in workers carrying mean blood lead near 63 µg/dL; lipid peroxides fell about 16% and superoxide dismutase rose 38%[31]. Vitamin C is not a Rasayana. Against that sit 43 documented cases of Tinospora-attributed liver injury and detectable heavy metal in 40.6% of rasa shastra products[58,60]. For a therapy proposed against toxic load, that is an awkward position.</w:t>
      </w:r>
    </w:p>
    <w:p w14:paraId="0AA649F5" w14:textId="108BD878" w:rsidR="000E4624" w:rsidRPr="00772007" w:rsidRDefault="000355CC" w:rsidP="000355CC">
      <w:pPr>
        <w:spacing w:after="0" w:line="360" w:lineRule="auto"/>
        <w:jc w:val="both"/>
        <w:rPr>
          <w:rFonts w:cs="Times New Roman"/>
          <w:szCs w:val="24"/>
        </w:rPr>
      </w:pPr>
      <w:proofErr w:type="spellStart"/>
      <w:proofErr w:type="spellEnd"/>
      <w:proofErr w:type="spellStart"/>
      <w:proofErr w:type="spellEnd"/>
      <w:proofErr w:type="spellStart"/>
      <w:proofErr w:type="spellEnd"/>
      <w:proofErr w:type="spellStart"/>
      <w:proofErr w:type="spellEnd"/>
      <w:r>
        <w:rPr>
          <w:rFonts w:eastAsia="Times New Roman" w:cs="Times New Roman"/>
          <w:szCs w:val="24"/>
        </w:rPr>
        <w:t>Delivery remains the limiting step. Ghrita and engineered lipid nanoparticles come at it from opposite ends of pharmaceutical history (an empirical lipid matrix at one end, a manufactured colloid at the other), and drawing on the two together could get Rasayana compounds into deep tissues and the brain itself. What is missing is evidence of the right kind: network pharmacology to define the mechanism, preclinical work done rigorously, then controlled trials in people whose exposure is on record. Until those exist, the human evidence for Rasayana in chronic toxic exposure amounts to one supplementation study in healthy elderly volunteers[50].</w:t>
      </w:r>
    </w:p>
    <w:p w14:paraId="52F1427A" w14:textId="73D22625" w:rsidR="008C7459" w:rsidRPr="000355CC" w:rsidRDefault="008C7459" w:rsidP="000355CC">
      <w:pPr>
        <w:pStyle w:val="Heading1"/>
        <w:spacing w:line="360" w:lineRule="auto"/>
        <w:jc w:val="both"/>
        <w:rPr>
          <w:rFonts w:ascii="Times New Roman" w:hAnsi="Times New Roman" w:cs="Times New Roman"/>
          <w:color w:val="000000" w:themeColor="text1"/>
          <w:sz w:val="24"/>
          <w:szCs w:val="24"/>
        </w:rPr>
      </w:pPr>
      <w:r w:rsidRPr="00772007">
        <w:rPr>
          <w:rFonts w:ascii="Times New Roman" w:hAnsi="Times New Roman" w:cs="Times New Roman"/>
          <w:color w:val="000000" w:themeColor="text1"/>
          <w:sz w:val="24"/>
          <w:szCs w:val="24"/>
        </w:rPr>
        <w:t>References</w:t>
      </w:r>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Patel D, Inchulkar SR, Kaushik Y, Chauhan NS. Concept of dushi visha (latent poison): a review in Ayurveda. TMR Theory Hypothesis. 2019;2(2):166-72. https://doi.org/10.12032/TMRTH201902001</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Singh V, Sangeeta T, Muzzammel M. Bridging ancient wisdom and modern insights: understanding cancer through the lens of Dooshivisha and environmental toxicology. Ayush J Integr Oncol. 2024;1(3-4):46-53. https://doi.org/10.4103/ajio.ajio_14_24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Waghmare TS, Wasu IP. Samhitokta concept of Dushi Visha: a review article. J Ayurveda Integr Med Sci. 2020;5(1):215-9. https://doi.org/10.21760/jaims.v5i01.840</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Kumar P, Namewar P. Environmental toxicity and its Ayurvedic management through Agada Tantra: a comprehensive review. J Neonatal Surg. 2025;14(32S):6496-501.</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Gore AC, Chappell VA, Fenton SE, Flaws JA, Nadal A, Prins GS, et al. EDC-2: the Endocrine Society's second scientific statement on endocrine-disrupting chemicals. Endocr Rev. 2015;36(6):E1-150. https://doi.org/10.1210/er.2015-1010</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Shekhar C, Khosya R, Thakur K, Mahajan D, Kumar R, Kumar S, et al. A systematic review of pesticide exposure, associated risks, and long-term human health impacts. Toxicol Rep. 2024;13:101840. https://doi.org/10.1016/j.toxrep.2024.101840</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Rooney JPK. The retention time of inorganic mercury in the brain: a systematic review of the evidence. Toxicol Appl Pharmacol. 2014;274(3):425-35. https://doi.org/10.1016/j.taap.2013.12.011</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Nigam D, Shukla GS, Agarwal AK. Glutathione depletion and oxidative damage in mitochondria following exposure to cadmium in rat liver and kidney. Toxicol Lett. 1999;106(2-3):151-7. https://doi.org/10.1016/S0378-4274(99)00059-4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Balali-Mood M, Naseri K, Tahergorabi Z, Khazdair MR, Sadeghi M. Toxic mechanisms of five heavy metals: mercury, lead, chromium, cadmium, and arsenic. Front Pharmacol. 2021;12:643972. https://doi.org/10.3389/fphar.2021.643972</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Branco V, Aschner M, Carvalho C. Neurotoxicity of mercury: an old issue with contemporary significance. Adv Neurotoxicol. 2021;5:239-62. https://doi.org/10.1016/bs.ant.2021.01.001</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Joshi N, Bedekar SS. Concept of Rasayana for a better health: a review. J Ayurveda Integr Med Sci. 2017;2(1):209-12. https://doi.org/10.21760/jaims.v2i1.7512</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Mikulska P, Malinowska M, Ignacyk M, Szustowski P, Nowak J, Pesta K, et al. Ashwagandha (</w:t>
      </w:r>
      <w:r w:rsidRPr="008D2159">
        <w:rPr>
          <w:rFonts w:cs="Times New Roman"/>
          <w:szCs w:val="24"/>
          <w:lang w:val="en-IN"/>
          <w:i/>
        </w:rPr>
        <w:t xml:space="preserve">Withania somnifera</w:t>
      </w:r>
      <w:r w:rsidRPr="008D2159">
        <w:rPr>
          <w:rFonts w:cs="Times New Roman"/>
          <w:szCs w:val="24"/>
          <w:lang w:val="en-IN"/>
        </w:rPr>
        <w:t xml:space="preserve">): current research on the health-promoting activities: a narrative review. Pharmaceutics. 2023;15(4):1057. https://doi.org/10.3390/pharmaceutics15041057</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Arunachalam K, Yang X, San TT. </w:t>
      </w:r>
      <w:r w:rsidRPr="008D2159">
        <w:rPr>
          <w:rFonts w:cs="Times New Roman"/>
          <w:szCs w:val="24"/>
          <w:lang w:val="en-IN"/>
          <w:i/>
        </w:rPr>
        <w:t xml:space="preserve">Tinospora cordifolia</w:t>
      </w:r>
      <w:r w:rsidRPr="008D2159">
        <w:rPr>
          <w:rFonts w:cs="Times New Roman"/>
          <w:szCs w:val="24"/>
          <w:lang w:val="en-IN"/>
        </w:rPr>
        <w:t xml:space="preserve"> (Willd.) Miers: protection mechanisms and strategies against oxidative stress-related diseases. J Ethnopharmacol. 2022;283:114540. https://doi.org/10.1016/j.jep.2021.114540</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Valotto Neto LJ, Reverete de Araujo M, Moretti Junior RC, Mendes Machado N, Joshi RK, dos Santos Buglio D, et al. Investigating the neuroprotective and cognitive-enhancing effects of </w:t>
      </w:r>
      <w:r w:rsidRPr="008D2159">
        <w:rPr>
          <w:rFonts w:cs="Times New Roman"/>
          <w:szCs w:val="24"/>
          <w:lang w:val="en-IN"/>
          <w:i/>
        </w:rPr>
        <w:t xml:space="preserve">Bacopa monnieri</w:t>
      </w:r>
      <w:r w:rsidRPr="008D2159">
        <w:rPr>
          <w:rFonts w:cs="Times New Roman"/>
          <w:szCs w:val="24"/>
          <w:lang w:val="en-IN"/>
        </w:rPr>
        <w:t xml:space="preserve">: a systematic review focused on inflammation, oxidative stress, mitochondrial dysfunction, and apoptosis. Antioxidants (Basel). 2024;13(4):393. https://doi.org/10.3390/antiox13040393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Flora SJS, Mittal M, Mehta A. Heavy metal induced oxidative stress &amp; its possible reversal by chelation therapy. Indian J Med Res. 2008;128(4):501-23. PMID: 19106443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Ceramella J, De Maio AC, Basile G, Facente A, Scali E, Andreu I, et al. Phytochemicals involved in mitigating silent toxicity induced by heavy metals. Foods. 2024;13(7):978. https://doi.org/10.3390/foods13070978</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Ercal N, Gurer-Orhan H, Aykin-Burns N. Toxic metals and oxidative stress part I: mechanisms involved in metal-induced oxidative damage. Curr Top Med Chem. 2001;1(6):529-39. https://doi.org/10.2174/1568026013394831</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Sule RO, Condon L, Gomes AV. A common feature of pesticides: oxidative stress. The role of oxidative stress in pesticide-induced toxicity. Oxid Med Cell Longev. 2022;2022:5563759. https://doi.org/10.1155/2022/5563759</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Yan LJ, Allen DC. Cadmium-induced kidney injury: oxidative damage as a unifying mechanism. Biomolecules. 2021;11(11):1575. https://doi.org/10.3390/biom11111575</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Kuchukashvili Z, Burjanadze G, Menabde K, Chachua M, Dachanidze N, Mikadze M, et al. Long-lasting stress, quantitative changes in nitric oxide concentration and functional state of brain mitochondria. Acta Neurobiol Exp (Wars). 2012;72(1):40-50. https://doi.org/10.55782/ane-2012-1879</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Munhoz CD, García-Bueno B, Madrigal JLM, Lepsch LB, Scavone C, Leza JC. Stress-induced neuroinflammation: mechanisms and new pharmacological targets. Braz J Med Biol Res. 2008;41(12):1037-46. https://doi.org/10.1590/S0100-879X2008001200003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Guo C, Sun L, Chen X, Zhang D. Oxidative stress, mitochondrial damage and neurodegenerative diseases. Neural Regen Res. 2013;8(21):2003-14. https://doi.org/10.3969/j.issn.1673-5374.2013.21.009</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Cenini G, Lloret A, Cascella R. Oxidative stress and mitochondrial damage in neurodegenerative diseases: from molecular mechanisms to targeted therapies. Oxid Med Cell Longev. 2020;2020:1270256. https://doi.org/10.1155/2020/1270256</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Kraft AD, Harry GJ. Features of microglia and neuroinflammation relevant to environmental exposure and neurotoxicity. Int J Environ Res Public Health. 2011;8(7):2980-3018. https://doi.org/10.3390/ijerph8072980</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Puzi NNA, Vidyadaran S. Microglia-induced neurotoxicity: a review of in vitro co-culture models. Malays J Med Health Sci. 2020;16(Suppl 9):97-113.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Songkiatisak P, Rahman SM, Aqdas M, Sung MH. NF-κB, a culprit of both inflamm-ageing and declining immunity? Immun Ageing. 2022;19(1):20. https://doi.org/10.1186/s12979-022-00277-w</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Araujo JA. Particulate air pollution, systemic oxidative stress, inflammation, and atherosclerosis. Air Qual Atmos Health. 2011;4(1):79-93. https://doi.org/10.1007/s11869-010-0101-8</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Blaurock-Busch E, Busch YM. Comparison of chelating agents DMPS, DMSA and EDTA for the diagnosis and treatment of chronic metal exposure. Br J Med Med Res. 2014;4(9):1821-35. https://doi.org/10.9734/BJMMR/2014/6875</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Ferrero ME. Rationale for the successful management of EDTA chelation therapy in human burden by toxic metals. Biomed Res Int. 2016;2016:8274504. https://doi.org/10.1155/2016/8274504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Andersen O, Aaseth J. A review of pitfalls and progress in chelation treatment of metal poisonings. J Trace Elem Med Biol. 2016;38:74-80. https://doi.org/10.1016/j.jtemb.2016.03.013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Ghanwat G, Patil AJ, Patil J, Kshirsagar M, Sontakke A, Ayachit RK. Effect of vitamin C supplementation on blood lead level, oxidative stress and antioxidant status of battery manufacturing workers of Western Maharashtra, India. J Clin Diagn Res. 2016;10(4):BC08-11. https://doi.org/10.7860/JCDR/2016/15968.7528</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Gómez Afonso A, Fernandez-Lazaro D, Adams DP, Monserdà-Vilaró A, Fernandez-Lazaro CI. Effects of </w:t>
      </w:r>
      <w:r w:rsidRPr="008D2159">
        <w:rPr>
          <w:rFonts w:cs="Times New Roman"/>
          <w:szCs w:val="24"/>
          <w:lang w:val="en-IN"/>
          <w:i/>
        </w:rPr>
        <w:t xml:space="preserve">Withania somnifera</w:t>
      </w:r>
      <w:r w:rsidRPr="008D2159">
        <w:rPr>
          <w:rFonts w:cs="Times New Roman"/>
          <w:szCs w:val="24"/>
          <w:lang w:val="en-IN"/>
        </w:rPr>
        <w:t xml:space="preserve"> (Ashwagandha) on hematological and biochemical markers, hormonal behavior, and oxidant response in healthy adults: a systematic review. Curr Nutr Rep. 2023;12(3):465-77. https://doi.org/10.1007/s13668-023-00481-0</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Siddiqui MA, Farshori NN, Al-Oqail MM, Pant AB, Al-Khedhairy AA. Neuroprotective effects of </w:t>
      </w:r>
      <w:r w:rsidRPr="008D2159">
        <w:rPr>
          <w:rFonts w:cs="Times New Roman"/>
          <w:szCs w:val="24"/>
          <w:lang w:val="en-IN"/>
          <w:i/>
        </w:rPr>
        <w:t xml:space="preserve">Withania somnifera</w:t>
      </w:r>
      <w:r w:rsidRPr="008D2159">
        <w:rPr>
          <w:rFonts w:cs="Times New Roman"/>
          <w:szCs w:val="24"/>
          <w:lang w:val="en-IN"/>
        </w:rPr>
        <w:t xml:space="preserve"> on 4-hydroxynonenal induced cell death in human neuroblastoma SH-SY5Y cells through ROS inhibition and apoptotic mitochondrial pathway. Neurochem Res. 2021;46(2):171-82. https://doi.org/10.1007/s11064-020-03146-4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Chaurasia SS, Panda S, Kar A. </w:t>
      </w:r>
      <w:r w:rsidRPr="008D2159">
        <w:rPr>
          <w:rFonts w:cs="Times New Roman"/>
          <w:szCs w:val="24"/>
          <w:lang w:val="en-IN"/>
          <w:i/>
        </w:rPr>
        <w:t xml:space="preserve">Withania somnifera</w:t>
      </w:r>
      <w:r w:rsidRPr="008D2159">
        <w:rPr>
          <w:rFonts w:cs="Times New Roman"/>
          <w:szCs w:val="24"/>
          <w:lang w:val="en-IN"/>
        </w:rPr>
        <w:t xml:space="preserve"> root extract in the regulation of lead-induced oxidative damage in male mouse. Pharmacol Res. 2000;41(6):663-6. https://doi.org/10.1006/phrs.1999.0634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Abomosallam M, Hendam BM, Abdallah AA, Refaat R, El-Hak HNG. Neuroprotective effect of </w:t>
      </w:r>
      <w:r w:rsidRPr="008D2159">
        <w:rPr>
          <w:rFonts w:cs="Times New Roman"/>
          <w:szCs w:val="24"/>
          <w:lang w:val="en-IN"/>
          <w:i/>
        </w:rPr>
        <w:t xml:space="preserve">Withania somnifera</w:t>
      </w:r>
      <w:r w:rsidRPr="008D2159">
        <w:rPr>
          <w:rFonts w:cs="Times New Roman"/>
          <w:szCs w:val="24"/>
          <w:lang w:val="en-IN"/>
        </w:rPr>
        <w:t xml:space="preserve"> leaves extract nanoemulsion against penconazole-induced neurotoxicity in albino rats via modulating TGF-β1/Smad2 signaling pathway. Inflammopharmacology. 2024;32(3):1903-28. https://doi.org/10.1007/s10787-024-01461-8</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Tancreda G, Ravera S, Panfoli I. Preclinical evidence of </w:t>
      </w:r>
      <w:r w:rsidRPr="008D2159">
        <w:rPr>
          <w:rFonts w:cs="Times New Roman"/>
          <w:szCs w:val="24"/>
          <w:lang w:val="en-IN"/>
          <w:i/>
        </w:rPr>
        <w:t xml:space="preserve">Withania somnifera</w:t>
      </w:r>
      <w:r w:rsidRPr="008D2159">
        <w:rPr>
          <w:rFonts w:cs="Times New Roman"/>
          <w:szCs w:val="24"/>
          <w:lang w:val="en-IN"/>
        </w:rPr>
        <w:t xml:space="preserve"> and Cordyceps spp.: neuroprotective properties for the management of Alzheimer's disease. Int J Mol Sci. 2025;26(11):5403. https://doi.org/10.3390/ijms26115403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Sood A, Mehrotra A, Dhawan DK, Sandhir R. Neuroprotective effects of </w:t>
      </w:r>
      <w:r w:rsidRPr="008D2159">
        <w:rPr>
          <w:rFonts w:cs="Times New Roman"/>
          <w:szCs w:val="24"/>
          <w:lang w:val="en-IN"/>
          <w:i/>
        </w:rPr>
        <w:t xml:space="preserve">Withania somnifera</w:t>
      </w:r>
      <w:r w:rsidRPr="008D2159">
        <w:rPr>
          <w:rFonts w:cs="Times New Roman"/>
          <w:szCs w:val="24"/>
          <w:lang w:val="en-IN"/>
        </w:rPr>
        <w:t xml:space="preserve"> on ischemic stroke are mediated via anti-inflammatory response and modulation of neurotransmitter levels. Neurochem Int. 2024;180:105867. https://doi.org/10.1016/j.neuint.2024.105867</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Sharma U, Bala M, Kumar N, Singh B, Munshi RK, Bhalerao S. Immunomodulatory active compounds from </w:t>
      </w:r>
      <w:r w:rsidRPr="008D2159">
        <w:rPr>
          <w:rFonts w:cs="Times New Roman"/>
          <w:szCs w:val="24"/>
          <w:lang w:val="en-IN"/>
          <w:i/>
        </w:rPr>
        <w:t xml:space="preserve">Tinospora cordifolia</w:t>
      </w:r>
      <w:r w:rsidRPr="008D2159">
        <w:rPr>
          <w:rFonts w:cs="Times New Roman"/>
          <w:szCs w:val="24"/>
          <w:lang w:val="en-IN"/>
        </w:rPr>
        <w:t xml:space="preserve">. J Ethnopharmacol. 2012;141(3):918-26. https://doi.org/10.1016/j.jep.2012.03.027</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Mathew S, Kuttan G. Immunomodulatory and antitumour activities of </w:t>
      </w:r>
      <w:r w:rsidRPr="008D2159">
        <w:rPr>
          <w:rFonts w:cs="Times New Roman"/>
          <w:szCs w:val="24"/>
          <w:lang w:val="en-IN"/>
          <w:i/>
        </w:rPr>
        <w:t xml:space="preserve">Tinospora cordifolia</w:t>
      </w:r>
      <w:r w:rsidRPr="008D2159">
        <w:rPr>
          <w:rFonts w:cs="Times New Roman"/>
          <w:szCs w:val="24"/>
          <w:lang w:val="en-IN"/>
        </w:rPr>
        <w:t xml:space="preserve">. Fitoterapia. 1999;70(1):35-43. https://doi.org/10.1016/S0367-326X(98)00017-3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Bhattacharya A, Chatterjee A, Ghosal S, Bhattacharya SK. Antioxidant activity of active tannoid principles of Emblica officinalis (amla). Indian J Exp Biol. 1999;37(7):676-80. PMID: 10522157</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Dwivedi V, Lakhotia SC. Ayurvedic Amalaki Rasayana promotes improved stress tolerance and thus has anti-aging effects in Drosophila melanogaster. J Biosci. 2016;41(4):697-711. https://doi.org/10.1007/s12038-016-9641-x</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Kunchana K, Jarisarapurin W, Chularojmontri L, Wattanapitayakul SK. Potential use of amla (</w:t>
      </w:r>
      <w:r w:rsidRPr="008D2159">
        <w:rPr>
          <w:rFonts w:cs="Times New Roman"/>
          <w:szCs w:val="24"/>
          <w:lang w:val="en-IN"/>
          <w:i/>
        </w:rPr>
        <w:t xml:space="preserve">Phyllanthus emblica</w:t>
      </w:r>
      <w:r w:rsidRPr="008D2159">
        <w:rPr>
          <w:rFonts w:cs="Times New Roman"/>
          <w:szCs w:val="24"/>
          <w:lang w:val="en-IN"/>
        </w:rPr>
        <w:t xml:space="preserve"> L.) fruit extract to protect skin keratinocytes from inflammation and apoptosis after UVB irradiation. Antioxidants (Basel). 2021;10(5):703. https://doi.org/10.3390/antiox10050703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Qu L, Wang F, Chen Y. Protective effect and mechanism research of </w:t>
      </w:r>
      <w:r w:rsidRPr="008D2159">
        <w:rPr>
          <w:rFonts w:cs="Times New Roman"/>
          <w:szCs w:val="24"/>
          <w:lang w:val="en-IN"/>
          <w:i/>
        </w:rPr>
        <w:t xml:space="preserve">Phyllanthus emblica</w:t>
      </w:r>
      <w:r w:rsidRPr="008D2159">
        <w:rPr>
          <w:rFonts w:cs="Times New Roman"/>
          <w:szCs w:val="24"/>
          <w:lang w:val="en-IN"/>
        </w:rPr>
        <w:t xml:space="preserve"> Linn. fruit extract on UV-induced photodamage in keratinocytes. Photochem Photobiol Sci. 2023;22(8):1945-59. https://doi.org/10.1007/s43630-023-00423-3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Tarasiuk A, Mosińska P, Fichna J. Triphala: current applications and new perspectives on the treatment of functional gastrointestinal disorders. Chin Med. 2018;13:39. https://doi.org/10.1186/s13020-018-0197-6</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Upadhyay P, Tyagi A, Agrawal S, Kumar A, Gupta S. Bidirectional effect of Triphala on modulating gut-brain axis to improve cognition in the murine model of Alzheimer's disease. Mol Nutr Food Res. 2024;68:e2300104. https://doi.org/10.1002/mnfr.202300104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Wang W, He M, Rangji C, Yu S, Long P, Zhang Y, et al. Triphala ameliorates cognitive deficits and anxiety via activation of the Nrf2/HO-1 axis in chronic sleep-deprived mice. Int Immunopharmacol. 2024;142:113179. https://doi.org/10.1016/j.intimp.2024.113179</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Kwandee P, Somnuk S, Wanikorn B, Nakphaichit M, Tunsagool P. Efficacy of Triphala extracts on the changes of obese fecal microbiome and metabolome in the human gut model. J Tradit Complement Med. 2023;13(2):207-17. https://doi.org/10.1016/j.jtcme.2023.02.011</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Pavithran A, Kalamol MK, Prajeesh Nath EN, Vineeth PK, Ramesh NV. Role of Triphala on gut microbiota in the treatment of obesity and its complications. Int J Ayurveda Pharma Res. 2024;12(2):97-101. https://doi.org/10.47070/ijapr.v12i2.3088</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Gościniak A, Stasiłowicz-Krzemień A, Szeląg M, Pawlak J, Skiera I, Kwiatkowska H, et al. </w:t>
      </w:r>
      <w:r w:rsidRPr="008D2159">
        <w:rPr>
          <w:rFonts w:cs="Times New Roman"/>
          <w:szCs w:val="24"/>
          <w:lang w:val="en-IN"/>
          <w:i/>
        </w:rPr>
        <w:t xml:space="preserve">Bacopa monnieri</w:t>
      </w:r>
      <w:r w:rsidRPr="008D2159">
        <w:rPr>
          <w:rFonts w:cs="Times New Roman"/>
          <w:szCs w:val="24"/>
          <w:lang w:val="en-IN"/>
        </w:rPr>
        <w:t xml:space="preserve">: preclinical and clinical evidence of neuroactive effects, safety of use and the search for improved bioavailability. Nutrients. 2025;17(11):1939. https://doi.org/10.3390/nu17111939</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Keegan AP, Stough C, Paris D, Luis CA, Abdullah L, Ait-Ghezala G, et al. </w:t>
      </w:r>
      <w:r w:rsidRPr="008D2159">
        <w:rPr>
          <w:rFonts w:cs="Times New Roman"/>
          <w:szCs w:val="24"/>
          <w:lang w:val="en-IN"/>
          <w:i/>
        </w:rPr>
        <w:t xml:space="preserve">Bacopa monnieri</w:t>
      </w:r>
      <w:r w:rsidRPr="008D2159">
        <w:rPr>
          <w:rFonts w:cs="Times New Roman"/>
          <w:szCs w:val="24"/>
          <w:lang w:val="en-IN"/>
        </w:rPr>
        <w:t xml:space="preserve"> supplementation has no effect on serum brain-derived neurotrophic factor levels but beneficially modulates nuclear factor kappa B and cyclic AMP response element-binding protein levels in healthy elderly subjects. J Clin Transl Res. 2023;9(1):50-8. https://doi.org/10.18053/jctres.09.202301.007</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Silva YP, Bernardi A, Frozza RL. The role of short-chain fatty acids from gut microbiota in gut-brain communication. Front Endocrinol (Lausanne). 2020;11:25. https://doi.org/10.3389/fendo.2020.00025</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Fock E, Parnova R. Mechanisms of blood-brain barrier protection by microbiota-derived short-chain fatty acids. Cells. 2023;12(4):657. https://doi.org/10.3390/cells12040657</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Mu Y, Jin T, Peng T, Zhang YL, Li J, Yu R, et al. Nano-Chinese herbal medicines and their delivery strategies for central nervous system disease therapy. Nanoscale Horiz. 2025;10(11):2772-97. https://doi.org/10.1039/d5nh00277j</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Kataria D, Singh G. Health benefits of ghee: review of Ayurveda and modern science perspectives. J Ayurveda Integr Med. 2024;15(1):100819. https://doi.org/10.1016/j.jaim.2023.100819</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Kumar S, Singh AK. A clinical study to evaluate the effect of Dushivishari Ajay Ghrita in Dushivisha Janya Lakshana. J Ayurveda Integr Med Sci. 2019;4(2):7-10. https://doi.org/10.21760/jaims.v4i02.586</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Kumar R, Garg R. Formulation and evaluation of solid lipid nanoparticles loaded with bacoside rich extract. Int J Pharm Sci Res. 2020;11(1):371-7. https://doi.org/10.13040/IJPSR.0975-8232.11(1).371-77</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Barani M, Sangiovanni E, Angarano M, Rajizadeh MA, Mehrabani M, Piazza S, et al. Phytosomes as innovative delivery systems for phytochemicals: a comprehensive review of literature. Int J Nanomedicine. 2021;16:6983-7022. https://doi.org/10.2147/IJN.S318416</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Kulkarni AV, Hanchanale P, Prakash V, Kalal C, Sharma M, Kumar K, et al. </w:t>
      </w:r>
      <w:r w:rsidRPr="008D2159">
        <w:rPr>
          <w:rFonts w:cs="Times New Roman"/>
          <w:szCs w:val="24"/>
          <w:lang w:val="en-IN"/>
          <w:i/>
        </w:rPr>
        <w:t xml:space="preserve">Tinospora cordifolia</w:t>
      </w:r>
      <w:r w:rsidRPr="008D2159">
        <w:rPr>
          <w:rFonts w:cs="Times New Roman"/>
          <w:szCs w:val="24"/>
          <w:lang w:val="en-IN"/>
        </w:rPr>
        <w:t xml:space="preserve"> (Giloy)-induced liver injury during the COVID-19 pandemic: multicenter nationwide study from India. Hepatol Commun. 2022;6(6):1289-300. https://doi.org/10.1002/hep4.1904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Björnsson HK, Björnsson ES, Avula B, Khan IA, Jonasson JG, Ghabril M, et al. Ashwagandha-induced liver injury: a case series from Iceland and the US Drug-Induced Liver Injury Network. Liver Int. 2020;40(4):825-9. https://doi.org/10.1111/liv.14393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Saper RB, Phillips RS, Sehgal A, Khouri N, Davis RB, Paquin J, et al. Lead, mercury, and arsenic in US- and Indian-manufactured Ayurvedic medicines sold via the Internet. JAMA. 2008;300(8):915-23. https://doi.org/10.1001/jama.300.8.915</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Hopkins AL. Network pharmacology: the next paradigm in drug discovery. Nat Chem Biol. 2008;4(11):682-90. https://doi.org/10.1038/nchembio.118</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Chandran U, Mehendale N, Tillu G, Patwardhan B. Network pharmacology of Ayurveda formulation Triphala with special reference to anti-cancer property. Comb Chem High Throughput Screen. 2015;18(9):846-54. https://doi.org/10.2174/1386207318666151019093606</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Amrutha S, Abhinand CS, Upadhyay SS, Parvaje R, Prasad TS, Modi PK. Network pharmacology and metabolomics analysis of </w:t>
      </w:r>
      <w:r w:rsidRPr="008D2159">
        <w:rPr>
          <w:rFonts w:cs="Times New Roman"/>
          <w:szCs w:val="24"/>
          <w:lang w:val="en-IN"/>
          <w:i/>
        </w:rPr>
        <w:t xml:space="preserve">Tinospora cordifolia</w:t>
      </w:r>
      <w:r w:rsidRPr="008D2159">
        <w:rPr>
          <w:rFonts w:cs="Times New Roman"/>
          <w:szCs w:val="24"/>
          <w:lang w:val="en-IN"/>
        </w:rPr>
        <w:t xml:space="preserve"> reveals BACE1 and MAOB as potential therapeutic targets for neuroprotection in Alzheimer's disease. Sci Rep. 2025;15(1):8103. https://doi.org/10.1038/s41598-025-92756-5</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Surajudeen YA, Sheu RK, Ayokulehin KM, Olatunbosun AG. Oxidative stress indices in Nigerian pesticide applicators and farmers occupationally exposed to organophosphate pesticides. Int J Appl Basic Med Res. 2014;4(Suppl 1):S37-40. https://doi.org/10.4103/2229-516X.140730</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Lodovici M, Bigagli E. Oxidative stress and air pollution exposure. J Toxicol. 2011;2011:487074. https://doi.org/10.1155/2011/487074</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Gangwar RS, Bevan GH, Palanivel R, Das L, Rajagopalan S. Oxidative stress pathways of air pollution mediated toxicity: recent insights. Redox Biol. 2020;34:101545. https://doi.org/10.1016/j.redox.2020.101545</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Sierra-Vargas MP, Montero-Vargas JM, Debray-García Y, Vizuet-de-Rueda JC, Loaeza-Román A, Terán LM. Oxidative stress and air pollution: its impact on chronic respiratory diseases. Int J Mol Sci. 2023;24(1):853. https://doi.org/10.3390/ijms24010853</w:t>
      </w:r>
      <w:proofErr w:type="spellStart"/>
      <w:proofErr w:type="spellEnd"/>
      <w:proofErr w:type="spellStart"/>
      <w:proofErr w:type="spellEnd"/>
      <w:proofErr w:type="spellStart"/>
      <w:proofErr w:type="spellEnd"/>
    </w:p>
    <w:p w14:paraId="6A83D451" w14:textId="77777777" w:rsidR="008D2159" w:rsidRPr="008D2159" w:rsidRDefault="008D2159" w:rsidP="008D2159">
      <w:pPr>
        <w:pStyle w:val="ListParagraph"/>
        <w:numPr>
          <w:ilvl w:val="0"/>
          <w:numId w:val="10"/>
        </w:numPr>
        <w:spacing w:after="0" w:line="360" w:lineRule="auto"/>
        <w:jc w:val="left"/>
        <w:rPr>
          <w:rFonts w:cs="Times New Roman"/>
          <w:szCs w:val="24"/>
          <w:lang w:val="en-IN"/>
        </w:rPr>
      </w:pPr>
      <w:r w:rsidRPr="008D2159">
        <w:rPr>
          <w:rFonts w:cs="Times New Roman"/>
          <w:szCs w:val="24"/>
          <w:lang w:val="en-IN"/>
        </w:rPr>
        <w:t xml:space="preserve">Chobe SV, Chobe M, Metri K, Raghuram N. Yoga and Rasayana for mental health in age-related cognitive decline: a controlled trial. Indian J Sci Technol. 2022;15(9):364-70.</w:t>
      </w:r>
      <w:proofErr w:type="spellStart"/>
      <w:proofErr w:type="spellEnd"/>
      <w:proofErr w:type="spellStart"/>
      <w:proofErr w:type="spellEnd"/>
      <w:proofErr w:type="spellStart"/>
      <w:proofErr w:type="spellEnd"/>
    </w:p>
    <w:p w14:paraId="7F38A709" w14:textId="3DA47E08" w:rsidR="00492EC0" w:rsidRPr="008D2159" w:rsidRDefault="00492EC0" w:rsidP="008D2159">
      <w:pPr>
        <w:spacing w:after="0" w:line="360" w:lineRule="auto"/>
        <w:jc w:val="both"/>
        <w:rPr>
          <w:rFonts w:cs="Times New Roman"/>
          <w:szCs w:val="24"/>
        </w:rPr>
      </w:pPr>
    </w:p>
    <w:sectPr w:rsidR="00492EC0" w:rsidRPr="008D2159" w:rsidSect="007720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9B4107"/>
    <w:multiLevelType w:val="hybridMultilevel"/>
    <w:tmpl w:val="F70627E8"/>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DD43704"/>
    <w:multiLevelType w:val="multilevel"/>
    <w:tmpl w:val="96D86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5317776">
    <w:abstractNumId w:val="8"/>
  </w:num>
  <w:num w:numId="2" w16cid:durableId="1236477527">
    <w:abstractNumId w:val="6"/>
  </w:num>
  <w:num w:numId="3" w16cid:durableId="162791952">
    <w:abstractNumId w:val="5"/>
  </w:num>
  <w:num w:numId="4" w16cid:durableId="806317116">
    <w:abstractNumId w:val="4"/>
  </w:num>
  <w:num w:numId="5" w16cid:durableId="295988449">
    <w:abstractNumId w:val="7"/>
  </w:num>
  <w:num w:numId="6" w16cid:durableId="2015105830">
    <w:abstractNumId w:val="3"/>
  </w:num>
  <w:num w:numId="7" w16cid:durableId="1359235730">
    <w:abstractNumId w:val="2"/>
  </w:num>
  <w:num w:numId="8" w16cid:durableId="701904425">
    <w:abstractNumId w:val="1"/>
  </w:num>
  <w:num w:numId="9" w16cid:durableId="318773597">
    <w:abstractNumId w:val="0"/>
  </w:num>
  <w:num w:numId="10" w16cid:durableId="1578515011">
    <w:abstractNumId w:val="9"/>
  </w:num>
  <w:num w:numId="11" w16cid:durableId="3184619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5CC"/>
    <w:rsid w:val="00040E50"/>
    <w:rsid w:val="0006063C"/>
    <w:rsid w:val="000739DB"/>
    <w:rsid w:val="00090EC8"/>
    <w:rsid w:val="000A1F1C"/>
    <w:rsid w:val="000E126B"/>
    <w:rsid w:val="000E4624"/>
    <w:rsid w:val="000E6ABB"/>
    <w:rsid w:val="001470E9"/>
    <w:rsid w:val="0015074B"/>
    <w:rsid w:val="00163377"/>
    <w:rsid w:val="001736B8"/>
    <w:rsid w:val="001A416F"/>
    <w:rsid w:val="00202ACB"/>
    <w:rsid w:val="002169CD"/>
    <w:rsid w:val="002311B7"/>
    <w:rsid w:val="00270FB1"/>
    <w:rsid w:val="0029639D"/>
    <w:rsid w:val="002B7A2C"/>
    <w:rsid w:val="002C7AF6"/>
    <w:rsid w:val="002D5C9B"/>
    <w:rsid w:val="002E4B27"/>
    <w:rsid w:val="003173EB"/>
    <w:rsid w:val="00317F59"/>
    <w:rsid w:val="00326F90"/>
    <w:rsid w:val="00334568"/>
    <w:rsid w:val="00375A13"/>
    <w:rsid w:val="003D1B1E"/>
    <w:rsid w:val="003E3AED"/>
    <w:rsid w:val="00422232"/>
    <w:rsid w:val="00434CEB"/>
    <w:rsid w:val="004513F5"/>
    <w:rsid w:val="00453BE2"/>
    <w:rsid w:val="004562C9"/>
    <w:rsid w:val="0046290E"/>
    <w:rsid w:val="00464D04"/>
    <w:rsid w:val="00477F6B"/>
    <w:rsid w:val="00487926"/>
    <w:rsid w:val="00490318"/>
    <w:rsid w:val="00492EC0"/>
    <w:rsid w:val="004B08BC"/>
    <w:rsid w:val="0050265F"/>
    <w:rsid w:val="00521618"/>
    <w:rsid w:val="0053344D"/>
    <w:rsid w:val="00561687"/>
    <w:rsid w:val="00576B4F"/>
    <w:rsid w:val="00590F2C"/>
    <w:rsid w:val="005D3D3C"/>
    <w:rsid w:val="005D3DA8"/>
    <w:rsid w:val="005D417E"/>
    <w:rsid w:val="00612F66"/>
    <w:rsid w:val="00614870"/>
    <w:rsid w:val="00636D5E"/>
    <w:rsid w:val="00640871"/>
    <w:rsid w:val="00647AC9"/>
    <w:rsid w:val="00654D44"/>
    <w:rsid w:val="006946C5"/>
    <w:rsid w:val="006972E7"/>
    <w:rsid w:val="006C0255"/>
    <w:rsid w:val="006D07BB"/>
    <w:rsid w:val="006D0F6C"/>
    <w:rsid w:val="0070487A"/>
    <w:rsid w:val="00724861"/>
    <w:rsid w:val="00734177"/>
    <w:rsid w:val="0073678E"/>
    <w:rsid w:val="00741333"/>
    <w:rsid w:val="00743E3D"/>
    <w:rsid w:val="00772007"/>
    <w:rsid w:val="00776E18"/>
    <w:rsid w:val="00780636"/>
    <w:rsid w:val="007B4448"/>
    <w:rsid w:val="007B5EBB"/>
    <w:rsid w:val="007B67F9"/>
    <w:rsid w:val="00890028"/>
    <w:rsid w:val="00893C85"/>
    <w:rsid w:val="008C7459"/>
    <w:rsid w:val="008D2159"/>
    <w:rsid w:val="00901559"/>
    <w:rsid w:val="0090766E"/>
    <w:rsid w:val="00912206"/>
    <w:rsid w:val="00916E52"/>
    <w:rsid w:val="0092340D"/>
    <w:rsid w:val="00964B82"/>
    <w:rsid w:val="00976BE8"/>
    <w:rsid w:val="009B1A49"/>
    <w:rsid w:val="009D7FA7"/>
    <w:rsid w:val="009E104C"/>
    <w:rsid w:val="009E6620"/>
    <w:rsid w:val="00AA1D8D"/>
    <w:rsid w:val="00AA2A11"/>
    <w:rsid w:val="00AA5E68"/>
    <w:rsid w:val="00AB463A"/>
    <w:rsid w:val="00AC0680"/>
    <w:rsid w:val="00AC1172"/>
    <w:rsid w:val="00AD1513"/>
    <w:rsid w:val="00AD6C04"/>
    <w:rsid w:val="00AD749C"/>
    <w:rsid w:val="00AD795F"/>
    <w:rsid w:val="00AD7EF5"/>
    <w:rsid w:val="00AE0D3C"/>
    <w:rsid w:val="00AE7AA8"/>
    <w:rsid w:val="00B26CD6"/>
    <w:rsid w:val="00B37808"/>
    <w:rsid w:val="00B46FB1"/>
    <w:rsid w:val="00B47730"/>
    <w:rsid w:val="00B607C0"/>
    <w:rsid w:val="00B8452A"/>
    <w:rsid w:val="00BA3647"/>
    <w:rsid w:val="00BA692E"/>
    <w:rsid w:val="00BD04A6"/>
    <w:rsid w:val="00BD3BC6"/>
    <w:rsid w:val="00C60C3C"/>
    <w:rsid w:val="00C62DC1"/>
    <w:rsid w:val="00C6488F"/>
    <w:rsid w:val="00C76598"/>
    <w:rsid w:val="00C82F79"/>
    <w:rsid w:val="00CA53FF"/>
    <w:rsid w:val="00CB0664"/>
    <w:rsid w:val="00CC3505"/>
    <w:rsid w:val="00CE0002"/>
    <w:rsid w:val="00CE0943"/>
    <w:rsid w:val="00CE4A65"/>
    <w:rsid w:val="00CF14E1"/>
    <w:rsid w:val="00D61308"/>
    <w:rsid w:val="00D77060"/>
    <w:rsid w:val="00DA36A0"/>
    <w:rsid w:val="00DE6136"/>
    <w:rsid w:val="00E3166E"/>
    <w:rsid w:val="00E51951"/>
    <w:rsid w:val="00E578DB"/>
    <w:rsid w:val="00E72008"/>
    <w:rsid w:val="00E92CFB"/>
    <w:rsid w:val="00EA2E69"/>
    <w:rsid w:val="00EA4452"/>
    <w:rsid w:val="00EB26CB"/>
    <w:rsid w:val="00EB3B94"/>
    <w:rsid w:val="00F024AA"/>
    <w:rsid w:val="00F14816"/>
    <w:rsid w:val="00F32122"/>
    <w:rsid w:val="00F32829"/>
    <w:rsid w:val="00F7369D"/>
    <w:rsid w:val="00F75168"/>
    <w:rsid w:val="00FB3029"/>
    <w:rsid w:val="00FC00F3"/>
    <w:rsid w:val="00FC693F"/>
    <w:rsid w:val="00FF5E8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6672D"/>
  <w14:defaultImageDpi w14:val="300"/>
  <w15:docId w15:val="{2C24AAAD-A9C7-458B-9167-F9F7A4D4E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D3DA8"/>
    <w:rPr>
      <w:color w:val="0000FF" w:themeColor="hyperlink"/>
      <w:u w:val="single"/>
    </w:rPr>
  </w:style>
  <w:style w:type="character" w:styleId="UnresolvedMention">
    <w:name w:val="Unresolved Mention"/>
    <w:basedOn w:val="DefaultParagraphFont"/>
    <w:uiPriority w:val="99"/>
    <w:semiHidden/>
    <w:unhideWhenUsed/>
    <w:rsid w:val="008D21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emini.google.com/" TargetMode="External"/><Relationship Id="rId21" Type="http://schemas.openxmlformats.org/officeDocument/2006/relationships/hyperlink" Target="https://gemini.google.com/" TargetMode="External"/><Relationship Id="rId42" Type="http://schemas.openxmlformats.org/officeDocument/2006/relationships/hyperlink" Target="https://gemini.google.com/" TargetMode="External"/><Relationship Id="rId47" Type="http://schemas.openxmlformats.org/officeDocument/2006/relationships/hyperlink" Target="https://gemini.google.com/" TargetMode="External"/><Relationship Id="rId63" Type="http://schemas.openxmlformats.org/officeDocument/2006/relationships/hyperlink" Target="https://gemini.google.com/" TargetMode="External"/><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gemini.google.com/" TargetMode="External"/><Relationship Id="rId29" Type="http://schemas.openxmlformats.org/officeDocument/2006/relationships/hyperlink" Target="https://gemini.google.com/" TargetMode="External"/><Relationship Id="rId11" Type="http://schemas.openxmlformats.org/officeDocument/2006/relationships/hyperlink" Target="https://gemini.google.com/" TargetMode="External"/><Relationship Id="rId24" Type="http://schemas.openxmlformats.org/officeDocument/2006/relationships/hyperlink" Target="https://gemini.google.com/" TargetMode="External"/><Relationship Id="rId32" Type="http://schemas.openxmlformats.org/officeDocument/2006/relationships/hyperlink" Target="https://gemini.google.com/" TargetMode="External"/><Relationship Id="rId37" Type="http://schemas.openxmlformats.org/officeDocument/2006/relationships/hyperlink" Target="https://gemini.google.com/" TargetMode="External"/><Relationship Id="rId40" Type="http://schemas.openxmlformats.org/officeDocument/2006/relationships/hyperlink" Target="https://gemini.google.com/" TargetMode="External"/><Relationship Id="rId45" Type="http://schemas.openxmlformats.org/officeDocument/2006/relationships/hyperlink" Target="https://gemini.google.com/" TargetMode="External"/><Relationship Id="rId53" Type="http://schemas.openxmlformats.org/officeDocument/2006/relationships/hyperlink" Target="https://gemini.google.com/" TargetMode="External"/><Relationship Id="rId58" Type="http://schemas.openxmlformats.org/officeDocument/2006/relationships/hyperlink" Target="https://gemini.google.com/" TargetMode="External"/><Relationship Id="rId66" Type="http://schemas.openxmlformats.org/officeDocument/2006/relationships/hyperlink" Target="https://gemini.google.com/" TargetMode="External"/><Relationship Id="rId5" Type="http://schemas.openxmlformats.org/officeDocument/2006/relationships/webSettings" Target="webSettings.xml"/><Relationship Id="rId61" Type="http://schemas.openxmlformats.org/officeDocument/2006/relationships/hyperlink" Target="https://gemini.google.com/" TargetMode="External"/><Relationship Id="rId19" Type="http://schemas.openxmlformats.org/officeDocument/2006/relationships/hyperlink" Target="https://gemini.google.com/" TargetMode="External"/><Relationship Id="rId14" Type="http://schemas.openxmlformats.org/officeDocument/2006/relationships/hyperlink" Target="https://gemini.google.com/" TargetMode="External"/><Relationship Id="rId22" Type="http://schemas.openxmlformats.org/officeDocument/2006/relationships/hyperlink" Target="https://gemini.google.com/" TargetMode="External"/><Relationship Id="rId27" Type="http://schemas.openxmlformats.org/officeDocument/2006/relationships/hyperlink" Target="https://gemini.google.com/" TargetMode="External"/><Relationship Id="rId30" Type="http://schemas.openxmlformats.org/officeDocument/2006/relationships/hyperlink" Target="https://gemini.google.com/" TargetMode="External"/><Relationship Id="rId35" Type="http://schemas.openxmlformats.org/officeDocument/2006/relationships/hyperlink" Target="https://gemini.google.com/" TargetMode="External"/><Relationship Id="rId43" Type="http://schemas.openxmlformats.org/officeDocument/2006/relationships/hyperlink" Target="https://gemini.google.com/" TargetMode="External"/><Relationship Id="rId48" Type="http://schemas.openxmlformats.org/officeDocument/2006/relationships/hyperlink" Target="https://gemini.google.com/" TargetMode="External"/><Relationship Id="rId56" Type="http://schemas.openxmlformats.org/officeDocument/2006/relationships/hyperlink" Target="https://gemini.google.com/" TargetMode="External"/><Relationship Id="rId64" Type="http://schemas.openxmlformats.org/officeDocument/2006/relationships/hyperlink" Target="https://gemini.google.com/" TargetMode="External"/><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gemini.google.com/" TargetMode="External"/><Relationship Id="rId3" Type="http://schemas.openxmlformats.org/officeDocument/2006/relationships/styles" Target="styles.xml"/><Relationship Id="rId12" Type="http://schemas.openxmlformats.org/officeDocument/2006/relationships/hyperlink" Target="https://gemini.google.com/" TargetMode="External"/><Relationship Id="rId17" Type="http://schemas.openxmlformats.org/officeDocument/2006/relationships/hyperlink" Target="https://gemini.google.com/" TargetMode="External"/><Relationship Id="rId25" Type="http://schemas.openxmlformats.org/officeDocument/2006/relationships/hyperlink" Target="https://gemini.google.com/" TargetMode="External"/><Relationship Id="rId33" Type="http://schemas.openxmlformats.org/officeDocument/2006/relationships/hyperlink" Target="https://gemini.google.com/" TargetMode="External"/><Relationship Id="rId38" Type="http://schemas.openxmlformats.org/officeDocument/2006/relationships/hyperlink" Target="https://gemini.google.com/" TargetMode="External"/><Relationship Id="rId46" Type="http://schemas.openxmlformats.org/officeDocument/2006/relationships/hyperlink" Target="https://gemini.google.com/" TargetMode="External"/><Relationship Id="rId59" Type="http://schemas.openxmlformats.org/officeDocument/2006/relationships/hyperlink" Target="https://gemini.google.com/" TargetMode="External"/><Relationship Id="rId67" Type="http://schemas.openxmlformats.org/officeDocument/2006/relationships/hyperlink" Target="https://gemini.google.com/" TargetMode="External"/><Relationship Id="rId20" Type="http://schemas.openxmlformats.org/officeDocument/2006/relationships/hyperlink" Target="https://gemini.google.com/" TargetMode="External"/><Relationship Id="rId41" Type="http://schemas.openxmlformats.org/officeDocument/2006/relationships/hyperlink" Target="https://gemini.google.com/" TargetMode="External"/><Relationship Id="rId54" Type="http://schemas.openxmlformats.org/officeDocument/2006/relationships/hyperlink" Target="https://gemini.google.com/" TargetMode="External"/><Relationship Id="rId62" Type="http://schemas.openxmlformats.org/officeDocument/2006/relationships/hyperlink" Target="https://gemini.google.com/" TargetMode="External"/><Relationship Id="rId1" Type="http://schemas.openxmlformats.org/officeDocument/2006/relationships/customXml" Target="../customXml/item1.xml"/><Relationship Id="rId6" Type="http://schemas.openxmlformats.org/officeDocument/2006/relationships/hyperlink" Target="mailto:sumitdhote12@gmail.com" TargetMode="External"/><Relationship Id="rId15" Type="http://schemas.openxmlformats.org/officeDocument/2006/relationships/hyperlink" Target="https://gemini.google.com/" TargetMode="External"/><Relationship Id="rId23" Type="http://schemas.openxmlformats.org/officeDocument/2006/relationships/hyperlink" Target="https://gemini.google.com/" TargetMode="External"/><Relationship Id="rId28" Type="http://schemas.openxmlformats.org/officeDocument/2006/relationships/hyperlink" Target="https://gemini.google.com/" TargetMode="External"/><Relationship Id="rId36" Type="http://schemas.openxmlformats.org/officeDocument/2006/relationships/hyperlink" Target="https://gemini.google.com/" TargetMode="External"/><Relationship Id="rId49" Type="http://schemas.openxmlformats.org/officeDocument/2006/relationships/hyperlink" Target="https://gemini.google.com/" TargetMode="External"/><Relationship Id="rId57" Type="http://schemas.openxmlformats.org/officeDocument/2006/relationships/hyperlink" Target="https://gemini.google.com/" TargetMode="External"/><Relationship Id="rId10" Type="http://schemas.openxmlformats.org/officeDocument/2006/relationships/hyperlink" Target="https://gemini.google.com/" TargetMode="External"/><Relationship Id="rId31" Type="http://schemas.openxmlformats.org/officeDocument/2006/relationships/hyperlink" Target="https://gemini.google.com/" TargetMode="External"/><Relationship Id="rId44" Type="http://schemas.openxmlformats.org/officeDocument/2006/relationships/hyperlink" Target="https://gemini.google.com/" TargetMode="External"/><Relationship Id="rId52" Type="http://schemas.openxmlformats.org/officeDocument/2006/relationships/hyperlink" Target="https://gemini.google.com/" TargetMode="External"/><Relationship Id="rId60" Type="http://schemas.openxmlformats.org/officeDocument/2006/relationships/hyperlink" Target="https://gemini.google.com/" TargetMode="External"/><Relationship Id="rId65" Type="http://schemas.openxmlformats.org/officeDocument/2006/relationships/hyperlink" Target="https://gemini.google.com/" TargetMode="External"/><Relationship Id="rId4" Type="http://schemas.openxmlformats.org/officeDocument/2006/relationships/settings" Target="settings.xml"/><Relationship Id="rId9" Type="http://schemas.openxmlformats.org/officeDocument/2006/relationships/hyperlink" Target="https://www.google.com/search?q=https://doi.org/10.4103/IJHSC.IJHSC_3_25" TargetMode="External"/><Relationship Id="rId13" Type="http://schemas.openxmlformats.org/officeDocument/2006/relationships/hyperlink" Target="https://gemini.google.com/" TargetMode="External"/><Relationship Id="rId18" Type="http://schemas.openxmlformats.org/officeDocument/2006/relationships/hyperlink" Target="https://gemini.google.com/" TargetMode="External"/><Relationship Id="rId39" Type="http://schemas.openxmlformats.org/officeDocument/2006/relationships/hyperlink" Target="https://gemini.google.com/" TargetMode="External"/><Relationship Id="rId34" Type="http://schemas.openxmlformats.org/officeDocument/2006/relationships/hyperlink" Target="https://gemini.google.com/" TargetMode="External"/><Relationship Id="rId50" Type="http://schemas.openxmlformats.org/officeDocument/2006/relationships/hyperlink" Target="https://gemini.google.com/" TargetMode="External"/><Relationship Id="rId55" Type="http://schemas.openxmlformats.org/officeDocument/2006/relationships/hyperlink" Target="https://gemini.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22</Pages>
  <Words>7114</Words>
  <Characters>40556</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Priyanshu Singh</cp:lastModifiedBy>
  <cp:revision>9</cp:revision>
  <dcterms:created xsi:type="dcterms:W3CDTF">2026-04-23T05:51:00Z</dcterms:created>
  <dcterms:modified xsi:type="dcterms:W3CDTF">2026-05-10T05:05:00Z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33684011-9752-4c49-95f2-a9fa9d53daf9</vt:lpwstr>
  </property>
</Properties>
</file>