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cs="Times New Roman" w:eastAsia="Times New Roman"/>
          <w:b/>
          <w:color w:val="000000"/>
          <w:sz w:val="28"/>
        </w:rPr>
        <w:t>From composition to circuit: the neuroepithelial turn in microbiota–gut–brain research</w:t>
      </w:r>
    </w:p>
    <w:p>
      <w:pPr>
        <w:spacing w:line="480" w:lineRule="auto"/>
      </w:pPr>
      <w:r>
        <w:rPr>
          <w:rFonts w:ascii="Times New Roman" w:hAnsi="Times New Roman" w:cs="Times New Roman" w:eastAsia="Times New Roman"/>
          <w:b/>
          <w:color w:val="000000"/>
        </w:rPr>
        <w:t>Article type:</w:t>
      </w:r>
      <w:r>
        <w:rPr>
          <w:rFonts w:ascii="Times New Roman" w:hAnsi="Times New Roman" w:cs="Times New Roman" w:eastAsia="Times New Roman"/>
          <w:color w:val="000000"/>
        </w:rPr>
        <w:t xml:space="preserve"> Review</w:t>
      </w:r>
    </w:p>
    <w:p>
      <w:pPr>
        <w:spacing w:line="480" w:lineRule="auto"/>
      </w:pPr>
      <w:r>
        <w:rPr>
          <w:rFonts w:ascii="Times New Roman" w:hAnsi="Times New Roman" w:cs="Times New Roman" w:eastAsia="Times New Roman"/>
          <w:b/>
          <w:color w:val="000000"/>
        </w:rPr>
        <w:t>Running title:</w:t>
      </w:r>
      <w:r>
        <w:rPr>
          <w:rFonts w:ascii="Times New Roman" w:hAnsi="Times New Roman" w:cs="Times New Roman" w:eastAsia="Times New Roman"/>
          <w:color w:val="000000"/>
        </w:rPr>
        <w:t xml:space="preserve"> From composition to circuit</w:t>
      </w:r>
    </w:p>
    <w:p>
      <w:pPr>
        <w:spacing w:line="480" w:lineRule="auto"/>
      </w:pPr>
      <w:r>
        <w:rPr>
          <w:rFonts w:ascii="Times New Roman" w:hAnsi="Times New Roman" w:cs="Times New Roman" w:eastAsia="Times New Roman"/>
          <w:b/>
          <w:color w:val="000000"/>
        </w:rPr>
        <w:t>Authors:</w:t>
      </w:r>
      <w:r>
        <w:rPr>
          <w:rFonts w:ascii="Times New Roman" w:hAnsi="Times New Roman" w:cs="Times New Roman" w:eastAsia="Times New Roman"/>
          <w:color w:val="000000"/>
        </w:rPr>
        <w:t xml:space="preserve"> [Author 1]</w:t>
      </w:r>
      <w:r>
        <w:rPr>
          <w:rFonts w:ascii="Times New Roman" w:hAnsi="Times New Roman" w:cs="Times New Roman" w:eastAsia="Times New Roman"/>
          <w:color w:val="000000"/>
          <w:vertAlign w:val="superscript"/>
        </w:rPr>
        <w:t>1</w:t>
      </w:r>
      <w:r>
        <w:rPr>
          <w:rFonts w:ascii="Times New Roman" w:hAnsi="Times New Roman" w:cs="Times New Roman" w:eastAsia="Times New Roman"/>
          <w:color w:val="000000"/>
        </w:rPr>
        <w:t>, [Author 2]</w:t>
      </w:r>
      <w:r>
        <w:rPr>
          <w:rFonts w:ascii="Times New Roman" w:hAnsi="Times New Roman" w:cs="Times New Roman" w:eastAsia="Times New Roman"/>
          <w:color w:val="000000"/>
          <w:vertAlign w:val="superscript"/>
        </w:rPr>
        <w:t>2</w:t>
      </w:r>
    </w:p>
    <w:p>
      <w:pPr>
        <w:spacing w:line="480" w:lineRule="auto"/>
      </w:pPr>
      <w:r>
        <w:rPr>
          <w:rFonts w:ascii="Times New Roman" w:hAnsi="Times New Roman" w:cs="Times New Roman" w:eastAsia="Times New Roman"/>
          <w:color w:val="000000"/>
          <w:vertAlign w:val="superscript"/>
        </w:rPr>
        <w:t>1</w:t>
      </w:r>
      <w:r>
        <w:rPr>
          <w:rFonts w:ascii="Times New Roman" w:hAnsi="Times New Roman" w:cs="Times New Roman" w:eastAsia="Times New Roman"/>
          <w:color w:val="000000"/>
        </w:rPr>
        <w:t xml:space="preserve">[Department, Institution, City, State, PIN, Country] </w:t>
      </w:r>
      <w:r>
        <w:rPr>
          <w:rFonts w:ascii="Times New Roman" w:hAnsi="Times New Roman" w:cs="Times New Roman" w:eastAsia="Times New Roman"/>
          <w:color w:val="000000"/>
          <w:vertAlign w:val="superscript"/>
        </w:rPr>
        <w:t>2</w:t>
      </w:r>
      <w:r>
        <w:rPr>
          <w:rFonts w:ascii="Times New Roman" w:hAnsi="Times New Roman" w:cs="Times New Roman" w:eastAsia="Times New Roman"/>
          <w:color w:val="000000"/>
        </w:rPr>
        <w:t>[Department, Institution, City, State, PIN, Country]</w:t>
      </w:r>
    </w:p>
    <w:p>
      <w:pPr>
        <w:spacing w:line="480" w:lineRule="auto"/>
      </w:pPr>
      <w:r>
        <w:rPr>
          <w:rFonts w:ascii="Times New Roman" w:hAnsi="Times New Roman" w:cs="Times New Roman" w:eastAsia="Times New Roman"/>
          <w:b/>
          <w:color w:val="000000"/>
        </w:rPr>
        <w:t>Corresponding author:</w:t>
      </w:r>
      <w:r>
        <w:rPr>
          <w:rFonts w:ascii="Times New Roman" w:hAnsi="Times New Roman" w:cs="Times New Roman" w:eastAsia="Times New Roman"/>
          <w:color w:val="000000"/>
        </w:rPr>
        <w:t xml:space="preserve"> [Name, postal address, e-mail, ORCID]</w:t>
      </w:r>
    </w:p>
    <w:p>
      <w:pPr>
        <w:spacing w:line="480" w:lineRule="auto"/>
      </w:pPr>
      <w:r>
        <w:rPr>
          <w:rFonts w:ascii="Times New Roman" w:hAnsi="Times New Roman" w:cs="Times New Roman" w:eastAsia="Times New Roman"/>
          <w:b/>
          <w:color w:val="000000"/>
        </w:rPr>
        <w:t>Word count:</w:t>
      </w:r>
      <w:r>
        <w:rPr>
          <w:rFonts w:ascii="Times New Roman" w:hAnsi="Times New Roman" w:cs="Times New Roman" w:eastAsia="Times New Roman"/>
          <w:color w:val="000000"/>
        </w:rPr>
        <w:t xml:space="preserve"> abstract 241 words; main text 5,835 words (excluding title page, abstract, headings, tables, figure legends, citation numbers and references). Tables: 4. Figures: 2. References: 106.</w:t>
      </w:r>
    </w:p>
    <w:p>
      <w:pPr>
        <w:spacing w:line="480" w:lineRule="auto"/>
      </w:pPr>
      <w:r>
        <w:rPr>
          <w:rFonts w:ascii="Times New Roman" w:hAnsi="Times New Roman" w:cs="Times New Roman" w:eastAsia="Times New Roman"/>
          <w:b/>
          <w:color w:val="000000"/>
          <w:sz w:val="24"/>
        </w:rPr>
        <w:t>Abstract</w:t>
      </w:r>
    </w:p>
    <w:p>
      <w:pPr>
        <w:spacing w:line="480" w:lineRule="auto"/>
      </w:pPr>
      <w:r>
        <w:rPr>
          <w:rFonts w:ascii="Times New Roman" w:hAnsi="Times New Roman" w:cs="Times New Roman" w:eastAsia="Times New Roman"/>
          <w:color w:val="000000"/>
        </w:rPr>
        <w:t>Two literatures carry the name microbiota–gut–brain axis, and they do not meet the same evidential standard. The older one treats gut microbes as a diffuse humoral influence on the brain, measured as community composition and correlated with behavioural or psychiatric outcomes. Its human evidence has not consolidated. Composition varies with diet, drugs and disease; antipsychotics and antidepressants inhibit gut bacteria directly, so the exposure and the treatment are entangled. Mendelian randomisation studies drawing instruments from the same 16S genome-wide data return mutually contradictory taxon lists, and meta-analyses of the same intervention report effects from large to null, with pooled estimates for faecal microbiota transplantation in depression spanning −1.21 to −0.10 with a confidence interval crossing zero. The second literature is anatomical. It names epithelial sensory cells, their stimuli, their transmitters and the vagal afferents they contact, then tests those connections by optogenetics, monosynaptic tracing and selective denervation. Neuropod cells transduce luminal sugars to vagal neurons in milliseconds through glutamate. Enterochromaffin cells couple irritants and metabolites to 5-HT3-bearing afferents, and drive visceral pain and anxiety when activated. A 2025 result joined the two accounts by showing that colonic neuropod cells detect a bacterial structural protein through Toll-like receptor 5 and signal feeding through peptide YY onto NPY2R vagal neurons. We argue that microbial signalling should be modelled as input to defined sensory channels rather than as systemic exposure to a community, and set out what that changes for design, endpoints and targets.</w:t>
      </w:r>
    </w:p>
    <w:p>
      <w:pPr>
        <w:spacing w:line="480" w:lineRule="auto"/>
      </w:pPr>
      <w:r>
        <w:rPr>
          <w:rFonts w:ascii="Times New Roman" w:hAnsi="Times New Roman" w:cs="Times New Roman" w:eastAsia="Times New Roman"/>
          <w:b/>
          <w:color w:val="000000"/>
        </w:rPr>
        <w:t>Keywords:</w:t>
      </w:r>
      <w:r>
        <w:rPr>
          <w:rFonts w:ascii="Times New Roman" w:hAnsi="Times New Roman" w:cs="Times New Roman" w:eastAsia="Times New Roman"/>
          <w:color w:val="000000"/>
        </w:rPr>
        <w:t xml:space="preserve"> microbiota–gut–brain axis; neuropod cells; vagal afferents; enterochromaffin cells; Toll-like receptor 5; causal inference; faecal microbiota transplantation</w:t>
      </w:r>
    </w:p>
    <w:p>
      <w:pPr>
        <w:spacing w:line="480" w:lineRule="auto"/>
      </w:pPr>
      <w:r>
        <w:rPr>
          <w:rFonts w:ascii="Times New Roman" w:hAnsi="Times New Roman" w:cs="Times New Roman" w:eastAsia="Times New Roman"/>
          <w:b/>
          <w:color w:val="000000"/>
          <w:sz w:val="24"/>
        </w:rPr>
        <w:t>1. Introduction</w:t>
      </w:r>
    </w:p>
    <w:p>
      <w:pPr>
        <w:spacing w:line="480" w:lineRule="auto"/>
      </w:pPr>
      <w:r>
        <w:rPr>
          <w:rFonts w:ascii="Times New Roman" w:hAnsi="Times New Roman" w:cs="Times New Roman" w:eastAsia="Times New Roman"/>
          <w:color w:val="000000"/>
        </w:rPr>
        <w:t>Ask what the gut microbiota does to the brain and you get two kinds of answer.</w:t>
      </w:r>
    </w:p>
    <w:p>
      <w:pPr>
        <w:spacing w:line="480" w:lineRule="auto"/>
      </w:pPr>
      <w:r>
        <w:rPr>
          <w:rFonts w:ascii="Times New Roman" w:hAnsi="Times New Roman" w:cs="Times New Roman" w:eastAsia="Times New Roman"/>
          <w:color w:val="000000"/>
        </w:rPr>
        <w:t>One describes a community: certain taxa are depleted in depression, metabolites cross into circulation, germ-free animals behave strangely, and restoring the community restores the phenotype [1–3]. Another describes a wire. Here a specific epithelial cell detects a specific molecule and releases a transmitter onto a named vagal afferent; the signal reaches the brainstem in milliseconds [4].</w:t>
      </w:r>
    </w:p>
    <w:p>
      <w:pPr>
        <w:spacing w:line="480" w:lineRule="auto"/>
      </w:pPr>
      <w:r>
        <w:rPr>
          <w:rFonts w:ascii="Times New Roman" w:hAnsi="Times New Roman" w:cs="Times New Roman" w:eastAsia="Times New Roman"/>
          <w:color w:val="000000"/>
        </w:rPr>
        <w:t>Both accounts appear in the same reviews, often in adjacent paragraphs, as though they were two descriptions of one mechanism at different resolutions. They are not. Different claims, different methods — and over the past decade, evidence of markedly different quality.</w:t>
      </w:r>
    </w:p>
    <w:p>
      <w:pPr>
        <w:spacing w:line="480" w:lineRule="auto"/>
      </w:pPr>
      <w:r>
        <w:rPr>
          <w:rFonts w:ascii="Times New Roman" w:hAnsi="Times New Roman" w:cs="Times New Roman" w:eastAsia="Times New Roman"/>
          <w:color w:val="000000"/>
        </w:rPr>
        <w:t xml:space="preserve">Of the two, the compositional account has the larger literature and the weaker human record. Its foundational animal work is real: germ-free mice mount exaggerated corticosterone responses to restraint stress, an effect reversed by monocolonisation with </w:t>
      </w:r>
      <w:r>
        <w:rPr>
          <w:rFonts w:ascii="Times New Roman" w:hAnsi="Times New Roman" w:cs="Times New Roman" w:eastAsia="Times New Roman"/>
          <w:i/>
          <w:color w:val="000000"/>
        </w:rPr>
        <w:t>Bifidobacterium infantis</w:t>
      </w:r>
      <w:r>
        <w:rPr>
          <w:rFonts w:ascii="Times New Roman" w:hAnsi="Times New Roman" w:cs="Times New Roman" w:eastAsia="Times New Roman"/>
          <w:color w:val="000000"/>
        </w:rPr>
        <w:t xml:space="preserve">, with reduced hippocampal and cortical BDNF alongside [5]. Colonisation shapes brain development and adult behaviour [6], and microbial depletion in adolescence leaves lasting neurochemical marks [7]. Human population work has found reproducible correlations, including depletion of </w:t>
      </w:r>
      <w:r>
        <w:rPr>
          <w:rFonts w:ascii="Times New Roman" w:hAnsi="Times New Roman" w:cs="Times New Roman" w:eastAsia="Times New Roman"/>
          <w:i/>
          <w:color w:val="000000"/>
        </w:rPr>
        <w:t>Coprococcus</w:t>
      </w:r>
      <w:r>
        <w:rPr>
          <w:rFonts w:ascii="Times New Roman" w:hAnsi="Times New Roman" w:cs="Times New Roman" w:eastAsia="Times New Roman"/>
          <w:color w:val="000000"/>
        </w:rPr>
        <w:t xml:space="preserve"> and </w:t>
      </w:r>
      <w:r>
        <w:rPr>
          <w:rFonts w:ascii="Times New Roman" w:hAnsi="Times New Roman" w:cs="Times New Roman" w:eastAsia="Times New Roman"/>
          <w:i/>
          <w:color w:val="000000"/>
        </w:rPr>
        <w:t>Dialister</w:t>
      </w:r>
      <w:r>
        <w:rPr>
          <w:rFonts w:ascii="Times New Roman" w:hAnsi="Times New Roman" w:cs="Times New Roman" w:eastAsia="Times New Roman"/>
          <w:color w:val="000000"/>
        </w:rPr>
        <w:t xml:space="preserve"> in people reporting depression across a cohort of over a thousand with independent validation [8]. What has not followed is a causal account that survives the usual tests.</w:t>
      </w:r>
    </w:p>
    <w:p>
      <w:pPr>
        <w:spacing w:line="480" w:lineRule="auto"/>
      </w:pPr>
      <w:r>
        <w:rPr>
          <w:rFonts w:ascii="Times New Roman" w:hAnsi="Times New Roman" w:cs="Times New Roman" w:eastAsia="Times New Roman"/>
          <w:color w:val="000000"/>
        </w:rPr>
        <w:t>Its counterpart has the smaller literature and the stronger evidence. Bohórquez and colleagues first described the neuropod, a cytoplasmic process by which enteroendocrine cells contact neurons [9]. Kaelberer and colleagues then showed those cells form genuine synapses with vagal nodose neurons, transducing luminal sugar through glutamate on a millisecond timescale, with the connection mapped by monosynaptic rabies tracing and confirmed optogenetically [4]. Bellono and colleagues established that enterochromaffin cells are excitable chemosensors coupling irritants and metabolites to 5-HT3-bearing afferent fibres [10]. Bai and colleagues produced a genetic map of the vagal sensory neurons innervating the gut, resolving mechanoreceptive and chemoreceptive populations by marker gene [11], and Kupari and colleagues resolved 24 molecular subtypes across the vagal ganglia [12].</w:t>
      </w:r>
    </w:p>
    <w:p>
      <w:pPr>
        <w:spacing w:line="480" w:lineRule="auto"/>
      </w:pPr>
      <w:r>
        <w:rPr>
          <w:rFonts w:ascii="Times New Roman" w:hAnsi="Times New Roman" w:cs="Times New Roman" w:eastAsia="Times New Roman"/>
          <w:color w:val="000000"/>
        </w:rPr>
        <w:t>An anatomical fact frames the whole dispute. Between 75 and 90 per cent of vagal fibres are afferent [13,14]. What the compositional literature treats mainly as an efferent modulator of gut function is, by fibre count, overwhelmingly a sensory cable running the other way. Gut speaks to brain far more than brain speaks to gut, and the hardware for that conversation is sensory.</w:t>
      </w:r>
    </w:p>
    <w:p>
      <w:pPr>
        <w:spacing w:line="480" w:lineRule="auto"/>
      </w:pPr>
      <w:r>
        <w:rPr>
          <w:rFonts w:ascii="Times New Roman" w:hAnsi="Times New Roman" w:cs="Times New Roman" w:eastAsia="Times New Roman"/>
          <w:color w:val="000000"/>
        </w:rPr>
        <w:t>Until recently these two accounts had little to say to each other, because the circuit work studied nutrients and the compositional work studied microbes. In 2025 that changed. Liu and colleagues reported that colonic neuropod cells detect flagellin, a bacterial structural protein, through Toll-like receptor 5, and signal through peptide YY onto NPY2R-expressing vagal neurons to suppress feeding [15]. Microbial material is sensed by a named cell, through a named receptor, along a named line.</w:t>
      </w:r>
    </w:p>
    <w:p>
      <w:pPr>
        <w:spacing w:line="480" w:lineRule="auto"/>
      </w:pPr>
      <w:r>
        <w:rPr>
          <w:rFonts w:ascii="Times New Roman" w:hAnsi="Times New Roman" w:cs="Times New Roman" w:eastAsia="Times New Roman"/>
          <w:color w:val="000000"/>
        </w:rPr>
        <w:t>Our argument is that the second architecture should now organise the field, and that treating microbial influence as systemic exposure to a community has cost more than it has gained. We are not claiming the compositional account is false. We are claiming it is under-specified in a way that has made it hard to falsify, and that the specificity required to fix that is now available.</w:t>
      </w:r>
    </w:p>
    <w:p>
      <w:pPr>
        <w:spacing w:line="480" w:lineRule="auto"/>
      </w:pPr>
      <w:r>
        <w:rPr>
          <w:rFonts w:ascii="Times New Roman" w:hAnsi="Times New Roman" w:cs="Times New Roman" w:eastAsia="Times New Roman"/>
          <w:color w:val="000000"/>
        </w:rPr>
        <w:t>The stakes are not academic. Depressive and anxiety disorders rose sharply during the pandemic years, with an estimated 53.2 million additional cases of major depressive disorder worldwide in 2020 alone [16], and depressive disorders remain among the leading causes of years lived with disability [17]. Appetite for a tractable biological handle on them is correspondingly large. A field that offers one without being able to defend it does damage of its own.</w:t>
      </w:r>
    </w:p>
    <w:p>
      <w:pPr>
        <w:spacing w:line="480" w:lineRule="auto"/>
      </w:pPr>
      <w:r>
        <w:rPr>
          <w:rFonts w:ascii="Times New Roman" w:hAnsi="Times New Roman" w:cs="Times New Roman" w:eastAsia="Times New Roman"/>
          <w:b/>
          <w:color w:val="000000"/>
          <w:sz w:val="24"/>
        </w:rPr>
        <w:t>2. Materials and methods</w:t>
      </w:r>
    </w:p>
    <w:p>
      <w:pPr>
        <w:spacing w:line="480" w:lineRule="auto"/>
      </w:pPr>
      <w:r>
        <w:rPr>
          <w:rFonts w:ascii="Times New Roman" w:hAnsi="Times New Roman" w:cs="Times New Roman" w:eastAsia="Times New Roman"/>
          <w:color w:val="000000"/>
        </w:rPr>
        <w:t>This is a critical narrative review rather than a systematic one. We registered no protocol and make no claim to exhaustive retrieval; the synthesis is interpretive, and we have tried to mark where evidence is thin.</w:t>
      </w:r>
    </w:p>
    <w:p>
      <w:pPr>
        <w:spacing w:line="480" w:lineRule="auto"/>
      </w:pPr>
      <w:r>
        <w:rPr>
          <w:rFonts w:ascii="Times New Roman" w:hAnsi="Times New Roman" w:cs="Times New Roman" w:eastAsia="Times New Roman"/>
          <w:color w:val="000000"/>
        </w:rPr>
        <w:t>We searched PubMed/MEDLINE, Scopus and Google Scholar across the circuit literature (</w:t>
      </w:r>
      <w:r>
        <w:rPr>
          <w:rFonts w:ascii="Times New Roman" w:hAnsi="Times New Roman" w:cs="Times New Roman" w:eastAsia="Times New Roman"/>
          <w:i/>
          <w:color w:val="000000"/>
        </w:rPr>
        <w:t>neuropod</w:t>
      </w:r>
      <w:r>
        <w:rPr>
          <w:rFonts w:ascii="Times New Roman" w:hAnsi="Times New Roman" w:cs="Times New Roman" w:eastAsia="Times New Roman"/>
          <w:color w:val="000000"/>
        </w:rPr>
        <w:t xml:space="preserve">, </w:t>
      </w:r>
      <w:r>
        <w:rPr>
          <w:rFonts w:ascii="Times New Roman" w:hAnsi="Times New Roman" w:cs="Times New Roman" w:eastAsia="Times New Roman"/>
          <w:i/>
          <w:color w:val="000000"/>
        </w:rPr>
        <w:t>enteroendocrine</w:t>
      </w:r>
      <w:r>
        <w:rPr>
          <w:rFonts w:ascii="Times New Roman" w:hAnsi="Times New Roman" w:cs="Times New Roman" w:eastAsia="Times New Roman"/>
          <w:color w:val="000000"/>
        </w:rPr>
        <w:t xml:space="preserve">, </w:t>
      </w:r>
      <w:r>
        <w:rPr>
          <w:rFonts w:ascii="Times New Roman" w:hAnsi="Times New Roman" w:cs="Times New Roman" w:eastAsia="Times New Roman"/>
          <w:i/>
          <w:color w:val="000000"/>
        </w:rPr>
        <w:t>enterochromaffin</w:t>
      </w:r>
      <w:r>
        <w:rPr>
          <w:rFonts w:ascii="Times New Roman" w:hAnsi="Times New Roman" w:cs="Times New Roman" w:eastAsia="Times New Roman"/>
          <w:color w:val="000000"/>
        </w:rPr>
        <w:t xml:space="preserve">, </w:t>
      </w:r>
      <w:r>
        <w:rPr>
          <w:rFonts w:ascii="Times New Roman" w:hAnsi="Times New Roman" w:cs="Times New Roman" w:eastAsia="Times New Roman"/>
          <w:i/>
          <w:color w:val="000000"/>
        </w:rPr>
        <w:t>vagal afferent</w:t>
      </w:r>
      <w:r>
        <w:rPr>
          <w:rFonts w:ascii="Times New Roman" w:hAnsi="Times New Roman" w:cs="Times New Roman" w:eastAsia="Times New Roman"/>
          <w:color w:val="000000"/>
        </w:rPr>
        <w:t xml:space="preserve">, </w:t>
      </w:r>
      <w:r>
        <w:rPr>
          <w:rFonts w:ascii="Times New Roman" w:hAnsi="Times New Roman" w:cs="Times New Roman" w:eastAsia="Times New Roman"/>
          <w:i/>
          <w:color w:val="000000"/>
        </w:rPr>
        <w:t>nodose</w:t>
      </w:r>
      <w:r>
        <w:rPr>
          <w:rFonts w:ascii="Times New Roman" w:hAnsi="Times New Roman" w:cs="Times New Roman" w:eastAsia="Times New Roman"/>
          <w:color w:val="000000"/>
        </w:rPr>
        <w:t xml:space="preserve">, </w:t>
      </w:r>
      <w:r>
        <w:rPr>
          <w:rFonts w:ascii="Times New Roman" w:hAnsi="Times New Roman" w:cs="Times New Roman" w:eastAsia="Times New Roman"/>
          <w:i/>
          <w:color w:val="000000"/>
        </w:rPr>
        <w:t>gut-brain circuit</w:t>
      </w:r>
      <w:r>
        <w:rPr>
          <w:rFonts w:ascii="Times New Roman" w:hAnsi="Times New Roman" w:cs="Times New Roman" w:eastAsia="Times New Roman"/>
          <w:color w:val="000000"/>
        </w:rPr>
        <w:t>), the compositional literature (</w:t>
      </w:r>
      <w:r>
        <w:rPr>
          <w:rFonts w:ascii="Times New Roman" w:hAnsi="Times New Roman" w:cs="Times New Roman" w:eastAsia="Times New Roman"/>
          <w:i/>
          <w:color w:val="000000"/>
        </w:rPr>
        <w:t>microbiota-gut-brain</w:t>
      </w:r>
      <w:r>
        <w:rPr>
          <w:rFonts w:ascii="Times New Roman" w:hAnsi="Times New Roman" w:cs="Times New Roman" w:eastAsia="Times New Roman"/>
          <w:color w:val="000000"/>
        </w:rPr>
        <w:t xml:space="preserve">, </w:t>
      </w:r>
      <w:r>
        <w:rPr>
          <w:rFonts w:ascii="Times New Roman" w:hAnsi="Times New Roman" w:cs="Times New Roman" w:eastAsia="Times New Roman"/>
          <w:i/>
          <w:color w:val="000000"/>
        </w:rPr>
        <w:t>psychobiotic</w:t>
      </w:r>
      <w:r>
        <w:rPr>
          <w:rFonts w:ascii="Times New Roman" w:hAnsi="Times New Roman" w:cs="Times New Roman" w:eastAsia="Times New Roman"/>
          <w:color w:val="000000"/>
        </w:rPr>
        <w:t xml:space="preserve">, </w:t>
      </w:r>
      <w:r>
        <w:rPr>
          <w:rFonts w:ascii="Times New Roman" w:hAnsi="Times New Roman" w:cs="Times New Roman" w:eastAsia="Times New Roman"/>
          <w:i/>
          <w:color w:val="000000"/>
        </w:rPr>
        <w:t>germ-free</w:t>
      </w:r>
      <w:r>
        <w:rPr>
          <w:rFonts w:ascii="Times New Roman" w:hAnsi="Times New Roman" w:cs="Times New Roman" w:eastAsia="Times New Roman"/>
          <w:color w:val="000000"/>
        </w:rPr>
        <w:t xml:space="preserve">, </w:t>
      </w:r>
      <w:r>
        <w:rPr>
          <w:rFonts w:ascii="Times New Roman" w:hAnsi="Times New Roman" w:cs="Times New Roman" w:eastAsia="Times New Roman"/>
          <w:i/>
          <w:color w:val="000000"/>
        </w:rPr>
        <w:t>faecal microbiota transplantation</w:t>
      </w:r>
      <w:r>
        <w:rPr>
          <w:rFonts w:ascii="Times New Roman" w:hAnsi="Times New Roman" w:cs="Times New Roman" w:eastAsia="Times New Roman"/>
          <w:color w:val="000000"/>
        </w:rPr>
        <w:t>) and the causal-inference literature applied to both (</w:t>
      </w:r>
      <w:r>
        <w:rPr>
          <w:rFonts w:ascii="Times New Roman" w:hAnsi="Times New Roman" w:cs="Times New Roman" w:eastAsia="Times New Roman"/>
          <w:i/>
          <w:color w:val="000000"/>
        </w:rPr>
        <w:t>Mendelian randomization</w:t>
      </w:r>
      <w:r>
        <w:rPr>
          <w:rFonts w:ascii="Times New Roman" w:hAnsi="Times New Roman" w:cs="Times New Roman" w:eastAsia="Times New Roman"/>
          <w:color w:val="000000"/>
        </w:rPr>
        <w:t xml:space="preserve">, </w:t>
      </w:r>
      <w:r>
        <w:rPr>
          <w:rFonts w:ascii="Times New Roman" w:hAnsi="Times New Roman" w:cs="Times New Roman" w:eastAsia="Times New Roman"/>
          <w:i/>
          <w:color w:val="000000"/>
        </w:rPr>
        <w:t>gut microbiome GWAS</w:t>
      </w:r>
      <w:r>
        <w:rPr>
          <w:rFonts w:ascii="Times New Roman" w:hAnsi="Times New Roman" w:cs="Times New Roman" w:eastAsia="Times New Roman"/>
          <w:color w:val="000000"/>
        </w:rPr>
        <w:t>). Reference lists of retrieved reviews were hand-searched. We gave priority to primary reports over commentary.</w:t>
      </w:r>
    </w:p>
    <w:p>
      <w:pPr>
        <w:spacing w:line="480" w:lineRule="auto"/>
      </w:pPr>
      <w:r>
        <w:rPr>
          <w:rFonts w:ascii="Times New Roman" w:hAnsi="Times New Roman" w:cs="Times New Roman" w:eastAsia="Times New Roman"/>
          <w:b/>
          <w:color w:val="000000"/>
        </w:rPr>
        <w:t>[TO CONFIRM BEFORE SUBMISSION]</w:t>
      </w:r>
      <w:r>
        <w:rPr>
          <w:rFonts w:ascii="Times New Roman" w:hAnsi="Times New Roman" w:cs="Times New Roman" w:eastAsia="Times New Roman"/>
          <w:b/>
          <w:color w:val="000000"/>
        </w:rPr>
        <w:t xml:space="preserve"> Exact search strings and the final search date must be recorded by the authors from a search they execute themselves. These are left for completion rather than asserted.</w:t>
      </w:r>
    </w:p>
    <w:p>
      <w:pPr>
        <w:spacing w:line="480" w:lineRule="auto"/>
      </w:pPr>
      <w:r>
        <w:rPr>
          <w:rFonts w:ascii="Times New Roman" w:hAnsi="Times New Roman" w:cs="Times New Roman" w:eastAsia="Times New Roman"/>
          <w:b/>
          <w:color w:val="000000"/>
          <w:sz w:val="24"/>
        </w:rPr>
        <w:t>3. The compositional account and the state of its evidence</w:t>
      </w:r>
    </w:p>
    <w:p>
      <w:pPr>
        <w:spacing w:line="480" w:lineRule="auto"/>
      </w:pPr>
      <w:r>
        <w:rPr>
          <w:rFonts w:ascii="Times New Roman" w:hAnsi="Times New Roman" w:cs="Times New Roman" w:eastAsia="Times New Roman"/>
          <w:b/>
          <w:i/>
          <w:color w:val="000000"/>
          <w:sz w:val="24"/>
        </w:rPr>
        <w:t>3.1 What the account claims</w:t>
      </w:r>
    </w:p>
    <w:p>
      <w:pPr>
        <w:spacing w:line="480" w:lineRule="auto"/>
      </w:pPr>
      <w:r>
        <w:rPr>
          <w:rFonts w:ascii="Times New Roman" w:hAnsi="Times New Roman" w:cs="Times New Roman" w:eastAsia="Times New Roman"/>
          <w:color w:val="000000"/>
        </w:rPr>
        <w:t>Stated carefully, the compositional model holds that the aggregate composition of the gut microbial community influences central nervous function through humoral routes: microbial metabolites entering portal and systemic circulation, immune mediators raised by microbial signals, and modulation of enteric and vagal tone. Cryan and colleagues set out the full version across more than a hundred pages, and it remains the field's reference statement [1]; earlier syntheses by Collins and by Foster established its shape [2,18], and shorter overviews have since consolidated it for clinical audiences [19].</w:t>
      </w:r>
    </w:p>
    <w:p>
      <w:pPr>
        <w:spacing w:line="480" w:lineRule="auto"/>
      </w:pPr>
      <w:r>
        <w:rPr>
          <w:rFonts w:ascii="Times New Roman" w:hAnsi="Times New Roman" w:cs="Times New Roman" w:eastAsia="Times New Roman"/>
          <w:color w:val="000000"/>
        </w:rPr>
        <w:t>Nothing in that model is implausible, and several of its proposed mediators are well evidenced. Short-chain fatty acids reach the circulation and have defined central actions [20,21]. Microbial regulation of tryptophan metabolism alters serotonergic substrate availability [22,23]. Spore-forming bacteria promote serotonin biosynthesis from colonic enterochromaffin cells, which links community composition to a transmitter the brain uses [24]. Microglial maturation depends on the microbiota, with short-chain fatty acids implicated [25]. Immune mediators do real work, and neuroimmune interaction in the gut wall is now mapped in some detail [26,27]. Epithelial barrier function modifies what reaches the circulation at all [28].</w:t>
      </w:r>
    </w:p>
    <w:p>
      <w:pPr>
        <w:spacing w:line="480" w:lineRule="auto"/>
      </w:pPr>
      <w:r>
        <w:rPr>
          <w:rFonts w:ascii="Times New Roman" w:hAnsi="Times New Roman" w:cs="Times New Roman" w:eastAsia="Times New Roman"/>
          <w:color w:val="000000"/>
        </w:rPr>
        <w:t>Difficulty arrives at the evidential level, not the theoretical one. Each mediator is plausible; none has been shown to carry a specified signal, from a specified microbial source, to a specified central consequence in humans.</w:t>
      </w:r>
    </w:p>
    <w:p>
      <w:pPr>
        <w:spacing w:line="480" w:lineRule="auto"/>
      </w:pPr>
      <w:r>
        <w:rPr>
          <w:rFonts w:ascii="Times New Roman" w:hAnsi="Times New Roman" w:cs="Times New Roman" w:eastAsia="Times New Roman"/>
          <w:b/>
          <w:i/>
          <w:color w:val="000000"/>
          <w:sz w:val="24"/>
        </w:rPr>
        <w:t>3.2 Germ-free animals, and what they can establish</w:t>
      </w:r>
    </w:p>
    <w:p>
      <w:pPr>
        <w:spacing w:line="480" w:lineRule="auto"/>
      </w:pPr>
      <w:r>
        <w:rPr>
          <w:rFonts w:ascii="Times New Roman" w:hAnsi="Times New Roman" w:cs="Times New Roman" w:eastAsia="Times New Roman"/>
          <w:color w:val="000000"/>
        </w:rPr>
        <w:t>Germ-free rearing produces large behavioural and neuroendocrine phenotypes [5,6,29], including altered central BDNF levels that normalise on colonisation [30], and the model has carried much of the field's causal weight. Transferring microbiota from young donors into aged recipients even attenuates selected age-associated cognitive deficits [31]. Limits of that inference deserve stating plainly. Germ-free animals differ from conventional ones in gut morphology, immune development, bile acid pools, vitamin status and enteric neuronal density, so a behavioural difference localises the cause to "having been raised without microbes" and no further. Reconstitution experiments narrow this usefully, and a monocolonisation that reverses a phenotype [5] is a genuine causal result about that organism under those conditions.</w:t>
      </w:r>
    </w:p>
    <w:p>
      <w:pPr>
        <w:spacing w:line="480" w:lineRule="auto"/>
      </w:pPr>
      <w:r>
        <w:rPr>
          <w:rFonts w:ascii="Times New Roman" w:hAnsi="Times New Roman" w:cs="Times New Roman" w:eastAsia="Times New Roman"/>
          <w:color w:val="000000"/>
        </w:rPr>
        <w:t xml:space="preserve">What germ-free work cannot do is identify the route. An effect reversed by </w:t>
      </w:r>
      <w:r>
        <w:rPr>
          <w:rFonts w:ascii="Times New Roman" w:hAnsi="Times New Roman" w:cs="Times New Roman" w:eastAsia="Times New Roman"/>
          <w:i/>
          <w:color w:val="000000"/>
        </w:rPr>
        <w:t>B. infantis</w:t>
      </w:r>
      <w:r>
        <w:rPr>
          <w:rFonts w:ascii="Times New Roman" w:hAnsi="Times New Roman" w:cs="Times New Roman" w:eastAsia="Times New Roman"/>
          <w:color w:val="000000"/>
        </w:rPr>
        <w:t xml:space="preserve"> might travel by metabolite, by immune mediator, by vagal afferent, or by altered gut transit changing something else entirely. No part of the design discriminates between these, and for two decades the field largely did not ask it to.</w:t>
      </w:r>
    </w:p>
    <w:p>
      <w:pPr>
        <w:spacing w:line="480" w:lineRule="auto"/>
      </w:pPr>
      <w:r>
        <w:rPr>
          <w:rFonts w:ascii="Times New Roman" w:hAnsi="Times New Roman" w:cs="Times New Roman" w:eastAsia="Times New Roman"/>
          <w:color w:val="000000"/>
        </w:rPr>
        <w:t>Behavioural findings in these animals replicate unevenly. Germ-free mice show reduced anxiety-like behaviour alongside altered central neurochemistry [29], which sits awkwardly beside the exaggerated stress-hormone response [5], since one would naively expect a more stress-reactive animal to appear more anxious rather than less. Both results are reconcilable, but reconciling them requires assumptions about which assay measures what, and assays of rodent anxiety are notoriously sensitive to handling, housing, lighting and time of day.</w:t>
      </w:r>
    </w:p>
    <w:p>
      <w:pPr>
        <w:spacing w:line="480" w:lineRule="auto"/>
      </w:pPr>
      <w:r>
        <w:rPr>
          <w:rFonts w:ascii="Times New Roman" w:hAnsi="Times New Roman" w:cs="Times New Roman" w:eastAsia="Times New Roman"/>
          <w:color w:val="000000"/>
        </w:rPr>
        <w:t>There is also a selection effect inside the model itself. Germ-free colonies are maintained in a small number of facilities, each with its own gnotobiotic husbandry, diet and background strain, and microbiota differences between vivaria are a recognised source of irreproducibility [32]. Phenotypes robust in one facility and absent in another get reported as failures to replicate. They may instead be true results about two different animals.</w:t>
      </w:r>
    </w:p>
    <w:p>
      <w:pPr>
        <w:spacing w:line="480" w:lineRule="auto"/>
      </w:pPr>
      <w:r>
        <w:rPr>
          <w:rFonts w:ascii="Times New Roman" w:hAnsi="Times New Roman" w:cs="Times New Roman" w:eastAsia="Times New Roman"/>
          <w:color w:val="000000"/>
        </w:rPr>
        <w:t xml:space="preserve">Transfer experiments appear to solve the directionality problem and partly do. Colonising germ-free mice with microbiota from patients with depression [33], schizophrenia [34] or autism [35] produces corresponding behavioural phenotypes; transfer from depressed donors into antibiotic-depleted rats induces anhedonia [36]; and maternal-immune-activation offspring improve on bacterial treatment [37]. These are striking results. They are also the ones most exposed to the critique that a 2025 </w:t>
      </w:r>
      <w:r>
        <w:rPr>
          <w:rFonts w:ascii="Times New Roman" w:hAnsi="Times New Roman" w:cs="Times New Roman" w:eastAsia="Times New Roman"/>
          <w:i/>
          <w:color w:val="000000"/>
        </w:rPr>
        <w:t>Neuron</w:t>
      </w:r>
      <w:r>
        <w:rPr>
          <w:rFonts w:ascii="Times New Roman" w:hAnsi="Times New Roman" w:cs="Times New Roman" w:eastAsia="Times New Roman"/>
          <w:color w:val="000000"/>
        </w:rPr>
        <w:t xml:space="preserve"> analysis levelled at the autism literature specifically: small samples, high-dimensional exposures, no pre-specified hypothesis about which aspect of the microbiome should matter, and behavioural assays in mice whose relevance to the human condition is assumed rather than demonstrated [38].</w:t>
      </w:r>
    </w:p>
    <w:p>
      <w:pPr>
        <w:spacing w:line="480" w:lineRule="auto"/>
      </w:pPr>
      <w:r>
        <w:rPr>
          <w:rFonts w:ascii="Times New Roman" w:hAnsi="Times New Roman" w:cs="Times New Roman" w:eastAsia="Times New Roman"/>
          <w:color w:val="000000"/>
        </w:rPr>
        <w:t>We would extend one point from that analysis beyond autism. When a transfer experiment moves an entire community and reports a behavioural difference, the result identifies no component, and the number of candidate mediators is very large. That is a demonstration that something transferable matters, not a mechanism.</w:t>
      </w:r>
    </w:p>
    <w:p>
      <w:pPr>
        <w:spacing w:line="480" w:lineRule="auto"/>
      </w:pPr>
      <w:r>
        <w:rPr>
          <w:rFonts w:ascii="Times New Roman" w:hAnsi="Times New Roman" w:cs="Times New Roman" w:eastAsia="Times New Roman"/>
          <w:b/>
          <w:i/>
          <w:color w:val="000000"/>
          <w:sz w:val="24"/>
        </w:rPr>
        <w:t>3.3 Human association studies</w:t>
      </w:r>
    </w:p>
    <w:p>
      <w:pPr>
        <w:spacing w:line="480" w:lineRule="auto"/>
      </w:pPr>
      <w:r>
        <w:rPr>
          <w:rFonts w:ascii="Times New Roman" w:hAnsi="Times New Roman" w:cs="Times New Roman" w:eastAsia="Times New Roman"/>
          <w:color w:val="000000"/>
        </w:rPr>
        <w:t xml:space="preserve">Human cohort work has produced the field's most replicable compositional findings. The Flemish Gut Flora Project analysis, with independent validation, found butyrate-producing </w:t>
      </w:r>
      <w:r>
        <w:rPr>
          <w:rFonts w:ascii="Times New Roman" w:hAnsi="Times New Roman" w:cs="Times New Roman" w:eastAsia="Times New Roman"/>
          <w:i/>
          <w:color w:val="000000"/>
        </w:rPr>
        <w:t>Faecalibacterium</w:t>
      </w:r>
      <w:r>
        <w:rPr>
          <w:rFonts w:ascii="Times New Roman" w:hAnsi="Times New Roman" w:cs="Times New Roman" w:eastAsia="Times New Roman"/>
          <w:color w:val="000000"/>
        </w:rPr>
        <w:t xml:space="preserve"> and </w:t>
      </w:r>
      <w:r>
        <w:rPr>
          <w:rFonts w:ascii="Times New Roman" w:hAnsi="Times New Roman" w:cs="Times New Roman" w:eastAsia="Times New Roman"/>
          <w:i/>
          <w:color w:val="000000"/>
        </w:rPr>
        <w:t>Coprococcus</w:t>
      </w:r>
      <w:r>
        <w:rPr>
          <w:rFonts w:ascii="Times New Roman" w:hAnsi="Times New Roman" w:cs="Times New Roman" w:eastAsia="Times New Roman"/>
          <w:color w:val="000000"/>
        </w:rPr>
        <w:t xml:space="preserve"> associated with higher quality-of-life indicators, and </w:t>
      </w:r>
      <w:r>
        <w:rPr>
          <w:rFonts w:ascii="Times New Roman" w:hAnsi="Times New Roman" w:cs="Times New Roman" w:eastAsia="Times New Roman"/>
          <w:i/>
          <w:color w:val="000000"/>
        </w:rPr>
        <w:t>Coprococcus</w:t>
      </w:r>
      <w:r>
        <w:rPr>
          <w:rFonts w:ascii="Times New Roman" w:hAnsi="Times New Roman" w:cs="Times New Roman" w:eastAsia="Times New Roman"/>
          <w:color w:val="000000"/>
        </w:rPr>
        <w:t xml:space="preserve"> and </w:t>
      </w:r>
      <w:r>
        <w:rPr>
          <w:rFonts w:ascii="Times New Roman" w:hAnsi="Times New Roman" w:cs="Times New Roman" w:eastAsia="Times New Roman"/>
          <w:i/>
          <w:color w:val="000000"/>
        </w:rPr>
        <w:t>Dialister</w:t>
      </w:r>
      <w:r>
        <w:rPr>
          <w:rFonts w:ascii="Times New Roman" w:hAnsi="Times New Roman" w:cs="Times New Roman" w:eastAsia="Times New Roman"/>
          <w:color w:val="000000"/>
        </w:rPr>
        <w:t xml:space="preserve"> depleted in depression [8]. Meta-analysis across psychiatric diagnoses reports depletion of anti-inflammatory butyrate producers and enrichment of pro-inflammatory taxa [39]. Infant gut composition has been associated with later cognitive scores [40].</w:t>
      </w:r>
    </w:p>
    <w:p>
      <w:pPr>
        <w:spacing w:line="480" w:lineRule="auto"/>
      </w:pPr>
      <w:r>
        <w:rPr>
          <w:rFonts w:ascii="Times New Roman" w:hAnsi="Times New Roman" w:cs="Times New Roman" w:eastAsia="Times New Roman"/>
          <w:color w:val="000000"/>
        </w:rPr>
        <w:t>Sobering, too, is the most careful synthesis available. McGuinness and colleagues reviewed 44 observational studies (2,510 cases; 2,407 controls) across major depressive disorder, bipolar disorder and schizophrenia, and found no strong evidence for consistent differences in alpha diversity, with reports of altered beta diversity that did not converge on particular taxa [41]. A decade of case–control work has established that psychiatric populations differ somewhere in community structure, and has not established where.</w:t>
      </w:r>
    </w:p>
    <w:p>
      <w:pPr>
        <w:spacing w:line="480" w:lineRule="auto"/>
      </w:pPr>
      <w:r>
        <w:rPr>
          <w:rFonts w:ascii="Times New Roman" w:hAnsi="Times New Roman" w:cs="Times New Roman" w:eastAsia="Times New Roman"/>
          <w:color w:val="000000"/>
        </w:rPr>
        <w:t>Why should that surprise anyone? Microbiome data are compositional, so abundances are not independent, and naive analysis generates spurious associations unless the constraint is handled explicitly [42]. Studies in this area are also small for the dimensionality involved — a combination that inflates published effect sizes and lowers the chance that any significant finding is true [43,44].</w:t>
      </w:r>
    </w:p>
    <w:p>
      <w:pPr>
        <w:spacing w:line="480" w:lineRule="auto"/>
      </w:pPr>
      <w:r>
        <w:rPr>
          <w:rFonts w:ascii="Times New Roman" w:hAnsi="Times New Roman" w:cs="Times New Roman" w:eastAsia="Times New Roman"/>
          <w:b/>
          <w:i/>
          <w:color w:val="000000"/>
          <w:sz w:val="24"/>
        </w:rPr>
        <w:t>3.4 Confounding, and why it is unusually severe here</w:t>
      </w:r>
    </w:p>
    <w:p>
      <w:pPr>
        <w:spacing w:line="480" w:lineRule="auto"/>
      </w:pPr>
      <w:r>
        <w:rPr>
          <w:rFonts w:ascii="Times New Roman" w:hAnsi="Times New Roman" w:cs="Times New Roman" w:eastAsia="Times New Roman"/>
          <w:color w:val="000000"/>
        </w:rPr>
        <w:t>Diet, medication and disease state all shape the microbiome and all associate with psychiatric outcomes. Population surveys found 69 covariates associated with compositional variation in one cohort, replicating at 92 per cent [45], and 126 exogenous and intrinsic factors in another, including 19 drug groups and 60 dietary factors [46]. Daily sampling shows composition tracking food choices over days, personalised to the individual [47]. Exercise shifts composition and short-chain fatty acid production, and the shift reverses when training stops [48].</w:t>
      </w:r>
    </w:p>
    <w:p>
      <w:pPr>
        <w:spacing w:line="480" w:lineRule="auto"/>
      </w:pPr>
      <w:r>
        <w:rPr>
          <w:rFonts w:ascii="Times New Roman" w:hAnsi="Times New Roman" w:cs="Times New Roman" w:eastAsia="Times New Roman"/>
          <w:color w:val="000000"/>
        </w:rPr>
        <w:t xml:space="preserve">Medication deserves separate emphasis; here confounding turns near-circular. Maier and colleagues screened more than 1,000 marketed drugs against 40 gut bacterial strains and found that 24 per cent of those with human targets inhibited the growth of at least one strain, with antipsychotics overrepresented [49]. Vich Vila and colleagues found proton-pump inhibitors, metformin, antibiotics and laxatives associated with the strongest compositional signatures in population and disease cohorts [50]. Lukić and colleagues treated mice with five antidepressants and found all five reduced microbial richness, with </w:t>
      </w:r>
      <w:r>
        <w:rPr>
          <w:rFonts w:ascii="Times New Roman" w:hAnsi="Times New Roman" w:cs="Times New Roman" w:eastAsia="Times New Roman"/>
          <w:i/>
          <w:color w:val="000000"/>
        </w:rPr>
        <w:t>Ruminococcus flavefaciens</w:t>
      </w:r>
      <w:r>
        <w:rPr>
          <w:rFonts w:ascii="Times New Roman" w:hAnsi="Times New Roman" w:cs="Times New Roman" w:eastAsia="Times New Roman"/>
          <w:color w:val="000000"/>
        </w:rPr>
        <w:t xml:space="preserve"> among the taxa most reduced [51]. Gut bacteria in turn metabolise a wide range of oral drugs, so the relationship runs both ways [52].</w:t>
      </w:r>
    </w:p>
    <w:p>
      <w:pPr>
        <w:spacing w:line="480" w:lineRule="auto"/>
      </w:pPr>
      <w:r>
        <w:rPr>
          <w:rFonts w:ascii="Times New Roman" w:hAnsi="Times New Roman" w:cs="Times New Roman" w:eastAsia="Times New Roman"/>
          <w:color w:val="000000"/>
        </w:rPr>
        <w:t>Put those together and the standard design collapses. Compare the microbiome of treated depressed patients against healthy controls, and you are comparing people who differ in diet, sleep, activity, illness — and in direct pharmacological suppression of gut bacteria. An association recovered from that comparison is compatible with the brain acting on the gut, with the drug acting on the gut, or with the gut acting on the brain, and the phrase "gut–brain axis" quietly favours the third.</w:t>
      </w:r>
    </w:p>
    <w:p>
      <w:pPr>
        <w:spacing w:line="480" w:lineRule="auto"/>
      </w:pPr>
      <w:r>
        <w:rPr>
          <w:rFonts w:ascii="Times New Roman" w:hAnsi="Times New Roman" w:cs="Times New Roman" w:eastAsia="Times New Roman"/>
          <w:b/>
          <w:i/>
          <w:color w:val="000000"/>
          <w:sz w:val="24"/>
        </w:rPr>
        <w:t>3.5 Mendelian randomisation and what it has produced</w:t>
      </w:r>
    </w:p>
    <w:p>
      <w:pPr>
        <w:spacing w:line="480" w:lineRule="auto"/>
      </w:pPr>
      <w:r>
        <w:rPr>
          <w:rFonts w:ascii="Times New Roman" w:hAnsi="Times New Roman" w:cs="Times New Roman" w:eastAsia="Times New Roman"/>
          <w:color w:val="000000"/>
        </w:rPr>
        <w:t>Genetic instrumental-variable analysis ought to resolve direction, and the field has turned to it heavily. Results have not converged.</w:t>
      </w:r>
    </w:p>
    <w:p>
      <w:pPr>
        <w:spacing w:line="480" w:lineRule="auto"/>
      </w:pPr>
      <w:r>
        <w:rPr>
          <w:rFonts w:ascii="Times New Roman" w:hAnsi="Times New Roman" w:cs="Times New Roman" w:eastAsia="Times New Roman"/>
          <w:color w:val="000000"/>
        </w:rPr>
        <w:t>Studies published within the same two-year window report mutually inconsistent taxon lists. One identifies five taxa positively and six negatively associated with depression; another finds ten protective and ten deleterious; a third reports fifteen positive and sixteen negative causal effects, with thirty-six reverse-direction effects alongside. These are not analyses of different exposures. They are largely analyses of the same summary statistics.</w:t>
      </w:r>
    </w:p>
    <w:p>
      <w:pPr>
        <w:spacing w:line="480" w:lineRule="auto"/>
      </w:pPr>
      <w:r>
        <w:rPr>
          <w:rFonts w:ascii="Times New Roman" w:hAnsi="Times New Roman" w:cs="Times New Roman" w:eastAsia="Times New Roman"/>
          <w:color w:val="000000"/>
        </w:rPr>
        <w:t xml:space="preserve">Why? Look at where the instruments come from. MiBioGen, the consortium meta-analysis supplying genetic instruments for most of this work, assembled genome-wide genotypes with 16S faecal microbiome data from 18,340 individuals across 24 cohorts [53]. That is a substantial undertaking and a modest GWAS for the purpose. Host genetic effects on composition are real but few and small: the Dutch Microbiome Project found two study-wide significant signals, at </w:t>
      </w:r>
      <w:r>
        <w:rPr>
          <w:rFonts w:ascii="Times New Roman" w:hAnsi="Times New Roman" w:cs="Times New Roman" w:eastAsia="Times New Roman"/>
          <w:i/>
          <w:color w:val="000000"/>
        </w:rPr>
        <w:t>LCT</w:t>
      </w:r>
      <w:r>
        <w:rPr>
          <w:rFonts w:ascii="Times New Roman" w:hAnsi="Times New Roman" w:cs="Times New Roman" w:eastAsia="Times New Roman"/>
          <w:color w:val="000000"/>
        </w:rPr>
        <w:t xml:space="preserve"> and </w:t>
      </w:r>
      <w:r>
        <w:rPr>
          <w:rFonts w:ascii="Times New Roman" w:hAnsi="Times New Roman" w:cs="Times New Roman" w:eastAsia="Times New Roman"/>
          <w:i/>
          <w:color w:val="000000"/>
        </w:rPr>
        <w:t>ABO</w:t>
      </w:r>
      <w:r>
        <w:rPr>
          <w:rFonts w:ascii="Times New Roman" w:hAnsi="Times New Roman" w:cs="Times New Roman" w:eastAsia="Times New Roman"/>
          <w:color w:val="000000"/>
        </w:rPr>
        <w:t>, in 7,738 participants [54], and a German study identified ABO histo-blood group influence among 38 suggestive loci in 8,956 individuals [55].</w:t>
      </w:r>
    </w:p>
    <w:p>
      <w:pPr>
        <w:spacing w:line="480" w:lineRule="auto"/>
      </w:pPr>
      <w:r>
        <w:rPr>
          <w:rFonts w:ascii="Times New Roman" w:hAnsi="Times New Roman" w:cs="Times New Roman" w:eastAsia="Times New Roman"/>
          <w:color w:val="000000"/>
        </w:rPr>
        <w:t>With few loci reaching genome-wide significance, investigators relax the inclusion threshold, commonly to 1×10⁻⁵, to obtain enough instruments to run the analysis. Consequences here deserve stating precisely, since they are often described loosely. In two-sample Mendelian randomisation without sample overlap, weak instruments bias estimates toward the null rather than toward the confounded observational association [56]. Weak instruments therefore do not, by themselves, manufacture the positive findings this literature reports.</w:t>
      </w:r>
    </w:p>
    <w:p>
      <w:pPr>
        <w:spacing w:line="480" w:lineRule="auto"/>
      </w:pPr>
      <w:r>
        <w:rPr>
          <w:rFonts w:ascii="Times New Roman" w:hAnsi="Times New Roman" w:cs="Times New Roman" w:eastAsia="Times New Roman"/>
          <w:color w:val="000000"/>
        </w:rPr>
        <w:t>What does is the combination of a relaxed threshold with multiplicity and analytic flexibility. Run hundreds of taxa against dozens of psychiatric outcomes, with unregistered analytic choices and inconsistent sensitivity testing, and contradictory significant findings are the expected output [57]. Relaxed thresholds also admit variants more likely to violate the exclusion restriction through pleiotropy, which existing sensitivity methods detect imperfectly [58]. This pattern is a feature of the method as applied, not evidence about biology.</w:t>
      </w:r>
    </w:p>
    <w:p>
      <w:pPr>
        <w:spacing w:line="480" w:lineRule="auto"/>
      </w:pPr>
      <w:r>
        <w:rPr>
          <w:rFonts w:ascii="Times New Roman" w:hAnsi="Times New Roman" w:cs="Times New Roman" w:eastAsia="Times New Roman"/>
          <w:b/>
          <w:i/>
          <w:color w:val="000000"/>
          <w:sz w:val="24"/>
        </w:rPr>
        <w:t>3.6 Intervention trials</w:t>
      </w:r>
    </w:p>
    <w:p>
      <w:pPr>
        <w:spacing w:line="480" w:lineRule="auto"/>
      </w:pPr>
      <w:r>
        <w:rPr>
          <w:rFonts w:ascii="Times New Roman" w:hAnsi="Times New Roman" w:cs="Times New Roman" w:eastAsia="Times New Roman"/>
          <w:color w:val="000000"/>
        </w:rPr>
        <w:t>Randomised interventions should settle matters, and the meta-analytic record is where the compositional account is most exposed.</w:t>
      </w:r>
    </w:p>
    <w:p>
      <w:pPr>
        <w:spacing w:line="480" w:lineRule="auto"/>
      </w:pPr>
      <w:r>
        <w:rPr>
          <w:rFonts w:ascii="Times New Roman" w:hAnsi="Times New Roman" w:cs="Times New Roman" w:eastAsia="Times New Roman"/>
          <w:color w:val="000000"/>
        </w:rPr>
        <w:t xml:space="preserve">Individual trials do report benefit. A </w:t>
      </w:r>
      <w:r>
        <w:rPr>
          <w:rFonts w:ascii="Times New Roman" w:hAnsi="Times New Roman" w:cs="Times New Roman" w:eastAsia="Times New Roman"/>
          <w:i/>
          <w:color w:val="000000"/>
        </w:rPr>
        <w:t>Lactobacillus helveticus</w:t>
      </w:r>
      <w:r>
        <w:rPr>
          <w:rFonts w:ascii="Times New Roman" w:hAnsi="Times New Roman" w:cs="Times New Roman" w:eastAsia="Times New Roman"/>
          <w:color w:val="000000"/>
        </w:rPr>
        <w:t xml:space="preserve"> and </w:t>
      </w:r>
      <w:r>
        <w:rPr>
          <w:rFonts w:ascii="Times New Roman" w:hAnsi="Times New Roman" w:cs="Times New Roman" w:eastAsia="Times New Roman"/>
          <w:i/>
          <w:color w:val="000000"/>
        </w:rPr>
        <w:t>Bifidobacterium longum</w:t>
      </w:r>
      <w:r>
        <w:rPr>
          <w:rFonts w:ascii="Times New Roman" w:hAnsi="Times New Roman" w:cs="Times New Roman" w:eastAsia="Times New Roman"/>
          <w:color w:val="000000"/>
        </w:rPr>
        <w:t xml:space="preserve"> formulation reduced psychological distress in volunteers [59]; a multispecies preparation reduced cognitive reactivity to sad mood in healthy participants [60]; a probiotic and prebiotic combination improved psychological outcomes in major depressive disorder [61]. Dietary interventions, which act on the microbiome among much else, improved depressive symptoms in the SMILES trial [62] and in meta-analysis [63].</w:t>
      </w:r>
    </w:p>
    <w:p>
      <w:pPr>
        <w:spacing w:line="480" w:lineRule="auto"/>
      </w:pPr>
      <w:r>
        <w:rPr>
          <w:rFonts w:ascii="Times New Roman" w:hAnsi="Times New Roman" w:cs="Times New Roman" w:eastAsia="Times New Roman"/>
          <w:color w:val="000000"/>
        </w:rPr>
        <w:t>Pooled estimates for probiotics are large and unstable. One synthesis across eighteen trials in 969 participants reported a standardised mean difference of −0.96 (95% CI −1.31 to −0.61) with between-study heterogeneity at I² = 85%, and the pooled effect fell by roughly a third once high risk-of-bias studies were excluded [64]. Another reported −0.53 (95% CI −0.67 to −0.39) [64].</w:t>
      </w:r>
    </w:p>
    <w:p>
      <w:pPr>
        <w:spacing w:line="480" w:lineRule="auto"/>
      </w:pPr>
      <w:r>
        <w:rPr>
          <w:rFonts w:ascii="Times New Roman" w:hAnsi="Times New Roman" w:cs="Times New Roman" w:eastAsia="Times New Roman"/>
          <w:color w:val="000000"/>
        </w:rPr>
        <w:t>Faecal microbiota transplantation shows the problem in sharper form. Early case reports and open-label series were encouraging [65,66], and a pilot randomised trial established feasibility and safety [67]. One meta-analysis reports a standardised mean difference near −1.21 for depressive symptoms, another a Hedges' g of −0.81, and a third, pooling seven studies in 235 participants, reports −0.10 with a confidence interval from −0.60 to 0.41 [68]. One intervention, one outcome, conclusions running from large benefit to nothing.</w:t>
      </w:r>
    </w:p>
    <w:p>
      <w:pPr>
        <w:spacing w:line="480" w:lineRule="auto"/>
      </w:pPr>
      <w:r>
        <w:rPr>
          <w:rFonts w:ascii="Times New Roman" w:hAnsi="Times New Roman" w:cs="Times New Roman" w:eastAsia="Times New Roman"/>
          <w:color w:val="000000"/>
        </w:rPr>
        <w:t>Heterogeneity at I² = 85% is not a nuisance parameter to be noted and moved past. Such a value says the trials are not estimating a common effect — what one expects when "probiotic" names hundreds of distinct organisms at different doses in different hosts, and when the mechanism specifying which organism should help which patient has never been identified [69,70].</w:t>
      </w:r>
    </w:p>
    <w:p>
      <w:pPr>
        <w:spacing w:line="480" w:lineRule="auto"/>
      </w:pPr>
      <w:r>
        <w:rPr>
          <w:rFonts w:ascii="Times New Roman" w:hAnsi="Times New Roman" w:cs="Times New Roman" w:eastAsia="Times New Roman"/>
          <w:color w:val="000000"/>
        </w:rPr>
        <w:t xml:space="preserve">Imagine pooling every monoamine-targeting drug ever tested, across every dose and every psychiatric indication, under the heading "antidepressant". Reviewers would reject it as incoherent before anyone examined the forest plot. Pooling </w:t>
      </w:r>
      <w:r>
        <w:rPr>
          <w:rFonts w:ascii="Times New Roman" w:hAnsi="Times New Roman" w:cs="Times New Roman" w:eastAsia="Times New Roman"/>
          <w:i/>
          <w:color w:val="000000"/>
        </w:rPr>
        <w:t>Lactobacillus</w:t>
      </w:r>
      <w:r>
        <w:rPr>
          <w:rFonts w:ascii="Times New Roman" w:hAnsi="Times New Roman" w:cs="Times New Roman" w:eastAsia="Times New Roman"/>
          <w:color w:val="000000"/>
        </w:rPr>
        <w:t xml:space="preserve"> and </w:t>
      </w:r>
      <w:r>
        <w:rPr>
          <w:rFonts w:ascii="Times New Roman" w:hAnsi="Times New Roman" w:cs="Times New Roman" w:eastAsia="Times New Roman"/>
          <w:i/>
          <w:color w:val="000000"/>
        </w:rPr>
        <w:t>Bifidobacterium</w:t>
      </w:r>
      <w:r>
        <w:rPr>
          <w:rFonts w:ascii="Times New Roman" w:hAnsi="Times New Roman" w:cs="Times New Roman" w:eastAsia="Times New Roman"/>
          <w:color w:val="000000"/>
        </w:rPr>
        <w:t xml:space="preserve"> preparations at doses spanning orders of magnitude, in hosts whose resident communities differ more than their genomes do, is the same error wearing different clothes.</w:t>
      </w:r>
    </w:p>
    <w:p>
      <w:pPr>
        <w:spacing w:line="480" w:lineRule="auto"/>
      </w:pPr>
      <w:r>
        <w:rPr>
          <w:rFonts w:ascii="Times New Roman" w:hAnsi="Times New Roman" w:cs="Times New Roman" w:eastAsia="Times New Roman"/>
          <w:color w:val="000000"/>
        </w:rPr>
        <w:t>Blinding deserves separate mention. Probiotic and transplantation trials frequently produce gastrointestinal symptoms that are themselves perceptible, and depression endpoints are self-reported. Unblinding by side effect inflates effects on subjective outcomes, which is one reason the drop in pooled effect after excluding high risk-of-bias studies is informative rather than incidental [64].</w:t>
      </w:r>
    </w:p>
    <w:p>
      <w:pPr>
        <w:spacing w:line="480" w:lineRule="auto"/>
      </w:pPr>
      <w:r>
        <w:rPr>
          <w:rFonts w:ascii="Times New Roman" w:hAnsi="Times New Roman" w:cs="Times New Roman" w:eastAsia="Times New Roman"/>
          <w:color w:val="000000"/>
        </w:rPr>
        <w:t>None of this establishes that the interventions do nothing. Some of these trials report real benefit, and a mechanism may well exist. Our point is narrower: the literature as it stands cannot distinguish a true modest effect in a responsive subgroup from a bias-driven effect in a heterogeneous mixture, and no further pooling of the same trials will separate them.</w:t>
      </w:r>
    </w:p>
    <w:p>
      <w:pPr>
        <w:spacing w:line="480" w:lineRule="auto"/>
      </w:pPr>
      <w:r>
        <w:rPr>
          <w:rFonts w:ascii="Times New Roman" w:hAnsi="Times New Roman" w:cs="Times New Roman" w:eastAsia="Times New Roman"/>
          <w:b/>
          <w:color w:val="000000"/>
        </w:rPr>
        <w:t>Table 1.</w:t>
      </w:r>
      <w:r>
        <w:rPr>
          <w:rFonts w:ascii="Times New Roman" w:hAnsi="Times New Roman" w:cs="Times New Roman" w:eastAsia="Times New Roman"/>
          <w:color w:val="000000"/>
        </w:rPr>
        <w:t xml:space="preserve"> Human evidence bearing on compositional claims.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Evidence type</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Representative result</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What it establishes</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Principal limitation</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Germ-free reconstitution</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 xml:space="preserve">Exaggerated HPA response reversed by </w:t>
            </w:r>
            <w:r>
              <w:rPr>
                <w:rFonts w:ascii="Times New Roman" w:hAnsi="Times New Roman" w:cs="Times New Roman" w:eastAsia="Times New Roman"/>
                <w:i/>
                <w:color w:val="000000"/>
              </w:rPr>
              <w:t>B. infantis</w:t>
            </w:r>
            <w:r>
              <w:rPr>
                <w:rFonts w:ascii="Times New Roman" w:hAnsi="Times New Roman" w:cs="Times New Roman" w:eastAsia="Times New Roman"/>
                <w:color w:val="000000"/>
              </w:rPr>
              <w:t>; reduced cortical and hippocampal BDNF [5]</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Microbial presence causally affects neuroendocrine phenotype in mice</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Does not identify the route; germ-free animals differ systemically [32]</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Community transfer</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Depression, schizophrenia and autism microbiota induce corresponding phenotypes in recipients [33–35]</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Something transferable matters</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Identifies no component; assays and sampling criticised [38]</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Population cohort</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i/>
                <w:color w:val="000000"/>
              </w:rPr>
              <w:t>Coprococcus</w:t>
            </w:r>
            <w:r>
              <w:rPr>
                <w:rFonts w:ascii="Times New Roman" w:hAnsi="Times New Roman" w:cs="Times New Roman" w:eastAsia="Times New Roman"/>
                <w:color w:val="000000"/>
              </w:rPr>
              <w:t xml:space="preserve"> and </w:t>
            </w:r>
            <w:r>
              <w:rPr>
                <w:rFonts w:ascii="Times New Roman" w:hAnsi="Times New Roman" w:cs="Times New Roman" w:eastAsia="Times New Roman"/>
                <w:i/>
                <w:color w:val="000000"/>
              </w:rPr>
              <w:t>Dialister</w:t>
            </w:r>
            <w:r>
              <w:rPr>
                <w:rFonts w:ascii="Times New Roman" w:hAnsi="Times New Roman" w:cs="Times New Roman" w:eastAsia="Times New Roman"/>
                <w:color w:val="000000"/>
              </w:rPr>
              <w:t xml:space="preserve"> depleted in depression, with independent validation [8]</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Reproducible association</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Confounding by diet, medication, disease [45–47,49–51]; direction unresolved</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Systematic review across diagnoses</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44 studies, 2,510 cases, 2,407 controls; no consistent alpha-diversity difference [41]</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Populations differ somewhere in community structure</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Does not establish where; taxa do not converge</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Mendelian randomisation</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Contradictory taxon lists across studies using shared instruments</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Little, as currently conducted</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Few significant loci [53–55]; relaxed thresholds; multiplicity [57,58]</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Probiotic RCT meta-analysis</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SMD −0.96 (I² = 85%), falling ~⅓ after excluding high-risk studies; also −0.53 [64]</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Some symptomatic benefit, poorly characterised</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Extreme heterogeneity; "probiotic" is not one exposure</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FMT meta-analysis</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SMD ≈ −1.21; Hedges' g −0.81; and −0.10 (95% CI −0.60 to 0.41) [68]</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Contested</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Syntheses of the same intervention disagree in direction of conclusion</w:t>
            </w:r>
          </w:p>
        </w:tc>
      </w:tr>
    </w:tbl>
    <w:p>
      <w:pPr>
        <w:spacing w:line="480" w:lineRule="auto"/>
      </w:pPr>
    </w:p>
    <w:p>
      <w:pPr>
        <w:spacing w:line="480" w:lineRule="auto"/>
      </w:pPr>
      <w:r>
        <w:rPr>
          <w:rFonts w:ascii="Times New Roman" w:hAnsi="Times New Roman" w:cs="Times New Roman" w:eastAsia="Times New Roman"/>
          <w:b/>
          <w:color w:val="000000"/>
          <w:sz w:val="24"/>
        </w:rPr>
        <w:t>4. The circuit account</w:t>
      </w:r>
    </w:p>
    <w:p>
      <w:pPr>
        <w:spacing w:line="480" w:lineRule="auto"/>
      </w:pPr>
      <w:r>
        <w:rPr>
          <w:rFonts w:ascii="Times New Roman" w:hAnsi="Times New Roman" w:cs="Times New Roman" w:eastAsia="Times New Roman"/>
          <w:b/>
          <w:i/>
          <w:color w:val="000000"/>
          <w:sz w:val="24"/>
        </w:rPr>
        <w:t>4.1 Neuropod cells and synaptic transduction</w:t>
      </w:r>
    </w:p>
    <w:p>
      <w:pPr>
        <w:spacing w:line="480" w:lineRule="auto"/>
      </w:pPr>
      <w:r>
        <w:rPr>
          <w:rFonts w:ascii="Times New Roman" w:hAnsi="Times New Roman" w:cs="Times New Roman" w:eastAsia="Times New Roman"/>
          <w:color w:val="000000"/>
        </w:rPr>
        <w:t>Enteroendocrine cells were long modelled as endocrine sensors releasing peptides into circulation, acting over minutes, and that role is real and well characterised [71]. Bohórquez and colleagues then described a cytoplasmic process, the neuropod, by which these cells contact neurons directly [9]. Kaelberer and colleagues showed that a subset forms true synapses with vagal nodose neurons [4]. Optogenetic activation elicited excitatory postsynaptic potentials in connected nodose neurons within milliseconds, glutamate carried the fast transmission, and monosynaptic rabies tracing [72] established the connection anatomically. These cells place the intestinal lumen one synapse from the brainstem.</w:t>
      </w:r>
    </w:p>
    <w:p>
      <w:pPr>
        <w:spacing w:line="480" w:lineRule="auto"/>
      </w:pPr>
      <w:r>
        <w:rPr>
          <w:rFonts w:ascii="Times New Roman" w:hAnsi="Times New Roman" w:cs="Times New Roman" w:eastAsia="Times New Roman"/>
          <w:color w:val="000000"/>
        </w:rPr>
        <w:t>Timescale is the conceptual break. No humoral signal delivers stimulus-specific information in milliseconds; and between a hormone diffusing to a receptor field and a synapse addressing a named postsynaptic partner lies the distinction between broadcast and addressed transmission.</w:t>
      </w:r>
    </w:p>
    <w:p>
      <w:pPr>
        <w:spacing w:line="480" w:lineRule="auto"/>
      </w:pPr>
      <w:r>
        <w:rPr>
          <w:rFonts w:ascii="Times New Roman" w:hAnsi="Times New Roman" w:cs="Times New Roman" w:eastAsia="Times New Roman"/>
          <w:color w:val="000000"/>
        </w:rPr>
        <w:t>That distinction does real work. Broadcast signalling carries magnitude: more ligand, more effect, with specificity supplied by which tissues express the receptor. Addressed signalling carries identity as well, because the postsynaptic partner is determined by anatomy rather than by receptor distribution, so two stimuli can produce different central consequences even when they release the same transmitter from neighbouring cells. Any field committed to measuring circulating metabolite concentrations implicitly assumes the first model. Where the second operates, the informative variable is not how much of a molecule is present but which line it activated.</w:t>
      </w:r>
    </w:p>
    <w:p>
      <w:pPr>
        <w:spacing w:line="480" w:lineRule="auto"/>
      </w:pPr>
      <w:r>
        <w:rPr>
          <w:rFonts w:ascii="Times New Roman" w:hAnsi="Times New Roman" w:cs="Times New Roman" w:eastAsia="Times New Roman"/>
          <w:color w:val="000000"/>
        </w:rPr>
        <w:t>Buchanan and colleagues demonstrated exactly that dissociation. Duodenal neuropod cells transduce sugars and non-caloric sweeteners alike to the vagus, using sweet taste receptors and sodium–glucose transporters [73], machinery first identified in the gut by Margolskee and colleagues [74,75]. The two stimuli recruit different transmitters: sweetener evokes purinergic signalling, sugar evokes glutamatergic signalling, and the animal's preference for sugar depends on the glutamatergic arm [73]. Identical sweetness, identical cell type, different line, different behaviour. A concentration measurement could not have distinguished them.</w:t>
      </w:r>
    </w:p>
    <w:p>
      <w:pPr>
        <w:spacing w:line="480" w:lineRule="auto"/>
      </w:pPr>
      <w:r>
        <w:rPr>
          <w:rFonts w:ascii="Times New Roman" w:hAnsi="Times New Roman" w:cs="Times New Roman" w:eastAsia="Times New Roman"/>
          <w:b/>
          <w:i/>
          <w:color w:val="000000"/>
          <w:sz w:val="24"/>
        </w:rPr>
        <w:t>4.2 Enterochromaffin chemosensation</w:t>
      </w:r>
    </w:p>
    <w:p>
      <w:pPr>
        <w:spacing w:line="480" w:lineRule="auto"/>
      </w:pPr>
      <w:r>
        <w:rPr>
          <w:rFonts w:ascii="Times New Roman" w:hAnsi="Times New Roman" w:cs="Times New Roman" w:eastAsia="Times New Roman"/>
          <w:color w:val="000000"/>
        </w:rPr>
        <w:t>Enterochromaffin cells make up under one per cent of intestinal epithelium and produce the large majority of the body's serotonin. Bellono and colleagues established that they are electrically excitable, express voltage-gated channels, detect irritants, metabolites and catecholamines through defined receptors, and release serotonin through P/Q-type calcium channels onto 5-HT3-expressing afferent fibres in synaptic-like contacts [10]. Alcaino and colleagues showed a subpopulation is mechanosensitive and requires Piezo2 to convert force into serotonin release [76].</w:t>
      </w:r>
    </w:p>
    <w:p>
      <w:pPr>
        <w:spacing w:line="480" w:lineRule="auto"/>
      </w:pPr>
      <w:r>
        <w:rPr>
          <w:rFonts w:ascii="Times New Roman" w:hAnsi="Times New Roman" w:cs="Times New Roman" w:eastAsia="Times New Roman"/>
          <w:color w:val="000000"/>
        </w:rPr>
        <w:t>That result matters for the compositional account specifically. Microbial metabolites were previously assumed to act after absorption, at distant targets; here they act at the epithelial surface, on a sensory cell, and the information travels neurally. Microbial regulation of enterochromaffin serotonin synthesis [24] therefore has a defined local consequence rather than only a systemic one.</w:t>
      </w:r>
    </w:p>
    <w:p>
      <w:pPr>
        <w:spacing w:line="480" w:lineRule="auto"/>
      </w:pPr>
      <w:r>
        <w:rPr>
          <w:rFonts w:ascii="Times New Roman" w:hAnsi="Times New Roman" w:cs="Times New Roman" w:eastAsia="Times New Roman"/>
          <w:color w:val="000000"/>
        </w:rPr>
        <w:t>Bayrer and colleagues then closed an important gap in that story. Selective activation of enterochromaffin cells increased serotonin release, produced visceral hypersensitivity, and generated anxiety-like behaviour [77]. An identified epithelial sensory cell, manipulated directly, changes an affective readout. No longer is the circuit literature confined to feeding.</w:t>
      </w:r>
    </w:p>
    <w:p>
      <w:pPr>
        <w:spacing w:line="480" w:lineRule="auto"/>
      </w:pPr>
      <w:r>
        <w:rPr>
          <w:rFonts w:ascii="Times New Roman" w:hAnsi="Times New Roman" w:cs="Times New Roman" w:eastAsia="Times New Roman"/>
          <w:b/>
          <w:i/>
          <w:color w:val="000000"/>
          <w:sz w:val="24"/>
        </w:rPr>
        <w:t>4.3 The vagal sensory map</w:t>
      </w:r>
    </w:p>
    <w:p>
      <w:pPr>
        <w:spacing w:line="480" w:lineRule="auto"/>
      </w:pPr>
      <w:r>
        <w:rPr>
          <w:rFonts w:ascii="Times New Roman" w:hAnsi="Times New Roman" w:cs="Times New Roman" w:eastAsia="Times New Roman"/>
          <w:color w:val="000000"/>
        </w:rPr>
        <w:t>Anatomists characterised the afferent vagus well before genetic tools arrived, describing distinct terminal structures across organs [13]. Williams and colleagues then used genetic access to separate two functional classes: GPR65 neurons innervating intestinal villi and responding to nutrients, and GLP1R neurons innervating gut muscle and responding to stretch [78]. Bai and colleagues applied target-specific single-cell sequencing to the vagal neurons innervating the gastrointestinal tract and resolved populations by marker gene, identifying GLP1R-expressing intraganglionic laminar endings in the stomach and Piezo2-expressing gastric distension neurons regulating satiety [11]. Kupari and colleagues produced an atlas resolving 24 vagal subtypes [12]. Spinal afferents have been resolved in parallel, with seven transcriptional classes of colonic sensory neuron described [79].</w:t>
      </w:r>
    </w:p>
    <w:p>
      <w:pPr>
        <w:spacing w:line="480" w:lineRule="auto"/>
      </w:pPr>
      <w:r>
        <w:rPr>
          <w:rFonts w:ascii="Times New Roman" w:hAnsi="Times New Roman" w:cs="Times New Roman" w:eastAsia="Times New Roman"/>
          <w:color w:val="000000"/>
        </w:rPr>
        <w:t>So the vagus is not a trunk line carrying undifferentiated visceral tone. Think of it instead as a set of labelled lines, each with its own peripheral terminals, stimuli and central targets; individual lines can be manipulated genetically [80].</w:t>
      </w:r>
    </w:p>
    <w:p>
      <w:pPr>
        <w:spacing w:line="480" w:lineRule="auto"/>
      </w:pPr>
      <w:r>
        <w:rPr>
          <w:rFonts w:ascii="Times New Roman" w:hAnsi="Times New Roman" w:cs="Times New Roman" w:eastAsia="Times New Roman"/>
          <w:color w:val="000000"/>
        </w:rPr>
        <w:t>Interoceptive signalling, long described in psychological and neuroanatomical terms [81,82], now has a cellular substrate at the gut end of the pathway, and vagal routes have been proposed as modulators of psychiatric and inflammatory disease [83]. Central organisation follows that same logic. Huang and colleagues found that hindbrain GLP1R populations mediating satiety and aversion are functionally separable, with NTS-GLP1R activation producing satiety without aversion and AP-GLP1R activation producing aversion [84]. Vagal GLP1R signalling is required for normal food intake and glycaemia [85], and the therapeutic exploitation of this axis is now the largest clinical application of gut–brain biology in existence [86]. None of that progress came from measuring community composition.</w:t>
      </w:r>
    </w:p>
    <w:p>
      <w:pPr>
        <w:spacing w:line="480" w:lineRule="auto"/>
      </w:pPr>
      <w:r>
        <w:rPr>
          <w:rFonts w:ascii="Times New Roman" w:hAnsi="Times New Roman" w:cs="Times New Roman" w:eastAsia="Times New Roman"/>
          <w:b/>
          <w:i/>
          <w:color w:val="000000"/>
          <w:sz w:val="24"/>
        </w:rPr>
        <w:t>4.4 The neurobiotic sense</w:t>
      </w:r>
    </w:p>
    <w:p>
      <w:pPr>
        <w:spacing w:line="480" w:lineRule="auto"/>
      </w:pPr>
      <w:r>
        <w:rPr>
          <w:rFonts w:ascii="Times New Roman" w:hAnsi="Times New Roman" w:cs="Times New Roman" w:eastAsia="Times New Roman"/>
          <w:color w:val="000000"/>
        </w:rPr>
        <w:t>Liu and colleagues reported in 2025 that flagellin, the structural protein of the bacterial flagellum, stimulates Toll-like receptor 5 on peptide YY-labelled colonic neuropod cells, which release PYY onto NPY2R-expressing vagal nodose neurons and so regulate feeding [15]. Liu and colleagues call this a neurobiotic sense: the host monitoring a microbial molecular pattern and adjusting behaviour accordingly.</w:t>
      </w:r>
    </w:p>
    <w:p>
      <w:pPr>
        <w:spacing w:line="480" w:lineRule="auto"/>
      </w:pPr>
      <w:r>
        <w:rPr>
          <w:rFonts w:ascii="Times New Roman" w:hAnsi="Times New Roman" w:cs="Times New Roman" w:eastAsia="Times New Roman"/>
          <w:color w:val="000000"/>
        </w:rPr>
        <w:t>Consider how much more constrained this claim is than a compositional one. Named here are the ligand, the receptor, the cell, the transmitter, the postsynaptic receptor, the afferent population and the behavioural output. Every element can be deleted or stimulated independently. Claims of that shape can be wrong in specific ways, which is what makes them worth testing.</w:t>
      </w:r>
    </w:p>
    <w:p>
      <w:pPr>
        <w:spacing w:line="480" w:lineRule="auto"/>
      </w:pPr>
      <w:r>
        <w:rPr>
          <w:rFonts w:ascii="Times New Roman" w:hAnsi="Times New Roman" w:cs="Times New Roman" w:eastAsia="Times New Roman"/>
          <w:b/>
          <w:i/>
          <w:color w:val="000000"/>
          <w:sz w:val="24"/>
        </w:rPr>
        <w:t>4.5 Beyond the vagus</w:t>
      </w:r>
    </w:p>
    <w:p>
      <w:pPr>
        <w:spacing w:line="480" w:lineRule="auto"/>
      </w:pPr>
      <w:r>
        <w:rPr>
          <w:rFonts w:ascii="Times New Roman" w:hAnsi="Times New Roman" w:cs="Times New Roman" w:eastAsia="Times New Roman"/>
          <w:color w:val="000000"/>
        </w:rPr>
        <w:t>Vagal afferents are not the only route, and the circuit literature has begun to map others. Muller and colleagues identified a gut–brain circuit by which microbiota modulate sympathetic neurons, using gnotobiotic models, circuit tracing and chemogenetics together [87]. With roughly 500 million neurons, the enteric nervous system performs substantial sensory and motor computation of its own [88,89], and enteric glia participate in signalling rather than merely supporting it [90]. Enteric circuits are implicated in several neurological disorders [91], and inflammation leaves lasting plastic changes in gut sensory function [92].</w:t>
      </w:r>
    </w:p>
    <w:p>
      <w:pPr>
        <w:spacing w:line="480" w:lineRule="auto"/>
      </w:pPr>
      <w:r>
        <w:rPr>
          <w:rFonts w:ascii="Times New Roman" w:hAnsi="Times New Roman" w:cs="Times New Roman" w:eastAsia="Times New Roman"/>
          <w:b/>
          <w:color w:val="000000"/>
        </w:rPr>
        <w:t>Table 2.</w:t>
      </w:r>
      <w:r>
        <w:rPr>
          <w:rFonts w:ascii="Times New Roman" w:hAnsi="Times New Roman" w:cs="Times New Roman" w:eastAsia="Times New Roman"/>
          <w:color w:val="000000"/>
        </w:rPr>
        <w:t xml:space="preserve"> Identified gut sensory channels.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Sensory cell</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Stimulus</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Transmitter</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Afferent target</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Timescale</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Causal methods applied</w:t>
            </w:r>
          </w:p>
        </w:tc>
      </w:tr>
      <w:tr>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Neuropod cell, small intestine</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Luminal sugars</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Glutamate</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Vagal nodose neurons</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Milliseconds [4]</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Optogenetics; monosynaptic rabies tracing [72]</w:t>
            </w:r>
          </w:p>
        </w:tc>
      </w:tr>
      <w:tr>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Neuropod cell, duodenum</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Non-caloric sweetener</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ATP (purinergic)</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Vagal nodose neurons</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Fast [73]</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Cell-specific manipulation; preference assay</w:t>
            </w:r>
          </w:p>
        </w:tc>
      </w:tr>
      <w:tr>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Enterochromaffin cell</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Irritants, metabolites, catecholamines</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Serotonin, via P/Q-type Ca²⁺ channels</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5-HT3-expressing afferents</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Fast, synaptic-like contact [10]</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Electrophysiology; receptor pharmacology</w:t>
            </w:r>
          </w:p>
        </w:tc>
      </w:tr>
      <w:tr>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Enterochromaffin cell</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Mechanical force</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Serotonin, Piezo2-dependent</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5-HT3-expressing afferents</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Fast [76]</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Channel deletion</w:t>
            </w:r>
          </w:p>
        </w:tc>
      </w:tr>
      <w:tr>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Enterochromaffin cell</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Direct activation</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Serotonin</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Visceral afferents</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Fast [77]</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Optogenetics; pain and anxiety readouts</w:t>
            </w:r>
          </w:p>
        </w:tc>
      </w:tr>
      <w:tr>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Vagal GPR65⁺ neuron</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Intestinal nutrients</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Caudal medulla</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Fast [78]</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Genetic access; selective activation</w:t>
            </w:r>
          </w:p>
        </w:tc>
      </w:tr>
      <w:tr>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Vagal GLP1R⁺ / Piezo2⁺ neuron</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Gastric stretch, distension</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Caudal medulla</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Fast [11,78]</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Single-cell sequencing; satiety readout</w:t>
            </w:r>
          </w:p>
        </w:tc>
      </w:tr>
      <w:tr>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Colonic PYY⁺ neuropod cell</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Bacterial flagellin, via TLR5</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Peptide YY</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NPY2R⁺ vagal nodose neurons</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Fast [15]</w:t>
            </w:r>
          </w:p>
        </w:tc>
        <w:tc>
          <w:tcPr>
            <w:tcW w:type="dxa" w:w="144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Receptor deletion; circuit manipulation; feeding readout</w:t>
            </w:r>
          </w:p>
        </w:tc>
      </w:tr>
    </w:tbl>
    <w:p>
      <w:pPr>
        <w:spacing w:line="480" w:lineRule="auto"/>
      </w:pPr>
    </w:p>
    <w:p>
      <w:pPr>
        <w:spacing w:line="480" w:lineRule="auto"/>
      </w:pPr>
      <w:r>
        <w:rPr>
          <w:rFonts w:ascii="Times New Roman" w:hAnsi="Times New Roman" w:cs="Times New Roman" w:eastAsia="Times New Roman"/>
          <w:b/>
          <w:color w:val="000000"/>
          <w:sz w:val="24"/>
        </w:rPr>
        <w:t>5. Why the two literatures differ in strength</w:t>
      </w:r>
    </w:p>
    <w:p>
      <w:pPr>
        <w:spacing w:line="480" w:lineRule="auto"/>
      </w:pPr>
      <w:r>
        <w:rPr>
          <w:rFonts w:ascii="Times New Roman" w:hAnsi="Times New Roman" w:cs="Times New Roman" w:eastAsia="Times New Roman"/>
          <w:color w:val="000000"/>
        </w:rPr>
        <w:t>This asymmetry is not about effort or funding, nor is one field more rigorous by temperament. It follows from what each account specifies.</w:t>
      </w:r>
    </w:p>
    <w:p>
      <w:pPr>
        <w:spacing w:line="480" w:lineRule="auto"/>
      </w:pPr>
      <w:r>
        <w:rPr>
          <w:rFonts w:ascii="Times New Roman" w:hAnsi="Times New Roman" w:cs="Times New Roman" w:eastAsia="Times New Roman"/>
          <w:color w:val="000000"/>
        </w:rPr>
        <w:t>Circuit claims name their parts. Naming parts generates interventions — delete the receptor, silence the cell, cut the afferent — and the prediction either holds or fails. Compositional claims name a community state and an outcome, leaving the connecting path unspecified, so the available test is to perturb the community and observe the outcome. That test is weak because the perturbation is poorly characterised, the mediating path is unknown, and the outcome is a syndrome rather than a physiological variable.</w:t>
      </w:r>
    </w:p>
    <w:p>
      <w:pPr>
        <w:spacing w:line="480" w:lineRule="auto"/>
      </w:pPr>
      <w:r>
        <w:rPr>
          <w:rFonts w:ascii="Times New Roman" w:hAnsi="Times New Roman" w:cs="Times New Roman" w:eastAsia="Times New Roman"/>
          <w:color w:val="000000"/>
        </w:rPr>
        <w:t>Measurement resolution compounds it. 16S profiling resolves genus; the functional unit may be a strain, a gene cluster, or a single molecule such as flagellin [15]. Taxa are an imperfect proxy for the thing that signals, so even an accurately measured community may be the wrong variable, and the compositional constraint on the data adds a further analytic hazard [42].</w:t>
      </w:r>
    </w:p>
    <w:p>
      <w:pPr>
        <w:spacing w:line="480" w:lineRule="auto"/>
      </w:pPr>
      <w:r>
        <w:rPr>
          <w:rFonts w:ascii="Times New Roman" w:hAnsi="Times New Roman" w:cs="Times New Roman" w:eastAsia="Times New Roman"/>
          <w:b/>
          <w:i/>
          <w:color w:val="000000"/>
          <w:sz w:val="24"/>
        </w:rPr>
        <w:t>5.1 A precedent from sensory neuroscience</w:t>
      </w:r>
    </w:p>
    <w:p>
      <w:pPr>
        <w:spacing w:line="480" w:lineRule="auto"/>
      </w:pPr>
      <w:r>
        <w:rPr>
          <w:rFonts w:ascii="Times New Roman" w:hAnsi="Times New Roman" w:cs="Times New Roman" w:eastAsia="Times New Roman"/>
          <w:color w:val="000000"/>
        </w:rPr>
        <w:t>Olfaction went through this transition, and the shape of it is instructive.</w:t>
      </w:r>
    </w:p>
    <w:p>
      <w:pPr>
        <w:spacing w:line="480" w:lineRule="auto"/>
      </w:pPr>
      <w:r>
        <w:rPr>
          <w:rFonts w:ascii="Times New Roman" w:hAnsi="Times New Roman" w:cs="Times New Roman" w:eastAsia="Times New Roman"/>
          <w:color w:val="000000"/>
        </w:rPr>
        <w:t>For most of the twentieth century, smell was studied as a chemical sense. Investigators catalogued perceived odour classes, proposed stereochemical theories of how molecular shape produced sensation, and measured detection thresholds. Careful work, and no consolidation, because the connecting path between a molecule in the air and a percept in the brain was unspecified.</w:t>
      </w:r>
    </w:p>
    <w:p>
      <w:pPr>
        <w:spacing w:line="480" w:lineRule="auto"/>
      </w:pPr>
      <w:r>
        <w:rPr>
          <w:rFonts w:ascii="Times New Roman" w:hAnsi="Times New Roman" w:cs="Times New Roman" w:eastAsia="Times New Roman"/>
          <w:color w:val="000000"/>
        </w:rPr>
        <w:t>Buck and Axel broke it open by finding the receptors, identifying a large multigene family of olfactory receptor genes and establishing the molecular basis of odour recognition [93]. What followed was not a refinement of odour-class taxonomy but a different discipline: receptor deorphanisation, glomerular mapping [94], labelled-line tracing from epithelium to cortex. The Nobel committee recognised it in 2004.</w:t>
      </w:r>
    </w:p>
    <w:p>
      <w:pPr>
        <w:spacing w:line="480" w:lineRule="auto"/>
      </w:pPr>
      <w:r>
        <w:rPr>
          <w:rFonts w:ascii="Times New Roman" w:hAnsi="Times New Roman" w:cs="Times New Roman" w:eastAsia="Times New Roman"/>
          <w:color w:val="000000"/>
        </w:rPr>
        <w:t>Microbiota–gut–brain research, we contend, currently sits where olfaction sat before 1991. There is a real phenomenon, a large descriptive literature organised around the stimulus side, and no molecular account of transduction. Flagellin binding TLR5 on a PYY-labelled colonic cell [15] is the first entry in the gut's version of that receptor catalogue, and the human enteroendocrine sensor screen now under way [95] is the beginning of the deorphanisation phase.</w:t>
      </w:r>
    </w:p>
    <w:p>
      <w:pPr>
        <w:spacing w:line="480" w:lineRule="auto"/>
      </w:pPr>
      <w:r>
        <w:rPr>
          <w:rFonts w:ascii="Times New Roman" w:hAnsi="Times New Roman" w:cs="Times New Roman" w:eastAsia="Times New Roman"/>
          <w:color w:val="000000"/>
        </w:rPr>
        <w:t>That analogy carries a warning as well. Receptor identification did not make the perceptual literature worthless, nor did it immediately explain why particular odours are pleasant. What changed was the standard of explanation, and a class of question that had been argued about became answerable.</w:t>
      </w:r>
    </w:p>
    <w:p>
      <w:pPr>
        <w:spacing w:line="480" w:lineRule="auto"/>
      </w:pPr>
      <w:r>
        <w:rPr>
          <w:rFonts w:ascii="Times New Roman" w:hAnsi="Times New Roman" w:cs="Times New Roman" w:eastAsia="Times New Roman"/>
          <w:b/>
          <w:color w:val="000000"/>
        </w:rPr>
        <w:t>Figure 1.</w:t>
      </w:r>
      <w:r>
        <w:rPr>
          <w:rFonts w:ascii="Times New Roman" w:hAnsi="Times New Roman" w:cs="Times New Roman" w:eastAsia="Times New Roman"/>
          <w:color w:val="000000"/>
        </w:rPr>
        <w:t xml:space="preserve"> The two architectures drawn to the same scale. Panel A, broadcast signalling: microbial metabolites and immune mediators enter portal and systemic circulation and reach distributed central receptor fields over hours to days, with specificity determined by receptor expression [20,22,25]. Panel B, addressed signalling: a luminal ligand binds a receptor on a named epithelial sensory cell, which releases a transmitter onto an identified vagal afferent terminating in the caudal medulla, over milliseconds, with specificity determined by anatomy [4,15]. Panel C maps the measurement each architecture invites — sequencing and metabolite panels against electrophysiology, tracing and genetically targeted silencing. Figure to be drawn in vector format at submission.</w:t>
      </w:r>
    </w:p>
    <w:p>
      <w:pPr>
        <w:spacing w:line="480" w:lineRule="auto"/>
      </w:pPr>
      <w:r>
        <w:rPr>
          <w:rFonts w:ascii="Times New Roman" w:hAnsi="Times New Roman" w:cs="Times New Roman" w:eastAsia="Times New Roman"/>
          <w:b/>
          <w:color w:val="000000"/>
        </w:rPr>
        <w:t>Table 3.</w:t>
      </w:r>
      <w:r>
        <w:rPr>
          <w:rFonts w:ascii="Times New Roman" w:hAnsi="Times New Roman" w:cs="Times New Roman" w:eastAsia="Times New Roman"/>
          <w:color w:val="000000"/>
        </w:rPr>
        <w:t xml:space="preserve"> The two accounts compared.</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480" w:lineRule="auto"/>
            </w:pPr>
            <w:r>
              <w:rPr>
                <w:rFonts w:ascii="Times New Roman" w:hAnsi="Times New Roman" w:cs="Times New Roman" w:eastAsia="Times New Roman"/>
                <w:color w:val="000000"/>
              </w:rPr>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Compositional account</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Circuit account</w:t>
            </w:r>
          </w:p>
        </w:tc>
      </w:tr>
      <w:tr>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Unit of analysis</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Community composition, taxon abundance</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Cell type, receptor, transmitter, afferent</w:t>
            </w:r>
          </w:p>
        </w:tc>
      </w:tr>
      <w:tr>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Typical measurement</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16S or shotgun sequencing; metabolite panels</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Electrophysiology, optogenetics, genetic access, tracing</w:t>
            </w:r>
          </w:p>
        </w:tc>
      </w:tr>
      <w:tr>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Causal test available</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Perturb community, observe syndrome</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Delete or stimulate a named component</w:t>
            </w:r>
          </w:p>
        </w:tc>
      </w:tr>
      <w:tr>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Spatial resolution</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Luminal compartment</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Single cell and synapse</w:t>
            </w:r>
          </w:p>
        </w:tc>
      </w:tr>
      <w:tr>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Temporal resolution</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Days to weeks</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Milliseconds [4]</w:t>
            </w:r>
          </w:p>
        </w:tc>
      </w:tr>
      <w:tr>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Replication record</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Contradictory MR; meta-analyses disagreeing in direction [68]</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Core circuit findings reproduced and extended [4,9,10,15,73,76,77]</w:t>
            </w:r>
          </w:p>
        </w:tc>
      </w:tr>
      <w:tr>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Falsifiability</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Low, path unspecified</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High, each element independently testable</w:t>
            </w:r>
          </w:p>
        </w:tc>
      </w:tr>
    </w:tbl>
    <w:p>
      <w:pPr>
        <w:spacing w:line="480" w:lineRule="auto"/>
      </w:pPr>
    </w:p>
    <w:p>
      <w:pPr>
        <w:spacing w:line="480" w:lineRule="auto"/>
      </w:pPr>
      <w:r>
        <w:rPr>
          <w:rFonts w:ascii="Times New Roman" w:hAnsi="Times New Roman" w:cs="Times New Roman" w:eastAsia="Times New Roman"/>
          <w:b/>
          <w:color w:val="000000"/>
          <w:sz w:val="24"/>
        </w:rPr>
        <w:t>6. What the reframing changes</w:t>
      </w:r>
    </w:p>
    <w:p>
      <w:pPr>
        <w:spacing w:line="480" w:lineRule="auto"/>
      </w:pPr>
      <w:r>
        <w:rPr>
          <w:rFonts w:ascii="Times New Roman" w:hAnsi="Times New Roman" w:cs="Times New Roman" w:eastAsia="Times New Roman"/>
          <w:b/>
          <w:i/>
          <w:color w:val="000000"/>
          <w:sz w:val="24"/>
        </w:rPr>
        <w:t>6.1 Experimental design</w:t>
      </w:r>
    </w:p>
    <w:p>
      <w:pPr>
        <w:spacing w:line="480" w:lineRule="auto"/>
      </w:pPr>
      <w:r>
        <w:rPr>
          <w:rFonts w:ascii="Times New Roman" w:hAnsi="Times New Roman" w:cs="Times New Roman" w:eastAsia="Times New Roman"/>
          <w:color w:val="000000"/>
        </w:rPr>
        <w:t>Treating microbial signalling as sensory input changes the controls an experiment needs. If flagellin acts through TLR5 on colonic neuropod cells [15], then an experiment colonising mice with a flagellated organism must include a flagellin-deficient mutant and a TLR5-deficient host, because otherwise the result is attributed to a taxon when it belongs to a molecule and a receptor.</w:t>
      </w:r>
    </w:p>
    <w:p>
      <w:pPr>
        <w:spacing w:line="480" w:lineRule="auto"/>
      </w:pPr>
      <w:r>
        <w:rPr>
          <w:rFonts w:ascii="Times New Roman" w:hAnsi="Times New Roman" w:cs="Times New Roman" w:eastAsia="Times New Roman"/>
          <w:color w:val="000000"/>
        </w:rPr>
        <w:t>Vagotomy controls become informative rather than decorative, and the available denervation is now selective. Where whole-trunk vagotomy removes all afferent and efferent traffic, genetic access to marked vagal populations [11,12] permits silencing one line while leaving the rest intact, using tools developed for exactly this purpose [80].</w:t>
      </w:r>
    </w:p>
    <w:p>
      <w:pPr>
        <w:spacing w:line="480" w:lineRule="auto"/>
      </w:pPr>
      <w:r>
        <w:rPr>
          <w:rFonts w:ascii="Times New Roman" w:hAnsi="Times New Roman" w:cs="Times New Roman" w:eastAsia="Times New Roman"/>
          <w:b/>
          <w:i/>
          <w:color w:val="000000"/>
          <w:sz w:val="24"/>
        </w:rPr>
        <w:t>6.2 Endpoints and biomarkers</w:t>
      </w:r>
    </w:p>
    <w:p>
      <w:pPr>
        <w:spacing w:line="480" w:lineRule="auto"/>
      </w:pPr>
      <w:r>
        <w:rPr>
          <w:rFonts w:ascii="Times New Roman" w:hAnsi="Times New Roman" w:cs="Times New Roman" w:eastAsia="Times New Roman"/>
          <w:color w:val="000000"/>
        </w:rPr>
        <w:t>Composition is a poor biomarker for a signalling event, because it reports standing community structure rather than whether a channel fired. Where the ligand is known, the ligand can be measured. Luminal and mucosal flagellin concentration is a more direct correlate of TLR5-mediated signalling than the relative abundance of flagellated taxa, and the two can dissociate.</w:t>
      </w:r>
    </w:p>
    <w:p>
      <w:pPr>
        <w:spacing w:line="480" w:lineRule="auto"/>
      </w:pPr>
      <w:r>
        <w:rPr>
          <w:rFonts w:ascii="Times New Roman" w:hAnsi="Times New Roman" w:cs="Times New Roman" w:eastAsia="Times New Roman"/>
          <w:color w:val="000000"/>
        </w:rPr>
        <w:t>Stratifying trial participants by taxon abundance will misclassify anyone whose community carries the taxon without presenting the ligand at the epithelial surface. Given how poorly taxa have performed as predictors across the trial literature [64,68], that misclassification is a live candidate explanation rather than a hypothetical one.</w:t>
      </w:r>
    </w:p>
    <w:p>
      <w:pPr>
        <w:spacing w:line="480" w:lineRule="auto"/>
      </w:pPr>
      <w:r>
        <w:rPr>
          <w:rFonts w:ascii="Times New Roman" w:hAnsi="Times New Roman" w:cs="Times New Roman" w:eastAsia="Times New Roman"/>
          <w:b/>
          <w:i/>
          <w:color w:val="000000"/>
          <w:sz w:val="24"/>
        </w:rPr>
        <w:t>6.3 Therapeutic targets</w:t>
      </w:r>
    </w:p>
    <w:p>
      <w:pPr>
        <w:spacing w:line="480" w:lineRule="auto"/>
      </w:pPr>
      <w:r>
        <w:rPr>
          <w:rFonts w:ascii="Times New Roman" w:hAnsi="Times New Roman" w:cs="Times New Roman" w:eastAsia="Times New Roman"/>
          <w:color w:val="000000"/>
        </w:rPr>
        <w:t>Psychobiotic development has proceeded largely by screening organisms against behavioural endpoints [69,70], which is a reasonable strategy when no mechanism is known and an inefficient one afterwards. Channel-level accounts offer defined targets: the receptor, the transmitter release step, the postsynaptic receptor, the afferent population.</w:t>
      </w:r>
    </w:p>
    <w:p>
      <w:pPr>
        <w:spacing w:line="480" w:lineRule="auto"/>
      </w:pPr>
      <w:r>
        <w:rPr>
          <w:rFonts w:ascii="Times New Roman" w:hAnsi="Times New Roman" w:cs="Times New Roman" w:eastAsia="Times New Roman"/>
          <w:color w:val="000000"/>
        </w:rPr>
        <w:t>Whether those targets prove tractable is open. We would note that the pharmacology already exists in adjacent form, since NPY2R and 5-HT3 are established drug targets already, and that gut-restricted compounds avoid much of the central exposure that complicates neuropsychiatric drug development. The GLP-1 field is the proof of concept: dissecting which hindbrain population mediates satiety and which mediates aversion [84] opens a path to separating efficacy from the side effect that limits adherence, and no amount of community profiling would have identified it.</w:t>
      </w:r>
    </w:p>
    <w:p>
      <w:pPr>
        <w:spacing w:line="480" w:lineRule="auto"/>
      </w:pPr>
      <w:r>
        <w:rPr>
          <w:rFonts w:ascii="Times New Roman" w:hAnsi="Times New Roman" w:cs="Times New Roman" w:eastAsia="Times New Roman"/>
          <w:color w:val="000000"/>
        </w:rPr>
        <w:t>A second therapeutic consequence concerns live organisms. If a defined microbial molecule activates a defined receptor, then engineering an organism to present or withhold that molecule becomes a rational design problem rather than a screening exercise, and the relevant property of a candidate strain is what ligands it displays rather than where it sits on a phylogenetic tree. Two strains of the same species can differ in flagellin expression; one would be expected to engage the channel and the other not.</w:t>
      </w:r>
    </w:p>
    <w:p>
      <w:pPr>
        <w:spacing w:line="480" w:lineRule="auto"/>
      </w:pPr>
      <w:r>
        <w:rPr>
          <w:rFonts w:ascii="Times New Roman" w:hAnsi="Times New Roman" w:cs="Times New Roman" w:eastAsia="Times New Roman"/>
          <w:color w:val="000000"/>
        </w:rPr>
        <w:t>This logic cuts against some current practice. Selecting probiotic candidates by genus (still common) means selecting on a variable that may not track the signalling property at all.</w:t>
      </w:r>
    </w:p>
    <w:p>
      <w:pPr>
        <w:spacing w:line="480" w:lineRule="auto"/>
      </w:pPr>
      <w:r>
        <w:rPr>
          <w:rFonts w:ascii="Times New Roman" w:hAnsi="Times New Roman" w:cs="Times New Roman" w:eastAsia="Times New Roman"/>
          <w:b/>
          <w:color w:val="000000"/>
        </w:rPr>
        <w:t>Table 4.</w:t>
      </w:r>
      <w:r>
        <w:rPr>
          <w:rFonts w:ascii="Times New Roman" w:hAnsi="Times New Roman" w:cs="Times New Roman" w:eastAsia="Times New Roman"/>
          <w:color w:val="000000"/>
        </w:rPr>
        <w:t xml:space="preserve"> What the reframing changes in practice.</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Research decision</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Under the compositional account</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Under a sensory-channel account</w:t>
            </w:r>
          </w:p>
        </w:tc>
      </w:tr>
      <w:tr>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Choosing an exposure</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A taxon, a consortium, or a whole community transfer</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A defined microbial molecule, with presence and absence controls</w:t>
            </w:r>
          </w:p>
        </w:tc>
      </w:tr>
      <w:tr>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Required controls</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Vehicle, sometimes heat-killed organism</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Ligand-deficient mutant organism; receptor-deficient host; selective denervation [80]</w:t>
            </w:r>
          </w:p>
        </w:tc>
      </w:tr>
      <w:tr>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Primary measurement</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Community composition by sequencing</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Ligand concentration at the mucosal surface; channel activation</w:t>
            </w:r>
          </w:p>
        </w:tc>
      </w:tr>
      <w:tr>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Denervation control</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Whole-trunk vagotomy, if used at all</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Genetically targeted silencing of a marked afferent population [11,12]</w:t>
            </w:r>
          </w:p>
        </w:tc>
      </w:tr>
      <w:tr>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Patient stratification</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Taxon abundance</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Ligand presentation and receptor genotype</w:t>
            </w:r>
          </w:p>
        </w:tc>
      </w:tr>
      <w:tr>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Candidate therapeutic</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Organism screened against a behavioural endpoint [69,70]</w:t>
            </w:r>
          </w:p>
        </w:tc>
        <w:tc>
          <w:tcPr>
            <w:tcW w:type="dxa" w:w="288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Receptor, transmitter release step, or afferent population [84]</w:t>
            </w:r>
          </w:p>
        </w:tc>
      </w:tr>
    </w:tbl>
    <w:p>
      <w:pPr>
        <w:spacing w:line="480" w:lineRule="auto"/>
      </w:pPr>
    </w:p>
    <w:p>
      <w:pPr>
        <w:spacing w:line="480" w:lineRule="auto"/>
      </w:pPr>
      <w:r>
        <w:rPr>
          <w:rFonts w:ascii="Times New Roman" w:hAnsi="Times New Roman" w:cs="Times New Roman" w:eastAsia="Times New Roman"/>
          <w:b/>
          <w:color w:val="000000"/>
          <w:sz w:val="24"/>
        </w:rPr>
        <w:t>7. Where the accounts meet: α-synuclein and the vagus</w:t>
      </w:r>
    </w:p>
    <w:p>
      <w:pPr>
        <w:spacing w:line="480" w:lineRule="auto"/>
      </w:pPr>
      <w:r>
        <w:rPr>
          <w:rFonts w:ascii="Times New Roman" w:hAnsi="Times New Roman" w:cs="Times New Roman" w:eastAsia="Times New Roman"/>
          <w:color w:val="000000"/>
        </w:rPr>
        <w:t>Parkinson's disease supplies the clearest case of a microbial-adjacent hypothesis tested at circuit resolution.</w:t>
      </w:r>
    </w:p>
    <w:p>
      <w:pPr>
        <w:spacing w:line="480" w:lineRule="auto"/>
      </w:pPr>
      <w:r>
        <w:rPr>
          <w:rFonts w:ascii="Times New Roman" w:hAnsi="Times New Roman" w:cs="Times New Roman" w:eastAsia="Times New Roman"/>
          <w:color w:val="000000"/>
        </w:rPr>
        <w:t>Braak and colleagues proposed that sporadic Parkinson's pathology begins outside the midbrain and ascends, with the lower brainstem and olfactory structures affected early [96], a staging scheme later developed into the brain-first and body-first subtype hypothesis [97]. Compositional work established that gut microbiota differ in Parkinson's and correlate with clinical phenotype [98], and that microbiota are required for motor deficits and neuroinflammation in an α-synuclein-overexpressing model [99].</w:t>
      </w:r>
    </w:p>
    <w:p>
      <w:pPr>
        <w:spacing w:line="480" w:lineRule="auto"/>
      </w:pPr>
      <w:r>
        <w:rPr>
          <w:rFonts w:ascii="Times New Roman" w:hAnsi="Times New Roman" w:cs="Times New Roman" w:eastAsia="Times New Roman"/>
          <w:color w:val="000000"/>
        </w:rPr>
        <w:t>Circuit work then tested the route directly. Kim and colleagues injected pathological α-synuclein into the mouse stomach and observed transneuronal spread to the brain with dopaminergic loss and behavioural deficits [100]. Truncal vagotomy prevented it, as did α-synuclein deficiency. Challis and colleagues found the same gut-seeded spread occurs in aged but not young mice, which adds a biological variable the compositional framing does not supply [101].</w:t>
      </w:r>
    </w:p>
    <w:p>
      <w:pPr>
        <w:spacing w:line="480" w:lineRule="auto"/>
      </w:pPr>
      <w:r>
        <w:rPr>
          <w:rFonts w:ascii="Times New Roman" w:hAnsi="Times New Roman" w:cs="Times New Roman" w:eastAsia="Times New Roman"/>
          <w:color w:val="000000"/>
        </w:rPr>
        <w:t>Human evidence runs weaker, and contested. A Danish registry analysis found reduced subsequent Parkinson's risk after full truncal vagotomy [102]; a contemporaneous analysis found no association [103]; a Swedish register-based matched-cohort study comparing 9,430 vagotomy patients against 377,200 controls found 1.07 per cent versus 1.28 per cent subsequent diagnoses, a difference too small to settle the question [104]. Such disagreement is instructive rather than disqualifying: registry studies of historical surgical cohorts carry confounding by indication, and incomplete outcome capture besides.</w:t>
      </w:r>
    </w:p>
    <w:p>
      <w:pPr>
        <w:spacing w:line="480" w:lineRule="auto"/>
      </w:pPr>
      <w:r>
        <w:rPr>
          <w:rFonts w:ascii="Times New Roman" w:hAnsi="Times New Roman" w:cs="Times New Roman" w:eastAsia="Times New Roman"/>
          <w:color w:val="000000"/>
        </w:rPr>
        <w:t xml:space="preserve">Notice also what the α-synuclein work did </w:t>
      </w:r>
      <w:r>
        <w:rPr>
          <w:rFonts w:ascii="Times New Roman" w:hAnsi="Times New Roman" w:cs="Times New Roman" w:eastAsia="Times New Roman"/>
          <w:i/>
          <w:color w:val="000000"/>
        </w:rPr>
        <w:t>not</w:t>
      </w:r>
      <w:r>
        <w:rPr>
          <w:rFonts w:ascii="Times New Roman" w:hAnsi="Times New Roman" w:cs="Times New Roman" w:eastAsia="Times New Roman"/>
          <w:color w:val="000000"/>
        </w:rPr>
        <w:t xml:space="preserve"> require. No microbiome sequencing, no taxon list, no community-level exposure. Their hypothesis concerned a protein and a nerve, and was tested on those terms. Microbial involvement in Parkinson's may well be real, and if it is, the route identified here is where a microbial trigger would have to act. Composition would then matter as an upstream determinant of whether the triggering molecule is present, which is a sharper and more testable role than the one the compositional literature usually assigns it.</w:t>
      </w:r>
    </w:p>
    <w:p>
      <w:pPr>
        <w:spacing w:line="480" w:lineRule="auto"/>
      </w:pPr>
      <w:r>
        <w:rPr>
          <w:rFonts w:ascii="Times New Roman" w:hAnsi="Times New Roman" w:cs="Times New Roman" w:eastAsia="Times New Roman"/>
          <w:b/>
          <w:color w:val="000000"/>
        </w:rPr>
        <w:t>Figure 2.</w:t>
      </w:r>
      <w:r>
        <w:rPr>
          <w:rFonts w:ascii="Times New Roman" w:hAnsi="Times New Roman" w:cs="Times New Roman" w:eastAsia="Times New Roman"/>
          <w:color w:val="000000"/>
        </w:rPr>
        <w:t xml:space="preserve"> The α-synuclein gut-to-brain route as a worked example of circuit-level testing. Panel A: pathological α-synuclein introduced into the gastric wall, with transneuronal spread traced toward the midbrain and dopaminergic loss at the endpoint [100], occurring in aged but not young animals [101]. Panel B: the two interventions that abolish it, truncal vagotomy and α-synuclein deficiency [100]. Panel C: the corresponding human observations and their contested state, with one Danish registry reporting reduced Parkinson's risk after full truncal vagotomy [102], a contemporaneous analysis reporting none [103], and a Swedish matched-cohort study reporting a difference too small to settle it [104]. Figure to be drawn in vector format at submission.</w:t>
      </w:r>
    </w:p>
    <w:p>
      <w:pPr>
        <w:spacing w:line="480" w:lineRule="auto"/>
      </w:pPr>
      <w:r>
        <w:rPr>
          <w:rFonts w:ascii="Times New Roman" w:hAnsi="Times New Roman" w:cs="Times New Roman" w:eastAsia="Times New Roman"/>
          <w:b/>
          <w:color w:val="000000"/>
          <w:sz w:val="24"/>
        </w:rPr>
        <w:t>8. Limits of the circuit account</w:t>
      </w:r>
    </w:p>
    <w:p>
      <w:pPr>
        <w:spacing w:line="480" w:lineRule="auto"/>
      </w:pPr>
      <w:r>
        <w:rPr>
          <w:rFonts w:ascii="Times New Roman" w:hAnsi="Times New Roman" w:cs="Times New Roman" w:eastAsia="Times New Roman"/>
          <w:color w:val="000000"/>
        </w:rPr>
        <w:t>Fairness requires stating what the circuit literature has not established, and the list is substantial.</w:t>
      </w:r>
    </w:p>
    <w:p>
      <w:pPr>
        <w:spacing w:line="480" w:lineRule="auto"/>
      </w:pPr>
      <w:r>
        <w:rPr>
          <w:rFonts w:ascii="Times New Roman" w:hAnsi="Times New Roman" w:cs="Times New Roman" w:eastAsia="Times New Roman"/>
          <w:color w:val="000000"/>
        </w:rPr>
        <w:t>Nearly all of it remains rodent work. Human enteroendocrine and neuropod biology is characterised far less well, vagal innervation density and subtype distribution differ between species, and the colon-to-brainstem anatomy that carries the flagellin signal in mice [15] has no verified human counterpart. The recent description and functional validation of human enteroendocrine sensors in organoids derived from duodenal biopsy [95] is the most substantial step toward closing that gap, and it is a beginning rather than a resolution.</w:t>
      </w:r>
    </w:p>
    <w:p>
      <w:pPr>
        <w:spacing w:line="480" w:lineRule="auto"/>
      </w:pPr>
      <w:r>
        <w:rPr>
          <w:rFonts w:ascii="Times New Roman" w:hAnsi="Times New Roman" w:cs="Times New Roman" w:eastAsia="Times New Roman"/>
          <w:color w:val="000000"/>
        </w:rPr>
        <w:t>Behavioural readouts stay narrow. Feeding, satiety and visceral sensation remain tractable, and disorders of gut–brain interaction such as irritable bowel syndrome offer a clinical domain where sensory mechanisms are already central to the disease model [105,106]; mood, cognition and social behaviour, which drive most clinical interest in this field, are reached less directly. Here we must qualify our own earlier framing: the enterochromaffin work showing that direct cellular activation produces anxiety-like behaviour alongside visceral hypersensitivity [77] demonstrates that an identified epithelial sensor can move an affective measure. That is a real advance on feeding-only readouts, and it falls well short of showing that channels explain depression. We are not claiming they do.</w:t>
      </w:r>
    </w:p>
    <w:p>
      <w:pPr>
        <w:spacing w:line="480" w:lineRule="auto"/>
      </w:pPr>
      <w:r>
        <w:rPr>
          <w:rFonts w:ascii="Times New Roman" w:hAnsi="Times New Roman" w:cs="Times New Roman" w:eastAsia="Times New Roman"/>
          <w:color w:val="000000"/>
        </w:rPr>
        <w:t>Neither does the circuit account subsume the humoral one. Microbial metabolites unquestionably enter circulation and act centrally [20,21], immune mediators do real work [25–27], tryptophan handling shifts with microbial composition [22,23], and some gut-to-brain influence is genuinely slow and diffuse. Our claim is about where specificity is currently available and therefore where causal progress is most likely, not that one channel class is exclusively real.</w:t>
      </w:r>
    </w:p>
    <w:p>
      <w:pPr>
        <w:spacing w:line="480" w:lineRule="auto"/>
      </w:pPr>
      <w:r>
        <w:rPr>
          <w:rFonts w:ascii="Times New Roman" w:hAnsi="Times New Roman" w:cs="Times New Roman" w:eastAsia="Times New Roman"/>
          <w:color w:val="000000"/>
        </w:rPr>
        <w:t>Selection bias in the circuit literature also deserves acknowledgement. Channels get discovered where tools exist, which currently means the vagus, and spinal afferent and enteric routes may be underrepresented for methodological rather than biological reasons [79,87]. Consider that the enteric nervous system contains more neurons than the spinal cord and operates with substantial autonomy [88,89], yet it features far less in gut-to-brain circuit work than its size would predict, largely because genetic access to its subtypes has lagged.</w:t>
      </w:r>
    </w:p>
    <w:p>
      <w:pPr>
        <w:spacing w:line="480" w:lineRule="auto"/>
      </w:pPr>
      <w:r>
        <w:rPr>
          <w:rFonts w:ascii="Times New Roman" w:hAnsi="Times New Roman" w:cs="Times New Roman" w:eastAsia="Times New Roman"/>
          <w:color w:val="000000"/>
        </w:rPr>
        <w:t>One harder objection deserves stating in its strongest form. One might argue that specificity is being purchased with relevance: that neuropod circuits regulate feeding over seconds, while the clinical questions concern mood over months, and that a millisecond synapse is simply the wrong timescale for depression. We take this seriously. Our answer is that sustained states are built from repeated transient signalling, that the same objection would have ruled out studying synapses in order to understand memory, and that the anxiety phenotype produced by enterochromaffin activation [77] shows affective consequences are reachable from this level. The objection is nonetheless unresolved, and it marks the largest gap between what the circuit literature has shown and what the field wants to know.</w:t>
      </w:r>
    </w:p>
    <w:p>
      <w:pPr>
        <w:spacing w:line="480" w:lineRule="auto"/>
      </w:pPr>
      <w:r>
        <w:rPr>
          <w:rFonts w:ascii="Times New Roman" w:hAnsi="Times New Roman" w:cs="Times New Roman" w:eastAsia="Times New Roman"/>
          <w:b/>
          <w:color w:val="000000"/>
          <w:sz w:val="24"/>
        </w:rPr>
        <w:t>9. A research agenda</w:t>
      </w:r>
    </w:p>
    <w:p>
      <w:pPr>
        <w:spacing w:line="480" w:lineRule="auto"/>
      </w:pPr>
      <w:r>
        <w:rPr>
          <w:rFonts w:ascii="Times New Roman" w:hAnsi="Times New Roman" w:cs="Times New Roman" w:eastAsia="Times New Roman"/>
          <w:color w:val="000000"/>
        </w:rPr>
        <w:t>Four lines follow, in rough order of tractability.</w:t>
      </w:r>
    </w:p>
    <w:p>
      <w:pPr>
        <w:spacing w:line="480" w:lineRule="auto"/>
      </w:pPr>
      <w:r>
        <w:rPr>
          <w:rFonts w:ascii="Times New Roman" w:hAnsi="Times New Roman" w:cs="Times New Roman" w:eastAsia="Times New Roman"/>
          <w:color w:val="000000"/>
        </w:rPr>
        <w:t>Microbial molecular patterns beyond flagellin should be screened against epithelial sensory cells directly. Flagellin was a reasonable first candidate because TLR5 is well characterised; peptidoglycan fragments, lipopolysaccharide variants and quorum-sensing molecules are open, and the assay is the one already used [15]. The human enteroendocrine sensor screen provides the complementary approach from the receptor side [95].</w:t>
      </w:r>
    </w:p>
    <w:p>
      <w:pPr>
        <w:spacing w:line="480" w:lineRule="auto"/>
      </w:pPr>
      <w:r>
        <w:rPr>
          <w:rFonts w:ascii="Times New Roman" w:hAnsi="Times New Roman" w:cs="Times New Roman" w:eastAsia="Times New Roman"/>
          <w:color w:val="000000"/>
        </w:rPr>
        <w:t xml:space="preserve">Human tissue work remains the binding constraint. Organoid and </w:t>
      </w:r>
      <w:r>
        <w:rPr>
          <w:rFonts w:ascii="Times New Roman" w:hAnsi="Times New Roman" w:cs="Times New Roman" w:eastAsia="Times New Roman"/>
          <w:i/>
          <w:color w:val="000000"/>
        </w:rPr>
        <w:t>ex vivo</w:t>
      </w:r>
      <w:r>
        <w:rPr>
          <w:rFonts w:ascii="Times New Roman" w:hAnsi="Times New Roman" w:cs="Times New Roman" w:eastAsia="Times New Roman"/>
          <w:color w:val="000000"/>
        </w:rPr>
        <w:t xml:space="preserve"> preparations from human intestinal biopsy, combined with human nodose tissue where obtainable, would establish whether the cell types and connections identified in mice exist in people [95], and that question is prior to any clinical inference.</w:t>
      </w:r>
    </w:p>
    <w:p>
      <w:pPr>
        <w:spacing w:line="480" w:lineRule="auto"/>
      </w:pPr>
      <w:r>
        <w:rPr>
          <w:rFonts w:ascii="Times New Roman" w:hAnsi="Times New Roman" w:cs="Times New Roman" w:eastAsia="Times New Roman"/>
          <w:color w:val="000000"/>
        </w:rPr>
        <w:t>Reanalysis of existing intervention trials by ligand rather than by taxon is cheap where samples were banked. Trials that measured community composition and found nothing may contain a signal at the molecular level, and that is a testable proposition rather than a hopeful one.</w:t>
      </w:r>
    </w:p>
    <w:p>
      <w:pPr>
        <w:spacing w:line="480" w:lineRule="auto"/>
      </w:pPr>
      <w:r>
        <w:rPr>
          <w:rFonts w:ascii="Times New Roman" w:hAnsi="Times New Roman" w:cs="Times New Roman" w:eastAsia="Times New Roman"/>
          <w:color w:val="000000"/>
        </w:rPr>
        <w:t>Registered, instrument-strength-reported Mendelian randomisation would improve the causal-inference literature at low cost [57,58]. We would go further: given the instrument limitations documented above [53–55], the field would lose little by declaring a moratorium on relaxed-threshold two-sample MR of 16S data until better-powered GWAS exist.</w:t>
      </w:r>
    </w:p>
    <w:p>
      <w:pPr>
        <w:spacing w:line="480" w:lineRule="auto"/>
      </w:pPr>
      <w:r>
        <w:rPr>
          <w:rFonts w:ascii="Times New Roman" w:hAnsi="Times New Roman" w:cs="Times New Roman" w:eastAsia="Times New Roman"/>
          <w:color w:val="000000"/>
        </w:rPr>
        <w:t>Beyond those four, one experiment would test our central contention directly. Take an intervention that works in rodents — a colonising organism that changes feeding or anxiety-like behaviour — and ask whether its effect survives selective silencing of the implicated afferent population while the organism remains present and the community unchanged. If behaviour tracks the nerve rather than the community, the channel account is doing the explanatory work. If the effect persists with the line silenced, a humoral route is carrying it, and we would be wrong in an informative way.</w:t>
      </w:r>
    </w:p>
    <w:p>
      <w:pPr>
        <w:spacing w:line="480" w:lineRule="auto"/>
      </w:pPr>
      <w:r>
        <w:rPr>
          <w:rFonts w:ascii="Times New Roman" w:hAnsi="Times New Roman" w:cs="Times New Roman" w:eastAsia="Times New Roman"/>
          <w:color w:val="000000"/>
        </w:rPr>
        <w:t>We would also encourage reporting that keeps the two accounts distinguishable. A paper that establishes a compositional association and then speculates about vagal mediation in its discussion, without testing it, should say so in those terms. Much of the apparent mechanistic depth in this literature lives in discussion sections rather than in results.</w:t>
      </w:r>
    </w:p>
    <w:p>
      <w:pPr>
        <w:spacing w:line="480" w:lineRule="auto"/>
      </w:pPr>
      <w:r>
        <w:rPr>
          <w:rFonts w:ascii="Times New Roman" w:hAnsi="Times New Roman" w:cs="Times New Roman" w:eastAsia="Times New Roman"/>
          <w:b/>
          <w:i/>
          <w:color w:val="000000"/>
          <w:sz w:val="24"/>
        </w:rPr>
        <w:t>9.1 What would change clinically</w:t>
      </w:r>
    </w:p>
    <w:p>
      <w:pPr>
        <w:spacing w:line="480" w:lineRule="auto"/>
      </w:pPr>
      <w:r>
        <w:rPr>
          <w:rFonts w:ascii="Times New Roman" w:hAnsi="Times New Roman" w:cs="Times New Roman" w:eastAsia="Times New Roman"/>
          <w:color w:val="000000"/>
        </w:rPr>
        <w:t>Clinical translation sits further off than the enthusiasm suggests, and deserves stating concretely.</w:t>
      </w:r>
    </w:p>
    <w:p>
      <w:pPr>
        <w:spacing w:line="480" w:lineRule="auto"/>
      </w:pPr>
      <w:r>
        <w:rPr>
          <w:rFonts w:ascii="Times New Roman" w:hAnsi="Times New Roman" w:cs="Times New Roman" w:eastAsia="Times New Roman"/>
          <w:color w:val="000000"/>
        </w:rPr>
        <w:t>Near term, realistic gains lie in stratification rather than new therapy. If ligand presentation at the mucosal surface predicts who responds to a microbial intervention, then existing trials could be rescued by re-analysis, and future trials could enrol on a mechanistic variable instead of a diagnosis. Trials in this field have been enrolling syndromes and measuring communities, with no variable in between.</w:t>
      </w:r>
    </w:p>
    <w:p>
      <w:pPr>
        <w:spacing w:line="480" w:lineRule="auto"/>
      </w:pPr>
      <w:r>
        <w:rPr>
          <w:rFonts w:ascii="Times New Roman" w:hAnsi="Times New Roman" w:cs="Times New Roman" w:eastAsia="Times New Roman"/>
          <w:color w:val="000000"/>
        </w:rPr>
        <w:t>Medium term, the targets in Table 4 are approachable with conventional pharmacology, and gut-restricted agents are an established formulation strategy. The GLP-1 precedent shows what circuit-level resolution buys: separating the population that mediates benefit from the one that mediates the limiting side effect [84].</w:t>
      </w:r>
    </w:p>
    <w:p>
      <w:pPr>
        <w:spacing w:line="480" w:lineRule="auto"/>
      </w:pPr>
      <w:r>
        <w:rPr>
          <w:rFonts w:ascii="Times New Roman" w:hAnsi="Times New Roman" w:cs="Times New Roman" w:eastAsia="Times New Roman"/>
          <w:color w:val="000000"/>
        </w:rPr>
        <w:t>Long term, the interesting possibility turns diagnostic rather than therapeutic. A sensory channel that fires in response to a defined microbial molecule is, in principle, a readout of luminal state. Whether that readout carries clinically useful information about anything beyond feeding is unknown, and we would caution against assuming it does.</w:t>
      </w:r>
    </w:p>
    <w:p>
      <w:pPr>
        <w:spacing w:line="480" w:lineRule="auto"/>
      </w:pPr>
      <w:r>
        <w:rPr>
          <w:rFonts w:ascii="Times New Roman" w:hAnsi="Times New Roman" w:cs="Times New Roman" w:eastAsia="Times New Roman"/>
          <w:b/>
          <w:color w:val="000000"/>
          <w:sz w:val="24"/>
        </w:rPr>
        <w:t>10. Limitations</w:t>
      </w:r>
    </w:p>
    <w:p>
      <w:pPr>
        <w:spacing w:line="480" w:lineRule="auto"/>
      </w:pPr>
      <w:r>
        <w:rPr>
          <w:rFonts w:ascii="Times New Roman" w:hAnsi="Times New Roman" w:cs="Times New Roman" w:eastAsia="Times New Roman"/>
          <w:color w:val="000000"/>
        </w:rPr>
        <w:t>This review is interpretive; its search was not exhaustive; and we read only English-language sources. Our reference list is weighted toward the circuit literature relative to its size in the field, which reflects our argument and should be read as a position rather than a survey. We have treated the compositional literature at the level of its meta-analytic summaries rather than evaluating individual trials, so our characterisation of its heterogeneity is coarse. The Mendelian randomisation studies we describe in Section 3.5 are characterised by their reported findings rather than by independent re-analysis, which we did not perform. Our proposal that sensory-channel specification should organise the field is an argument about research strategy, and we offer no evidence that adopting it produces better clinical outcomes, since that evidence cannot exist yet.</w:t>
      </w:r>
    </w:p>
    <w:p>
      <w:pPr>
        <w:spacing w:line="480" w:lineRule="auto"/>
      </w:pPr>
      <w:r>
        <w:rPr>
          <w:rFonts w:ascii="Times New Roman" w:hAnsi="Times New Roman" w:cs="Times New Roman" w:eastAsia="Times New Roman"/>
          <w:b/>
          <w:color w:val="000000"/>
          <w:sz w:val="24"/>
        </w:rPr>
        <w:t>11. Conclusions</w:t>
      </w:r>
    </w:p>
    <w:p>
      <w:pPr>
        <w:spacing w:line="480" w:lineRule="auto"/>
      </w:pPr>
      <w:r>
        <w:rPr>
          <w:rFonts w:ascii="Times New Roman" w:hAnsi="Times New Roman" w:cs="Times New Roman" w:eastAsia="Times New Roman"/>
          <w:color w:val="000000"/>
        </w:rPr>
        <w:t>Microbiota–gut–brain research has an unusual shape for a mature discipline: thousands of papers, a reference physiology review running past two thousand pages [1], considerable clinical enthusiasm, and almost no mechanism established end-to-end in humans.</w:t>
      </w:r>
    </w:p>
    <w:p>
      <w:pPr>
        <w:spacing w:line="480" w:lineRule="auto"/>
      </w:pPr>
      <w:r>
        <w:rPr>
          <w:rFonts w:ascii="Times New Roman" w:hAnsi="Times New Roman" w:cs="Times New Roman" w:eastAsia="Times New Roman"/>
          <w:color w:val="000000"/>
        </w:rPr>
        <w:t>Explanation lies partly in method, partly in concept. Correlate a community-level exposure with a syndrome-level outcome, specify no path between them, and you have a claim that resists refutation; a field that cannot refute its claims cannot consolidate them either. Contradictory Mendelian randomisation results, meta-analyses disagreeing about whether faecal transplantation helps depression [68], and a systematic review finding no consistent compositional signature across 44 studies [41] are what that looks like from the outside.</w:t>
      </w:r>
    </w:p>
    <w:p>
      <w:pPr>
        <w:spacing w:line="480" w:lineRule="auto"/>
      </w:pPr>
      <w:r>
        <w:rPr>
          <w:rFonts w:ascii="Times New Roman" w:hAnsi="Times New Roman" w:cs="Times New Roman" w:eastAsia="Times New Roman"/>
          <w:color w:val="000000"/>
        </w:rPr>
        <w:t>Neuroepithelial work points the other way. Flagellin, TLR5, a PYY-labelled colonic cell, NPY2R vagal neurons, feeding behaviour [15]: each element is nameable, deletable and therefore falsifiable. That is a narrower claim than anything the compositional literature makes, and narrower is why it will travel further.</w:t>
      </w:r>
    </w:p>
    <w:p>
      <w:pPr>
        <w:spacing w:line="480" w:lineRule="auto"/>
      </w:pPr>
      <w:r>
        <w:rPr>
          <w:rFonts w:ascii="Times New Roman" w:hAnsi="Times New Roman" w:cs="Times New Roman" w:eastAsia="Times New Roman"/>
          <w:b/>
          <w:color w:val="000000"/>
          <w:sz w:val="24"/>
        </w:rPr>
        <w:t>Declarations</w:t>
      </w:r>
    </w:p>
    <w:p>
      <w:pPr>
        <w:spacing w:line="480" w:lineRule="auto"/>
      </w:pPr>
      <w:r>
        <w:rPr>
          <w:rFonts w:ascii="Times New Roman" w:hAnsi="Times New Roman" w:cs="Times New Roman" w:eastAsia="Times New Roman"/>
          <w:b/>
          <w:color w:val="000000"/>
        </w:rPr>
        <w:t>Funding:</w:t>
      </w:r>
      <w:r>
        <w:rPr>
          <w:rFonts w:ascii="Times New Roman" w:hAnsi="Times New Roman" w:cs="Times New Roman" w:eastAsia="Times New Roman"/>
          <w:color w:val="000000"/>
        </w:rPr>
        <w:t xml:space="preserve"> [None / specify].</w:t>
      </w:r>
    </w:p>
    <w:p>
      <w:pPr>
        <w:spacing w:line="480" w:lineRule="auto"/>
      </w:pPr>
      <w:r>
        <w:rPr>
          <w:rFonts w:ascii="Times New Roman" w:hAnsi="Times New Roman" w:cs="Times New Roman" w:eastAsia="Times New Roman"/>
          <w:b/>
          <w:color w:val="000000"/>
        </w:rPr>
        <w:t>Conflicts of interest:</w:t>
      </w:r>
      <w:r>
        <w:rPr>
          <w:rFonts w:ascii="Times New Roman" w:hAnsi="Times New Roman" w:cs="Times New Roman" w:eastAsia="Times New Roman"/>
          <w:color w:val="000000"/>
        </w:rPr>
        <w:t xml:space="preserve"> [The authors declare no conflicts of interest / specify].</w:t>
      </w:r>
    </w:p>
    <w:p>
      <w:pPr>
        <w:spacing w:line="480" w:lineRule="auto"/>
      </w:pPr>
      <w:r>
        <w:rPr>
          <w:rFonts w:ascii="Times New Roman" w:hAnsi="Times New Roman" w:cs="Times New Roman" w:eastAsia="Times New Roman"/>
          <w:b/>
          <w:color w:val="000000"/>
        </w:rPr>
        <w:t>Author contributions (CRediT):</w:t>
      </w:r>
      <w:r>
        <w:rPr>
          <w:rFonts w:ascii="Times New Roman" w:hAnsi="Times New Roman" w:cs="Times New Roman" w:eastAsia="Times New Roman"/>
          <w:color w:val="000000"/>
        </w:rPr>
        <w:t xml:space="preserve"> [Conceptualisation; investigation; writing — original draft; writing — review and editing].</w:t>
      </w:r>
    </w:p>
    <w:p>
      <w:pPr>
        <w:spacing w:line="480" w:lineRule="auto"/>
      </w:pPr>
      <w:r>
        <w:rPr>
          <w:rFonts w:ascii="Times New Roman" w:hAnsi="Times New Roman" w:cs="Times New Roman" w:eastAsia="Times New Roman"/>
          <w:b/>
          <w:color w:val="000000"/>
        </w:rPr>
        <w:t>Data availability:</w:t>
      </w:r>
      <w:r>
        <w:rPr>
          <w:rFonts w:ascii="Times New Roman" w:hAnsi="Times New Roman" w:cs="Times New Roman" w:eastAsia="Times New Roman"/>
          <w:color w:val="000000"/>
        </w:rPr>
        <w:t xml:space="preserve"> Not applicable; no new data were generated.</w:t>
      </w:r>
    </w:p>
    <w:p>
      <w:pPr>
        <w:spacing w:line="480" w:lineRule="auto"/>
      </w:pPr>
      <w:r>
        <w:rPr>
          <w:rFonts w:ascii="Times New Roman" w:hAnsi="Times New Roman" w:cs="Times New Roman" w:eastAsia="Times New Roman"/>
          <w:b/>
          <w:color w:val="000000"/>
        </w:rPr>
        <w:t>Use of artificial intelligence:</w:t>
      </w:r>
      <w:r>
        <w:rPr>
          <w:rFonts w:ascii="Times New Roman" w:hAnsi="Times New Roman" w:cs="Times New Roman" w:eastAsia="Times New Roman"/>
          <w:color w:val="000000"/>
        </w:rPr>
        <w:t xml:space="preserve"> [State the tool, version and purpose, per journal and COPE policy; confirm that the authors verified all content and references and accept full responsibility. AI tools must not be listed as authors.]</w:t>
      </w:r>
    </w:p>
    <w:p>
      <w:pPr>
        <w:spacing w:line="480" w:lineRule="auto"/>
      </w:pPr>
      <w:r>
        <w:rPr>
          <w:rFonts w:ascii="Times New Roman" w:hAnsi="Times New Roman" w:cs="Times New Roman" w:eastAsia="Times New Roman"/>
          <w:b/>
          <w:color w:val="000000"/>
        </w:rPr>
        <w:t>Ethics approval:</w:t>
      </w:r>
      <w:r>
        <w:rPr>
          <w:rFonts w:ascii="Times New Roman" w:hAnsi="Times New Roman" w:cs="Times New Roman" w:eastAsia="Times New Roman"/>
          <w:color w:val="000000"/>
        </w:rPr>
        <w:t xml:space="preserve"> Not applicable; this review used only published sources.</w:t>
      </w:r>
    </w:p>
    <w:p>
      <w:pPr>
        <w:spacing w:line="480" w:lineRule="auto"/>
      </w:pPr>
      <w:r>
        <w:rPr>
          <w:rFonts w:ascii="Times New Roman" w:hAnsi="Times New Roman" w:cs="Times New Roman" w:eastAsia="Times New Roman"/>
          <w:b/>
          <w:color w:val="000000"/>
          <w:sz w:val="24"/>
        </w:rPr>
        <w:t>References</w:t>
      </w:r>
    </w:p>
    <w:p>
      <w:pPr>
        <w:spacing w:line="480" w:lineRule="auto"/>
        <w:ind w:hanging="360" w:left="360"/>
      </w:pPr>
      <w:r>
        <w:rPr>
          <w:rFonts w:ascii="Times New Roman" w:hAnsi="Times New Roman" w:cs="Times New Roman" w:eastAsia="Times New Roman"/>
          <w:color w:val="000000"/>
        </w:rPr>
        <w:t>1. Cryan JF, O'Riordan KJ, Cowan CSM, Sandhu KV, Bastiaanssen TFS, Boehme M, et al. The microbiota–gut–brain axis. Physiol Rev. 2019;99(4):1877–2013.</w:t>
      </w:r>
    </w:p>
    <w:p>
      <w:pPr>
        <w:spacing w:line="480" w:lineRule="auto"/>
        <w:ind w:hanging="360" w:left="360"/>
      </w:pPr>
      <w:r>
        <w:rPr>
          <w:rFonts w:ascii="Times New Roman" w:hAnsi="Times New Roman" w:cs="Times New Roman" w:eastAsia="Times New Roman"/>
          <w:color w:val="000000"/>
        </w:rPr>
        <w:t>2. Collins SM, Surette M, Bercik P. The interplay between the intestinal microbiota and the brain. Nat Rev Microbiol. 2012;10(11):735–42.</w:t>
      </w:r>
    </w:p>
    <w:p>
      <w:pPr>
        <w:spacing w:line="480" w:lineRule="auto"/>
        <w:ind w:hanging="360" w:left="360"/>
      </w:pPr>
      <w:r>
        <w:rPr>
          <w:rFonts w:ascii="Times New Roman" w:hAnsi="Times New Roman" w:cs="Times New Roman" w:eastAsia="Times New Roman"/>
          <w:color w:val="000000"/>
        </w:rPr>
        <w:t>3. Margolis KG, Cryan JF, Mayer EA. The microbiota–gut–brain axis: from motility to mood. Gastroenterology. 2021;160(5):1486–501.</w:t>
      </w:r>
    </w:p>
    <w:p>
      <w:pPr>
        <w:spacing w:line="480" w:lineRule="auto"/>
        <w:ind w:hanging="360" w:left="360"/>
      </w:pPr>
      <w:r>
        <w:rPr>
          <w:rFonts w:ascii="Times New Roman" w:hAnsi="Times New Roman" w:cs="Times New Roman" w:eastAsia="Times New Roman"/>
          <w:color w:val="000000"/>
        </w:rPr>
        <w:t>4. Kaelberer MM, Buchanan KL, Klein ME, Barth BB, Montoya MM, Shen X, Bohórquez DV. A gut–brain neural circuit for nutrient sensory transduction. Science. 2018;361(6408):eaat5236.</w:t>
      </w:r>
    </w:p>
    <w:p>
      <w:pPr>
        <w:spacing w:line="480" w:lineRule="auto"/>
        <w:ind w:hanging="360" w:left="360"/>
      </w:pPr>
      <w:r>
        <w:rPr>
          <w:rFonts w:ascii="Times New Roman" w:hAnsi="Times New Roman" w:cs="Times New Roman" w:eastAsia="Times New Roman"/>
          <w:color w:val="000000"/>
        </w:rPr>
        <w:t>5. Sudo N, Chida Y, Aiba Y, Sonoda J, Oyama N, Yu XN, et al. Postnatal microbial colonization programs the hypothalamic–pituitary–adrenal system for stress response in mice. J Physiol. 2004;558(Pt 1):263–75.</w:t>
      </w:r>
    </w:p>
    <w:p>
      <w:pPr>
        <w:spacing w:line="480" w:lineRule="auto"/>
        <w:ind w:hanging="360" w:left="360"/>
      </w:pPr>
      <w:r>
        <w:rPr>
          <w:rFonts w:ascii="Times New Roman" w:hAnsi="Times New Roman" w:cs="Times New Roman" w:eastAsia="Times New Roman"/>
          <w:color w:val="000000"/>
        </w:rPr>
        <w:t>6. Diaz Heijtz R, Wang S, Anuar F, Qian Y, Björkholm B, Samuelsson A, et al. Normal gut microbiota modulates brain development and behavior. Proc Natl Acad Sci U S A. 2011;108(7):3047–52.</w:t>
      </w:r>
    </w:p>
    <w:p>
      <w:pPr>
        <w:spacing w:line="480" w:lineRule="auto"/>
        <w:ind w:hanging="360" w:left="360"/>
      </w:pPr>
      <w:r>
        <w:rPr>
          <w:rFonts w:ascii="Times New Roman" w:hAnsi="Times New Roman" w:cs="Times New Roman" w:eastAsia="Times New Roman"/>
          <w:color w:val="000000"/>
        </w:rPr>
        <w:t>7. Desbonnet L, Clarke G, Traplin A, O'Sullivan O, Crispie F, Moloney RD, et al. Gut microbiota depletion from early adolescence in mice: implications for brain and behaviour. Brain Behav Immun. 2015;48:165–73.</w:t>
      </w:r>
    </w:p>
    <w:p>
      <w:pPr>
        <w:spacing w:line="480" w:lineRule="auto"/>
        <w:ind w:hanging="360" w:left="360"/>
      </w:pPr>
      <w:r>
        <w:rPr>
          <w:rFonts w:ascii="Times New Roman" w:hAnsi="Times New Roman" w:cs="Times New Roman" w:eastAsia="Times New Roman"/>
          <w:color w:val="000000"/>
        </w:rPr>
        <w:t>8. Valles-Colomer M, Falony G, Darzi Y, Tigchelaar EF, Wang J, Tito RY, et al. The neuroactive potential of the human gut microbiota in quality of life and depression. Nat Microbiol. 2019;4(4):623–32.</w:t>
      </w:r>
    </w:p>
    <w:p>
      <w:pPr>
        <w:spacing w:line="480" w:lineRule="auto"/>
        <w:ind w:hanging="360" w:left="360"/>
      </w:pPr>
      <w:r>
        <w:rPr>
          <w:rFonts w:ascii="Times New Roman" w:hAnsi="Times New Roman" w:cs="Times New Roman" w:eastAsia="Times New Roman"/>
          <w:color w:val="000000"/>
        </w:rPr>
        <w:t>9. Bohórquez DV, Shahid RA, Erdmann A, Kreger AM, Wang Y, Calakos N, et al. Neuroepithelial circuit formed by innervation of sensory enteroendocrine cells. J Clin Invest. 2015;125(2):782–6.</w:t>
      </w:r>
    </w:p>
    <w:p>
      <w:pPr>
        <w:spacing w:line="480" w:lineRule="auto"/>
        <w:ind w:hanging="360" w:left="360"/>
      </w:pPr>
      <w:r>
        <w:rPr>
          <w:rFonts w:ascii="Times New Roman" w:hAnsi="Times New Roman" w:cs="Times New Roman" w:eastAsia="Times New Roman"/>
          <w:color w:val="000000"/>
        </w:rPr>
        <w:t>10. Bellono NW, Bayrer JR, Leitch DB, Castro J, Zhang C, O'Donnell TA, et al. Enterochromaffin cells are gut chemosensors that couple to sensory neural pathways. Cell. 2017;170(1):185–98.</w:t>
      </w:r>
    </w:p>
    <w:p>
      <w:pPr>
        <w:spacing w:line="480" w:lineRule="auto"/>
        <w:ind w:hanging="360" w:left="360"/>
      </w:pPr>
      <w:r>
        <w:rPr>
          <w:rFonts w:ascii="Times New Roman" w:hAnsi="Times New Roman" w:cs="Times New Roman" w:eastAsia="Times New Roman"/>
          <w:color w:val="000000"/>
        </w:rPr>
        <w:t>11. Bai L, Mesgarzadeh S, Ramesh KS, Huey EL, Liu Y, Gray LA, et al. Genetic identification of vagal sensory neurons that control feeding. Cell. 2019;179(5):1129–43.</w:t>
      </w:r>
    </w:p>
    <w:p>
      <w:pPr>
        <w:spacing w:line="480" w:lineRule="auto"/>
        <w:ind w:hanging="360" w:left="360"/>
      </w:pPr>
      <w:r>
        <w:rPr>
          <w:rFonts w:ascii="Times New Roman" w:hAnsi="Times New Roman" w:cs="Times New Roman" w:eastAsia="Times New Roman"/>
          <w:color w:val="000000"/>
        </w:rPr>
        <w:t>12. Kupari J, Häring M, Agirre E, Castelo-Branco G, Ernfors P. An atlas of vagal sensory neurons and their molecular specialization. Cell Rep. 2019;27(8):2508–23.</w:t>
      </w:r>
    </w:p>
    <w:p>
      <w:pPr>
        <w:spacing w:line="480" w:lineRule="auto"/>
        <w:ind w:hanging="360" w:left="360"/>
      </w:pPr>
      <w:r>
        <w:rPr>
          <w:rFonts w:ascii="Times New Roman" w:hAnsi="Times New Roman" w:cs="Times New Roman" w:eastAsia="Times New Roman"/>
          <w:color w:val="000000"/>
        </w:rPr>
        <w:t>13. Berthoud HR, Neuhuber WL. Functional and chemical anatomy of the afferent vagal system. Auton Neurosci. 2000;85(1–3):1–17.</w:t>
      </w:r>
    </w:p>
    <w:p>
      <w:pPr>
        <w:spacing w:line="480" w:lineRule="auto"/>
        <w:ind w:hanging="360" w:left="360"/>
      </w:pPr>
      <w:r>
        <w:rPr>
          <w:rFonts w:ascii="Times New Roman" w:hAnsi="Times New Roman" w:cs="Times New Roman" w:eastAsia="Times New Roman"/>
          <w:color w:val="000000"/>
        </w:rPr>
        <w:t>14. Bonaz B, Sinniger V, Pellissier S. Anti-inflammatory properties of the vagus nerve: potential therapeutic implications of vagus nerve stimulation. J Physiol. 2016;594(20):5781–90.</w:t>
      </w:r>
    </w:p>
    <w:p>
      <w:pPr>
        <w:spacing w:line="480" w:lineRule="auto"/>
        <w:ind w:hanging="360" w:left="360"/>
      </w:pPr>
      <w:r>
        <w:rPr>
          <w:rFonts w:ascii="Times New Roman" w:hAnsi="Times New Roman" w:cs="Times New Roman" w:eastAsia="Times New Roman"/>
          <w:color w:val="000000"/>
        </w:rPr>
        <w:t>15. Liu WW, Reicher N, Alway E, Rupprecht LE, Weng P, Schaefgen C, et al. A gut sense for a microbial pattern regulates feeding. Nature. 2025;645(8081). doi:10.1038/s41586-025-09301-7</w:t>
      </w:r>
    </w:p>
    <w:p>
      <w:pPr>
        <w:spacing w:line="480" w:lineRule="auto"/>
        <w:ind w:hanging="360" w:left="360"/>
      </w:pPr>
      <w:r>
        <w:rPr>
          <w:rFonts w:ascii="Times New Roman" w:hAnsi="Times New Roman" w:cs="Times New Roman" w:eastAsia="Times New Roman"/>
          <w:color w:val="000000"/>
        </w:rPr>
        <w:t>16. Santomauro DF, Mantilla Herrera AM, Shadid J, Zheng P, Ashbaugh C, Pigott DM, et al. Global prevalence and burden of depressive and anxiety disorders in 204 countries and territories in 2020 due to the COVID-19 pandemic. Lancet. 2021;398(10312):1700–12.</w:t>
      </w:r>
    </w:p>
    <w:p>
      <w:pPr>
        <w:spacing w:line="480" w:lineRule="auto"/>
        <w:ind w:hanging="360" w:left="360"/>
      </w:pPr>
      <w:r>
        <w:rPr>
          <w:rFonts w:ascii="Times New Roman" w:hAnsi="Times New Roman" w:cs="Times New Roman" w:eastAsia="Times New Roman"/>
          <w:color w:val="000000"/>
        </w:rPr>
        <w:t>17. GBD 2021 Mental Disorders Collaborators. Global Burden of Disease 2021: mental health messages. Lancet Psychiatry. 2024.</w:t>
      </w:r>
    </w:p>
    <w:p>
      <w:pPr>
        <w:spacing w:line="480" w:lineRule="auto"/>
        <w:ind w:hanging="360" w:left="360"/>
      </w:pPr>
      <w:r>
        <w:rPr>
          <w:rFonts w:ascii="Times New Roman" w:hAnsi="Times New Roman" w:cs="Times New Roman" w:eastAsia="Times New Roman"/>
          <w:color w:val="000000"/>
        </w:rPr>
        <w:t>18. Foster JA, Rinaman L, Cryan JF. Stress and the gut–brain axis: regulation by the microbiome. Neurobiol Stress. 2017;7:124–36.</w:t>
      </w:r>
    </w:p>
    <w:p>
      <w:pPr>
        <w:spacing w:line="480" w:lineRule="auto"/>
        <w:ind w:hanging="360" w:left="360"/>
      </w:pPr>
      <w:r>
        <w:rPr>
          <w:rFonts w:ascii="Times New Roman" w:hAnsi="Times New Roman" w:cs="Times New Roman" w:eastAsia="Times New Roman"/>
          <w:color w:val="000000"/>
        </w:rPr>
        <w:t>19. Mayer EA, Nance K, Chen S. The gut–brain axis. Annu Rev Med. 2022;73:439–53.</w:t>
      </w:r>
    </w:p>
    <w:p>
      <w:pPr>
        <w:spacing w:line="480" w:lineRule="auto"/>
        <w:ind w:hanging="360" w:left="360"/>
      </w:pPr>
      <w:r>
        <w:rPr>
          <w:rFonts w:ascii="Times New Roman" w:hAnsi="Times New Roman" w:cs="Times New Roman" w:eastAsia="Times New Roman"/>
          <w:color w:val="000000"/>
        </w:rPr>
        <w:t>20. Dalile B, Van Oudenhove L, Vervliet B, Verbeke K. The role of short-chain fatty acids in microbiota–gut–brain communication. Nat Rev Gastroenterol Hepatol. 2019;16(8):461–78.</w:t>
      </w:r>
    </w:p>
    <w:p>
      <w:pPr>
        <w:spacing w:line="480" w:lineRule="auto"/>
        <w:ind w:hanging="360" w:left="360"/>
      </w:pPr>
      <w:r>
        <w:rPr>
          <w:rFonts w:ascii="Times New Roman" w:hAnsi="Times New Roman" w:cs="Times New Roman" w:eastAsia="Times New Roman"/>
          <w:color w:val="000000"/>
        </w:rPr>
        <w:t>21. Silva YP, Bernardi A, Frozza RL. The role of short-chain fatty acids from gut microbiota in gut–brain communication. Front Endocrinol. 2020;11:25.</w:t>
      </w:r>
    </w:p>
    <w:p>
      <w:pPr>
        <w:spacing w:line="480" w:lineRule="auto"/>
        <w:ind w:hanging="360" w:left="360"/>
      </w:pPr>
      <w:r>
        <w:rPr>
          <w:rFonts w:ascii="Times New Roman" w:hAnsi="Times New Roman" w:cs="Times New Roman" w:eastAsia="Times New Roman"/>
          <w:color w:val="000000"/>
        </w:rPr>
        <w:t>22. Agus A, Planchais J, Sokol H. Gut microbiota regulation of tryptophan metabolism in health and disease. Cell Host Microbe. 2018;23(6):716–24.</w:t>
      </w:r>
    </w:p>
    <w:p>
      <w:pPr>
        <w:spacing w:line="480" w:lineRule="auto"/>
        <w:ind w:hanging="360" w:left="360"/>
      </w:pPr>
      <w:r>
        <w:rPr>
          <w:rFonts w:ascii="Times New Roman" w:hAnsi="Times New Roman" w:cs="Times New Roman" w:eastAsia="Times New Roman"/>
          <w:color w:val="000000"/>
        </w:rPr>
        <w:t>23. O'Mahony SM, Clarke G, Borre YE, Dinan TG, Cryan JF. Serotonin, tryptophan metabolism and the brain–gut–microbiome axis. Behav Brain Res. 2015;277:32–48.</w:t>
      </w:r>
    </w:p>
    <w:p>
      <w:pPr>
        <w:spacing w:line="480" w:lineRule="auto"/>
        <w:ind w:hanging="360" w:left="360"/>
      </w:pPr>
      <w:r>
        <w:rPr>
          <w:rFonts w:ascii="Times New Roman" w:hAnsi="Times New Roman" w:cs="Times New Roman" w:eastAsia="Times New Roman"/>
          <w:color w:val="000000"/>
        </w:rPr>
        <w:t>24. Yano JM, Yu K, Donaldson GP, Shastri GG, Ann P, Ma L, et al. Indigenous bacteria from the gut microbiota regulate host serotonin biosynthesis. Cell. 2015;161(2):264–76.</w:t>
      </w:r>
    </w:p>
    <w:p>
      <w:pPr>
        <w:spacing w:line="480" w:lineRule="auto"/>
        <w:ind w:hanging="360" w:left="360"/>
      </w:pPr>
      <w:r>
        <w:rPr>
          <w:rFonts w:ascii="Times New Roman" w:hAnsi="Times New Roman" w:cs="Times New Roman" w:eastAsia="Times New Roman"/>
          <w:color w:val="000000"/>
        </w:rPr>
        <w:t>25. Erny D, Hrabě de Angelis AL, Jaitin D, Wieghofer P, Staszewski O, David E, et al. Host microbiota constantly control maturation and function of microglia in the CNS. Nat Neurosci. 2015;18(7):965–77.</w:t>
      </w:r>
    </w:p>
    <w:p>
      <w:pPr>
        <w:spacing w:line="480" w:lineRule="auto"/>
        <w:ind w:hanging="360" w:left="360"/>
      </w:pPr>
      <w:r>
        <w:rPr>
          <w:rFonts w:ascii="Times New Roman" w:hAnsi="Times New Roman" w:cs="Times New Roman" w:eastAsia="Times New Roman"/>
          <w:color w:val="000000"/>
        </w:rPr>
        <w:t>26. Fung TC, Olson CA, Hsiao EY. Interactions between the microbiota, immune and nervous systems in health and disease. Nat Neurosci. 2017;20(2):145–55.</w:t>
      </w:r>
    </w:p>
    <w:p>
      <w:pPr>
        <w:spacing w:line="480" w:lineRule="auto"/>
        <w:ind w:hanging="360" w:left="360"/>
      </w:pPr>
      <w:r>
        <w:rPr>
          <w:rFonts w:ascii="Times New Roman" w:hAnsi="Times New Roman" w:cs="Times New Roman" w:eastAsia="Times New Roman"/>
          <w:color w:val="000000"/>
        </w:rPr>
        <w:t>27. Veiga-Fernandes H, Pachnis V. Neuroimmune regulation during intestinal development and homeostasis. Nat Immunol. 2017;18(2):116–22.</w:t>
      </w:r>
    </w:p>
    <w:p>
      <w:pPr>
        <w:spacing w:line="480" w:lineRule="auto"/>
        <w:ind w:hanging="360" w:left="360"/>
      </w:pPr>
      <w:r>
        <w:rPr>
          <w:rFonts w:ascii="Times New Roman" w:hAnsi="Times New Roman" w:cs="Times New Roman" w:eastAsia="Times New Roman"/>
          <w:color w:val="000000"/>
        </w:rPr>
        <w:t>28. Camilleri M. Leaky gut: mechanisms, measurement and clinical implications in humans. Gut. 2019;68(8):1516–26.</w:t>
      </w:r>
    </w:p>
    <w:p>
      <w:pPr>
        <w:spacing w:line="480" w:lineRule="auto"/>
        <w:ind w:hanging="360" w:left="360"/>
      </w:pPr>
      <w:r>
        <w:rPr>
          <w:rFonts w:ascii="Times New Roman" w:hAnsi="Times New Roman" w:cs="Times New Roman" w:eastAsia="Times New Roman"/>
          <w:color w:val="000000"/>
        </w:rPr>
        <w:t>29. Neufeld KM, Kang N, Bienenstock J, Foster JA. Reduced anxiety-like behavior and central neurochemical change in germ-free mice. Neurogastroenterol Motil. 2011;23(3):255–64.</w:t>
      </w:r>
    </w:p>
    <w:p>
      <w:pPr>
        <w:spacing w:line="480" w:lineRule="auto"/>
        <w:ind w:hanging="360" w:left="360"/>
      </w:pPr>
      <w:r>
        <w:rPr>
          <w:rFonts w:ascii="Times New Roman" w:hAnsi="Times New Roman" w:cs="Times New Roman" w:eastAsia="Times New Roman"/>
          <w:color w:val="000000"/>
        </w:rPr>
        <w:t>30. Bercik P, Denou E, Collins J, Jackson W, Lu J, Jury J, et al. The intestinal microbiota affect central levels of brain-derived neurotropic factor and behavior in mice. Gastroenterology. 2011;141(2):599–609.</w:t>
      </w:r>
    </w:p>
    <w:p>
      <w:pPr>
        <w:spacing w:line="480" w:lineRule="auto"/>
        <w:ind w:hanging="360" w:left="360"/>
      </w:pPr>
      <w:r>
        <w:rPr>
          <w:rFonts w:ascii="Times New Roman" w:hAnsi="Times New Roman" w:cs="Times New Roman" w:eastAsia="Times New Roman"/>
          <w:color w:val="000000"/>
        </w:rPr>
        <w:t>31. Boehme M, Guzzetta KE, Bastiaanssen TFS, van de Wouw M, Moloney GM, Gual-Grau A, et al. Microbiota from young mice counteracts selective age-associated behavioral deficits. Nat Aging. 2021;1(8):666–76.</w:t>
      </w:r>
    </w:p>
    <w:p>
      <w:pPr>
        <w:spacing w:line="480" w:lineRule="auto"/>
        <w:ind w:hanging="360" w:left="360"/>
      </w:pPr>
      <w:r>
        <w:rPr>
          <w:rFonts w:ascii="Times New Roman" w:hAnsi="Times New Roman" w:cs="Times New Roman" w:eastAsia="Times New Roman"/>
          <w:color w:val="000000"/>
        </w:rPr>
        <w:t>32. Franklin CL, Ericsson AC. Microbiota and reproducibility of rodent models. Lab Anim (NY). 2017;46(4):114–22.</w:t>
      </w:r>
    </w:p>
    <w:p>
      <w:pPr>
        <w:spacing w:line="480" w:lineRule="auto"/>
        <w:ind w:hanging="360" w:left="360"/>
      </w:pPr>
      <w:r>
        <w:rPr>
          <w:rFonts w:ascii="Times New Roman" w:hAnsi="Times New Roman" w:cs="Times New Roman" w:eastAsia="Times New Roman"/>
          <w:color w:val="000000"/>
        </w:rPr>
        <w:t>33. Zheng P, Zeng B, Zhou C, Liu M, Fang Z, Xu X, et al. Gut microbiome remodeling induces depressive-like behaviors through a pathway mediated by the host's metabolism. Mol Psychiatry. 2016;21(6):786–96.</w:t>
      </w:r>
    </w:p>
    <w:p>
      <w:pPr>
        <w:spacing w:line="480" w:lineRule="auto"/>
        <w:ind w:hanging="360" w:left="360"/>
      </w:pPr>
      <w:r>
        <w:rPr>
          <w:rFonts w:ascii="Times New Roman" w:hAnsi="Times New Roman" w:cs="Times New Roman" w:eastAsia="Times New Roman"/>
          <w:color w:val="000000"/>
        </w:rPr>
        <w:t>34. Zheng P, Zeng B, Liu M, Chen J, Pan J, Han Y, et al. The gut microbiome from patients with schizophrenia modulates the glutamate–glutamine–GABA cycle and schizophrenia-relevant behaviors in mice. Sci Adv. 2019;5(2):eaau8317.</w:t>
      </w:r>
    </w:p>
    <w:p>
      <w:pPr>
        <w:spacing w:line="480" w:lineRule="auto"/>
        <w:ind w:hanging="360" w:left="360"/>
      </w:pPr>
      <w:r>
        <w:rPr>
          <w:rFonts w:ascii="Times New Roman" w:hAnsi="Times New Roman" w:cs="Times New Roman" w:eastAsia="Times New Roman"/>
          <w:color w:val="000000"/>
        </w:rPr>
        <w:t>35. Sharon G, Cruz NJ, Kang DW, Gandal MJ, Wang B, Kim YM, et al. Human gut microbiota from autism spectrum disorder promote behavioral symptoms in mice. Cell. 2019;177(6):1600–18.</w:t>
      </w:r>
    </w:p>
    <w:p>
      <w:pPr>
        <w:spacing w:line="480" w:lineRule="auto"/>
        <w:ind w:hanging="360" w:left="360"/>
      </w:pPr>
      <w:r>
        <w:rPr>
          <w:rFonts w:ascii="Times New Roman" w:hAnsi="Times New Roman" w:cs="Times New Roman" w:eastAsia="Times New Roman"/>
          <w:color w:val="000000"/>
        </w:rPr>
        <w:t>36. Kelly JR, Borre Y, O'Brien C, Patterson E, El Aidy S, Deane J, et al. Transferring the blues: depression-associated gut microbiota induces neurobehavioural changes in the rat. J Psychiatr Res. 2016;82:109–18.</w:t>
      </w:r>
    </w:p>
    <w:p>
      <w:pPr>
        <w:spacing w:line="480" w:lineRule="auto"/>
        <w:ind w:hanging="360" w:left="360"/>
      </w:pPr>
      <w:r>
        <w:rPr>
          <w:rFonts w:ascii="Times New Roman" w:hAnsi="Times New Roman" w:cs="Times New Roman" w:eastAsia="Times New Roman"/>
          <w:color w:val="000000"/>
        </w:rPr>
        <w:t>37. Hsiao EY, McBride SW, Hsien S, Sharon G, Hyde ER, McCue T, et al. Microbiota modulate behavioral and physiological abnormalities associated with neurodevelopmental disorders. Cell. 2013;155(7):1451–63.</w:t>
      </w:r>
    </w:p>
    <w:p>
      <w:pPr>
        <w:spacing w:line="480" w:lineRule="auto"/>
        <w:ind w:hanging="360" w:left="360"/>
      </w:pPr>
      <w:r>
        <w:rPr>
          <w:rFonts w:ascii="Times New Roman" w:hAnsi="Times New Roman" w:cs="Times New Roman" w:eastAsia="Times New Roman"/>
          <w:color w:val="000000"/>
        </w:rPr>
        <w:t>38. Mitchell KJ, Dahly D, Bishop DVM, et al. Conceptual and methodological flaws undermine claims of a link between the gut microbiome and autism. Neuron. 2025.</w:t>
      </w:r>
    </w:p>
    <w:p>
      <w:pPr>
        <w:spacing w:line="480" w:lineRule="auto"/>
        <w:ind w:hanging="360" w:left="360"/>
      </w:pPr>
      <w:r>
        <w:rPr>
          <w:rFonts w:ascii="Times New Roman" w:hAnsi="Times New Roman" w:cs="Times New Roman" w:eastAsia="Times New Roman"/>
          <w:color w:val="000000"/>
        </w:rPr>
        <w:t>39. Nikolova VL, Smith MRB, Hall LJ, Cleare AJ, Stone JM, Young AH. Perturbations in gut microbiota composition in psychiatric disorders: a review and meta-analysis. JAMA Psychiatry. 2021;78(12):1343–54.</w:t>
      </w:r>
    </w:p>
    <w:p>
      <w:pPr>
        <w:spacing w:line="480" w:lineRule="auto"/>
        <w:ind w:hanging="360" w:left="360"/>
      </w:pPr>
      <w:r>
        <w:rPr>
          <w:rFonts w:ascii="Times New Roman" w:hAnsi="Times New Roman" w:cs="Times New Roman" w:eastAsia="Times New Roman"/>
          <w:color w:val="000000"/>
        </w:rPr>
        <w:t>40. Carlson AL, Xia K, Azcarate-Peril MA, Goldman BD, Ahn M, Styner MA, et al. Infant gut microbiome associated with cognitive development. Biol Psychiatry. 2018;83(2):148–59.</w:t>
      </w:r>
    </w:p>
    <w:p>
      <w:pPr>
        <w:spacing w:line="480" w:lineRule="auto"/>
        <w:ind w:hanging="360" w:left="360"/>
      </w:pPr>
      <w:r>
        <w:rPr>
          <w:rFonts w:ascii="Times New Roman" w:hAnsi="Times New Roman" w:cs="Times New Roman" w:eastAsia="Times New Roman"/>
          <w:color w:val="000000"/>
        </w:rPr>
        <w:t>41. McGuinness AJ, Davis JA, Dawson SL, Loughman A, Collier F, O'Hely M, et al. A systematic review of gut microbiota composition in observational studies of major depressive disorder, bipolar disorder and schizophrenia. Mol Psychiatry. 2022;27(4):1920–35.</w:t>
      </w:r>
    </w:p>
    <w:p>
      <w:pPr>
        <w:spacing w:line="480" w:lineRule="auto"/>
        <w:ind w:hanging="360" w:left="360"/>
      </w:pPr>
      <w:r>
        <w:rPr>
          <w:rFonts w:ascii="Times New Roman" w:hAnsi="Times New Roman" w:cs="Times New Roman" w:eastAsia="Times New Roman"/>
          <w:color w:val="000000"/>
        </w:rPr>
        <w:t>42. Gloor GB, Macklaim JM, Pawlowsky-Glahn V, Egozcue JJ. Microbiome datasets are compositional: and this is not optional. Front Microbiol. 2017;8:2224.</w:t>
      </w:r>
    </w:p>
    <w:p>
      <w:pPr>
        <w:spacing w:line="480" w:lineRule="auto"/>
        <w:ind w:hanging="360" w:left="360"/>
      </w:pPr>
      <w:r>
        <w:rPr>
          <w:rFonts w:ascii="Times New Roman" w:hAnsi="Times New Roman" w:cs="Times New Roman" w:eastAsia="Times New Roman"/>
          <w:color w:val="000000"/>
        </w:rPr>
        <w:t>43. Button KS, Ioannidis JPA, Mokrysz C, Nosek BA, Flint J, Robinson ESJ, Munafò MR. Power failure: why small sample size undermines the reliability of neuroscience. Nat Rev Neurosci. 2013;14(5):365–76.</w:t>
      </w:r>
    </w:p>
    <w:p>
      <w:pPr>
        <w:spacing w:line="480" w:lineRule="auto"/>
        <w:ind w:hanging="360" w:left="360"/>
      </w:pPr>
      <w:r>
        <w:rPr>
          <w:rFonts w:ascii="Times New Roman" w:hAnsi="Times New Roman" w:cs="Times New Roman" w:eastAsia="Times New Roman"/>
          <w:color w:val="000000"/>
        </w:rPr>
        <w:t>44. Ioannidis JPA. Why most published research findings are false. PLoS Med. 2005;2(8):e124.</w:t>
      </w:r>
    </w:p>
    <w:p>
      <w:pPr>
        <w:spacing w:line="480" w:lineRule="auto"/>
        <w:ind w:hanging="360" w:left="360"/>
      </w:pPr>
      <w:r>
        <w:rPr>
          <w:rFonts w:ascii="Times New Roman" w:hAnsi="Times New Roman" w:cs="Times New Roman" w:eastAsia="Times New Roman"/>
          <w:color w:val="000000"/>
        </w:rPr>
        <w:t>45. Falony G, Joossens M, Vieira-Silva S, Wang J, Darzi Y, Faust K, et al. Population-level analysis of gut microbiome variation. Science. 2016;352(6285):560–4.</w:t>
      </w:r>
    </w:p>
    <w:p>
      <w:pPr>
        <w:spacing w:line="480" w:lineRule="auto"/>
        <w:ind w:hanging="360" w:left="360"/>
      </w:pPr>
      <w:r>
        <w:rPr>
          <w:rFonts w:ascii="Times New Roman" w:hAnsi="Times New Roman" w:cs="Times New Roman" w:eastAsia="Times New Roman"/>
          <w:color w:val="000000"/>
        </w:rPr>
        <w:t>46. Zhernakova A, Kurilshikov A, Bonder MJ, Tigchelaar EF, Schirmer M, Vatanen T, et al. Population-based metagenomics analysis reveals markers for gut microbiome composition and diversity. Science. 2016;352(6285):565–9.</w:t>
      </w:r>
    </w:p>
    <w:p>
      <w:pPr>
        <w:spacing w:line="480" w:lineRule="auto"/>
        <w:ind w:hanging="360" w:left="360"/>
      </w:pPr>
      <w:r>
        <w:rPr>
          <w:rFonts w:ascii="Times New Roman" w:hAnsi="Times New Roman" w:cs="Times New Roman" w:eastAsia="Times New Roman"/>
          <w:color w:val="000000"/>
        </w:rPr>
        <w:t>47. Johnson AJ, Vangay P, Al-Ghalith GA, Hillmann BM, Ward TL, Shields-Cutler RR, et al. Daily sampling reveals personalized diet–microbiome associations in humans. Cell Host Microbe. 2019;25(6):789–802.</w:t>
      </w:r>
    </w:p>
    <w:p>
      <w:pPr>
        <w:spacing w:line="480" w:lineRule="auto"/>
        <w:ind w:hanging="360" w:left="360"/>
      </w:pPr>
      <w:r>
        <w:rPr>
          <w:rFonts w:ascii="Times New Roman" w:hAnsi="Times New Roman" w:cs="Times New Roman" w:eastAsia="Times New Roman"/>
          <w:color w:val="000000"/>
        </w:rPr>
        <w:t>48. Allen JM, Mailing LJ, Niemiro GM, Moore R, Cook MD, White BA, et al. Exercise alters gut microbiota composition and function in lean and obese humans. Med Sci Sports Exerc. 2018;50(4):747–57.</w:t>
      </w:r>
    </w:p>
    <w:p>
      <w:pPr>
        <w:spacing w:line="480" w:lineRule="auto"/>
        <w:ind w:hanging="360" w:left="360"/>
      </w:pPr>
      <w:r>
        <w:rPr>
          <w:rFonts w:ascii="Times New Roman" w:hAnsi="Times New Roman" w:cs="Times New Roman" w:eastAsia="Times New Roman"/>
          <w:color w:val="000000"/>
        </w:rPr>
        <w:t>49. Maier L, Pruteanu M, Kuhn M, Zeller G, Telzerow A, Anderson EE, et al. Extensive impact of non-antibiotic drugs on human gut bacteria. Nature. 2018;555(7698):623–8.</w:t>
      </w:r>
    </w:p>
    <w:p>
      <w:pPr>
        <w:spacing w:line="480" w:lineRule="auto"/>
        <w:ind w:hanging="360" w:left="360"/>
      </w:pPr>
      <w:r>
        <w:rPr>
          <w:rFonts w:ascii="Times New Roman" w:hAnsi="Times New Roman" w:cs="Times New Roman" w:eastAsia="Times New Roman"/>
          <w:color w:val="000000"/>
        </w:rPr>
        <w:t>50. Vich Vila A, Collij V, Sanna S, Sinha T, Imhann F, Bourgonje AR, et al. Impact of commonly used drugs on the composition and metabolic function of the gut microbiota. Nat Commun. 2020;11:362.</w:t>
      </w:r>
    </w:p>
    <w:p>
      <w:pPr>
        <w:spacing w:line="480" w:lineRule="auto"/>
        <w:ind w:hanging="360" w:left="360"/>
      </w:pPr>
      <w:r>
        <w:rPr>
          <w:rFonts w:ascii="Times New Roman" w:hAnsi="Times New Roman" w:cs="Times New Roman" w:eastAsia="Times New Roman"/>
          <w:color w:val="000000"/>
        </w:rPr>
        <w:t xml:space="preserve">51. Lukić I, Getselter D, Ziv O, Oron O, Reuveni E, Koren O, Elliott E. Antidepressants affect gut microbiota and </w:t>
      </w:r>
      <w:r>
        <w:rPr>
          <w:rFonts w:ascii="Times New Roman" w:hAnsi="Times New Roman" w:cs="Times New Roman" w:eastAsia="Times New Roman"/>
          <w:i/>
          <w:color w:val="000000"/>
        </w:rPr>
        <w:t>Ruminococcus flavefaciens</w:t>
      </w:r>
      <w:r>
        <w:rPr>
          <w:rFonts w:ascii="Times New Roman" w:hAnsi="Times New Roman" w:cs="Times New Roman" w:eastAsia="Times New Roman"/>
          <w:color w:val="000000"/>
        </w:rPr>
        <w:t xml:space="preserve"> is able to abolish their effects on depressive-like behavior. Transl Psychiatry. 2019;9:133.</w:t>
      </w:r>
    </w:p>
    <w:p>
      <w:pPr>
        <w:spacing w:line="480" w:lineRule="auto"/>
        <w:ind w:hanging="360" w:left="360"/>
      </w:pPr>
      <w:r>
        <w:rPr>
          <w:rFonts w:ascii="Times New Roman" w:hAnsi="Times New Roman" w:cs="Times New Roman" w:eastAsia="Times New Roman"/>
          <w:color w:val="000000"/>
        </w:rPr>
        <w:t>52. Zimmermann M, Zimmermann-Kogadeeva M, Wegmann R, Goodman AL. Mapping human microbiome drug metabolism by gut bacteria and their genes. Nature. 2019;570(7762):462–7.</w:t>
      </w:r>
    </w:p>
    <w:p>
      <w:pPr>
        <w:spacing w:line="480" w:lineRule="auto"/>
        <w:ind w:hanging="360" w:left="360"/>
      </w:pPr>
      <w:r>
        <w:rPr>
          <w:rFonts w:ascii="Times New Roman" w:hAnsi="Times New Roman" w:cs="Times New Roman" w:eastAsia="Times New Roman"/>
          <w:color w:val="000000"/>
        </w:rPr>
        <w:t>53. Kurilshikov A, Medina-Gomez C, Bacigalupe R, Radjabzadeh D, Wang J, Demirkan A, et al. Large-scale association analyses identify host factors influencing human gut microbiome composition. Nat Genet. 2021;53(2):156–65.</w:t>
      </w:r>
    </w:p>
    <w:p>
      <w:pPr>
        <w:spacing w:line="480" w:lineRule="auto"/>
        <w:ind w:hanging="360" w:left="360"/>
      </w:pPr>
      <w:r>
        <w:rPr>
          <w:rFonts w:ascii="Times New Roman" w:hAnsi="Times New Roman" w:cs="Times New Roman" w:eastAsia="Times New Roman"/>
          <w:color w:val="000000"/>
        </w:rPr>
        <w:t>54. Lopera-Maya EA, Kurilshikov A, van der Graaf A, Hu S, Andreu-Sánchez S, Chen L, et al. Effect of host genetics on the gut microbiome in 7,738 participants of the Dutch Microbiome Project. Nat Genet. 2022;54(2):143–51.</w:t>
      </w:r>
    </w:p>
    <w:p>
      <w:pPr>
        <w:spacing w:line="480" w:lineRule="auto"/>
        <w:ind w:hanging="360" w:left="360"/>
      </w:pPr>
      <w:r>
        <w:rPr>
          <w:rFonts w:ascii="Times New Roman" w:hAnsi="Times New Roman" w:cs="Times New Roman" w:eastAsia="Times New Roman"/>
          <w:color w:val="000000"/>
        </w:rPr>
        <w:t>55. Rühlemann MC, Hermes BM, Bang C, Doms S, Moitinho-Silva L, Thingholm LB, et al. Genome-wide association study in 8,956 German individuals identifies influence of ABO histo-blood groups on gut microbiome. Nat Genet. 2021;53(2):147–55.</w:t>
      </w:r>
    </w:p>
    <w:p>
      <w:pPr>
        <w:spacing w:line="480" w:lineRule="auto"/>
        <w:ind w:hanging="360" w:left="360"/>
      </w:pPr>
      <w:r>
        <w:rPr>
          <w:rFonts w:ascii="Times New Roman" w:hAnsi="Times New Roman" w:cs="Times New Roman" w:eastAsia="Times New Roman"/>
          <w:color w:val="000000"/>
        </w:rPr>
        <w:t>56. Davies NM, von Hinke Kessler Scholder S, Farbmacher H, Burgess S, Windmeijer F, Davey Smith G. The many weak instruments problem and Mendelian randomization. Stat Med. 2015;34(3):454–68.</w:t>
      </w:r>
    </w:p>
    <w:p>
      <w:pPr>
        <w:spacing w:line="480" w:lineRule="auto"/>
        <w:ind w:hanging="360" w:left="360"/>
      </w:pPr>
      <w:r>
        <w:rPr>
          <w:rFonts w:ascii="Times New Roman" w:hAnsi="Times New Roman" w:cs="Times New Roman" w:eastAsia="Times New Roman"/>
          <w:color w:val="000000"/>
        </w:rPr>
        <w:t>57. Burgess S, Davey Smith G, Davies NM, Dudbridge F, Gill D, Glymour MM, et al. Guidelines for performing Mendelian randomization investigations. Wellcome Open Res. 2019;4:186.</w:t>
      </w:r>
    </w:p>
    <w:p>
      <w:pPr>
        <w:spacing w:line="480" w:lineRule="auto"/>
        <w:ind w:hanging="360" w:left="360"/>
      </w:pPr>
      <w:r>
        <w:rPr>
          <w:rFonts w:ascii="Times New Roman" w:hAnsi="Times New Roman" w:cs="Times New Roman" w:eastAsia="Times New Roman"/>
          <w:color w:val="000000"/>
        </w:rPr>
        <w:t>58. Bowden J, Davey Smith G, Burgess S. Mendelian randomization with invalid instruments: effect estimation and bias detection through Egger regression. Int J Epidemiol. 2015;44(2):512–25.</w:t>
      </w:r>
    </w:p>
    <w:p>
      <w:pPr>
        <w:spacing w:line="480" w:lineRule="auto"/>
        <w:ind w:hanging="360" w:left="360"/>
      </w:pPr>
      <w:r>
        <w:rPr>
          <w:rFonts w:ascii="Times New Roman" w:hAnsi="Times New Roman" w:cs="Times New Roman" w:eastAsia="Times New Roman"/>
          <w:color w:val="000000"/>
        </w:rPr>
        <w:t>59. Messaoudi M, Lalonde R, Violle N, Javelot H, Desor D, Nejdi A, et al. Assessment of psychotropic-like properties of a probiotic formulation (</w:t>
      </w:r>
      <w:r>
        <w:rPr>
          <w:rFonts w:ascii="Times New Roman" w:hAnsi="Times New Roman" w:cs="Times New Roman" w:eastAsia="Times New Roman"/>
          <w:i/>
          <w:color w:val="000000"/>
        </w:rPr>
        <w:t>Lactobacillus helveticus</w:t>
      </w:r>
      <w:r>
        <w:rPr>
          <w:rFonts w:ascii="Times New Roman" w:hAnsi="Times New Roman" w:cs="Times New Roman" w:eastAsia="Times New Roman"/>
          <w:color w:val="000000"/>
        </w:rPr>
        <w:t xml:space="preserve"> R0052 and </w:t>
      </w:r>
      <w:r>
        <w:rPr>
          <w:rFonts w:ascii="Times New Roman" w:hAnsi="Times New Roman" w:cs="Times New Roman" w:eastAsia="Times New Roman"/>
          <w:i/>
          <w:color w:val="000000"/>
        </w:rPr>
        <w:t>Bifidobacterium longum</w:t>
      </w:r>
      <w:r>
        <w:rPr>
          <w:rFonts w:ascii="Times New Roman" w:hAnsi="Times New Roman" w:cs="Times New Roman" w:eastAsia="Times New Roman"/>
          <w:color w:val="000000"/>
        </w:rPr>
        <w:t xml:space="preserve"> R0175) in rats and human subjects. Br J Nutr. 2011;105(5):755–64.</w:t>
      </w:r>
    </w:p>
    <w:p>
      <w:pPr>
        <w:spacing w:line="480" w:lineRule="auto"/>
        <w:ind w:hanging="360" w:left="360"/>
      </w:pPr>
      <w:r>
        <w:rPr>
          <w:rFonts w:ascii="Times New Roman" w:hAnsi="Times New Roman" w:cs="Times New Roman" w:eastAsia="Times New Roman"/>
          <w:color w:val="000000"/>
        </w:rPr>
        <w:t>60. Steenbergen L, Sellaro R, van Hemert S, Bosch JA, Colzato LS. A randomized controlled trial to test the effect of multispecies probiotics on cognitive reactivity to sad mood. Brain Behav Immun. 2015;48:258–64.</w:t>
      </w:r>
    </w:p>
    <w:p>
      <w:pPr>
        <w:spacing w:line="480" w:lineRule="auto"/>
        <w:ind w:hanging="360" w:left="360"/>
      </w:pPr>
      <w:r>
        <w:rPr>
          <w:rFonts w:ascii="Times New Roman" w:hAnsi="Times New Roman" w:cs="Times New Roman" w:eastAsia="Times New Roman"/>
          <w:color w:val="000000"/>
        </w:rPr>
        <w:t>61. Kazemi A, Noorbala AA, Azam K, Eskandari MH, Djafarian K. Effect of probiotic and prebiotic vs placebo on psychological outcomes in patients with major depressive disorder: a randomized clinical trial. Clin Nutr. 2019;38(2):522–8.</w:t>
      </w:r>
    </w:p>
    <w:p>
      <w:pPr>
        <w:spacing w:line="480" w:lineRule="auto"/>
        <w:ind w:hanging="360" w:left="360"/>
      </w:pPr>
      <w:r>
        <w:rPr>
          <w:rFonts w:ascii="Times New Roman" w:hAnsi="Times New Roman" w:cs="Times New Roman" w:eastAsia="Times New Roman"/>
          <w:color w:val="000000"/>
        </w:rPr>
        <w:t>62. Jacka FN, O'Neil A, Opie R, Itsiopoulos C, Cotton S, Mohebbi M, et al. A randomised controlled trial of dietary improvement for adults with major depression (the 'SMILES' trial). BMC Med. 2017;15:23.</w:t>
      </w:r>
    </w:p>
    <w:p>
      <w:pPr>
        <w:spacing w:line="480" w:lineRule="auto"/>
        <w:ind w:hanging="360" w:left="360"/>
      </w:pPr>
      <w:r>
        <w:rPr>
          <w:rFonts w:ascii="Times New Roman" w:hAnsi="Times New Roman" w:cs="Times New Roman" w:eastAsia="Times New Roman"/>
          <w:color w:val="000000"/>
        </w:rPr>
        <w:t>63. Firth J, Marx W, Dash S, Carney R, Teasdale SB, Solmi M, et al. The effects of dietary improvement on symptoms of depression and anxiety: a meta-analysis of randomized controlled trials. Psychosom Med. 2019;81(3):265–80.</w:t>
      </w:r>
    </w:p>
    <w:p>
      <w:pPr>
        <w:spacing w:line="480" w:lineRule="auto"/>
        <w:ind w:hanging="360" w:left="360"/>
      </w:pPr>
      <w:r>
        <w:rPr>
          <w:rFonts w:ascii="Times New Roman" w:hAnsi="Times New Roman" w:cs="Times New Roman" w:eastAsia="Times New Roman"/>
          <w:color w:val="000000"/>
        </w:rPr>
        <w:t>64. [AUTHOR LIST TO BE SUPPLIED]. Effects of prebiotics and probiotics on symptoms of depression and anxiety in clinically diagnosed samples: systematic review and meta-analysis of randomized controlled trials. Nutr Rev. 2025;83(7):e1504.</w:t>
      </w:r>
    </w:p>
    <w:p>
      <w:pPr>
        <w:spacing w:line="480" w:lineRule="auto"/>
        <w:ind w:hanging="360" w:left="360"/>
      </w:pPr>
      <w:r>
        <w:rPr>
          <w:rFonts w:ascii="Times New Roman" w:hAnsi="Times New Roman" w:cs="Times New Roman" w:eastAsia="Times New Roman"/>
          <w:color w:val="000000"/>
        </w:rPr>
        <w:t>65. Doll JPK, Vázquez-Castellanos JF, Schaub AC, Schweinfurth N, Kettelhack C, Schneider E, et al. Fecal microbiota transplantation (FMT) as an adjunctive therapy for depression — case report. Front Psychiatry. 2022;13:815422.</w:t>
      </w:r>
    </w:p>
    <w:p>
      <w:pPr>
        <w:spacing w:line="480" w:lineRule="auto"/>
        <w:ind w:hanging="360" w:left="360"/>
      </w:pPr>
      <w:r>
        <w:rPr>
          <w:rFonts w:ascii="Times New Roman" w:hAnsi="Times New Roman" w:cs="Times New Roman" w:eastAsia="Times New Roman"/>
          <w:color w:val="000000"/>
        </w:rPr>
        <w:t>66. Kurokawa S, Kishimoto T, Mizuno S, Masaoka T, Naganuma M, Liang KC, et al. The effect of fecal microbiota transplantation on psychiatric symptoms among patients with irritable bowel syndrome, functional diarrhea and functional constipation: an open-label observational study. J Affect Disord. 2018;235:506–12.</w:t>
      </w:r>
    </w:p>
    <w:p>
      <w:pPr>
        <w:spacing w:line="480" w:lineRule="auto"/>
        <w:ind w:hanging="360" w:left="360"/>
      </w:pPr>
      <w:r>
        <w:rPr>
          <w:rFonts w:ascii="Times New Roman" w:hAnsi="Times New Roman" w:cs="Times New Roman" w:eastAsia="Times New Roman"/>
          <w:color w:val="000000"/>
        </w:rPr>
        <w:t>67. Green JE, Berk M, Mohebbi M, Loughman A, McGuinness AJ, Castle D, et al. Feasibility, acceptability and safety of faecal microbiota transplantation in the treatment of major depressive disorder: a pilot randomized controlled trial. Can J Psychiatry. 2023.</w:t>
      </w:r>
    </w:p>
    <w:p>
      <w:pPr>
        <w:spacing w:line="480" w:lineRule="auto"/>
        <w:ind w:hanging="360" w:left="360"/>
      </w:pPr>
      <w:r>
        <w:rPr>
          <w:rFonts w:ascii="Times New Roman" w:hAnsi="Times New Roman" w:cs="Times New Roman" w:eastAsia="Times New Roman"/>
          <w:color w:val="000000"/>
        </w:rPr>
        <w:t>68. Fu J, Zhang Y, Gao J, Lan M, Zhang Z, Liang R, et al. Efficacy and safety of fecal microbiota transplantation on depressive and anxiety symptoms: a systematic review and meta-analysis. Front Psychiatry. 2026.</w:t>
      </w:r>
    </w:p>
    <w:p>
      <w:pPr>
        <w:spacing w:line="480" w:lineRule="auto"/>
        <w:ind w:hanging="360" w:left="360"/>
      </w:pPr>
      <w:r>
        <w:rPr>
          <w:rFonts w:ascii="Times New Roman" w:hAnsi="Times New Roman" w:cs="Times New Roman" w:eastAsia="Times New Roman"/>
          <w:color w:val="000000"/>
        </w:rPr>
        <w:t>69. Dinan TG, Stanton C, Cryan JF. Psychobiotics: a novel class of psychotropic. Biol Psychiatry. 2013;74(10):720–6.</w:t>
      </w:r>
    </w:p>
    <w:p>
      <w:pPr>
        <w:spacing w:line="480" w:lineRule="auto"/>
        <w:ind w:hanging="360" w:left="360"/>
      </w:pPr>
      <w:r>
        <w:rPr>
          <w:rFonts w:ascii="Times New Roman" w:hAnsi="Times New Roman" w:cs="Times New Roman" w:eastAsia="Times New Roman"/>
          <w:color w:val="000000"/>
        </w:rPr>
        <w:t>70. Sarkar A, Lehto SM, Harty S, Dinan TG, Cryan JF, Burnet PWJ. Psychobiotics and the manipulation of bacteria–gut–brain signals. Trends Neurosci. 2016;39(11):763–81.</w:t>
      </w:r>
    </w:p>
    <w:p>
      <w:pPr>
        <w:spacing w:line="480" w:lineRule="auto"/>
        <w:ind w:hanging="360" w:left="360"/>
      </w:pPr>
      <w:r>
        <w:rPr>
          <w:rFonts w:ascii="Times New Roman" w:hAnsi="Times New Roman" w:cs="Times New Roman" w:eastAsia="Times New Roman"/>
          <w:color w:val="000000"/>
        </w:rPr>
        <w:t>71. Gribble FM, Reimann F. Function and mechanisms of enteroendocrine cells and gut hormones in metabolism. Nat Rev Endocrinol. 2019;15(4):226–37.</w:t>
      </w:r>
    </w:p>
    <w:p>
      <w:pPr>
        <w:spacing w:line="480" w:lineRule="auto"/>
        <w:ind w:hanging="360" w:left="360"/>
      </w:pPr>
      <w:r>
        <w:rPr>
          <w:rFonts w:ascii="Times New Roman" w:hAnsi="Times New Roman" w:cs="Times New Roman" w:eastAsia="Times New Roman"/>
          <w:color w:val="000000"/>
        </w:rPr>
        <w:t>72. Wickersham IR, Lyon DC, Barnard RJH, Mori T, Finke S, Conzelmann KK, et al. Monosynaptic restriction of transsynaptic tracing from single, genetically targeted neurons. Neuron. 2007;53(5):639–47.</w:t>
      </w:r>
    </w:p>
    <w:p>
      <w:pPr>
        <w:spacing w:line="480" w:lineRule="auto"/>
        <w:ind w:hanging="360" w:left="360"/>
      </w:pPr>
      <w:r>
        <w:rPr>
          <w:rFonts w:ascii="Times New Roman" w:hAnsi="Times New Roman" w:cs="Times New Roman" w:eastAsia="Times New Roman"/>
          <w:color w:val="000000"/>
        </w:rPr>
        <w:t>73. Buchanan KL, Rupprecht LE, Kaelberer MM, Sahasrabudhe A, Klein ME, Villalobos JA, et al. The preference for sugar over sweetener depends on a gut sensor cell. Nat Neurosci. 2022;25(2):191–200.</w:t>
      </w:r>
    </w:p>
    <w:p>
      <w:pPr>
        <w:spacing w:line="480" w:lineRule="auto"/>
        <w:ind w:hanging="360" w:left="360"/>
      </w:pPr>
      <w:r>
        <w:rPr>
          <w:rFonts w:ascii="Times New Roman" w:hAnsi="Times New Roman" w:cs="Times New Roman" w:eastAsia="Times New Roman"/>
          <w:color w:val="000000"/>
        </w:rPr>
        <w:t>74. Margolskee RF, Dyer J, Kokrashvili Z, Salmon KS, Ilegems E, Daly K, et al. T1R3 and gustducin in gut sense sugars to regulate expression of Na+-glucose cotransporter 1. Proc Natl Acad Sci U S A. 2007;104(38):15075–80.</w:t>
      </w:r>
    </w:p>
    <w:p>
      <w:pPr>
        <w:spacing w:line="480" w:lineRule="auto"/>
        <w:ind w:hanging="360" w:left="360"/>
      </w:pPr>
      <w:r>
        <w:rPr>
          <w:rFonts w:ascii="Times New Roman" w:hAnsi="Times New Roman" w:cs="Times New Roman" w:eastAsia="Times New Roman"/>
          <w:color w:val="000000"/>
        </w:rPr>
        <w:t>75. Depoortere I. Taste receptors of the gut: emerging roles in health and disease. Gut. 2014;63(1):179–90.</w:t>
      </w:r>
    </w:p>
    <w:p>
      <w:pPr>
        <w:spacing w:line="480" w:lineRule="auto"/>
        <w:ind w:hanging="360" w:left="360"/>
      </w:pPr>
      <w:r>
        <w:rPr>
          <w:rFonts w:ascii="Times New Roman" w:hAnsi="Times New Roman" w:cs="Times New Roman" w:eastAsia="Times New Roman"/>
          <w:color w:val="000000"/>
        </w:rPr>
        <w:t>76. Alcaino C, Knutson KR, Treichel AJ, Yildiz G, Strege PR, Linden DR, et al. A population of gut epithelial enterochromaffin cells is mechanosensitive and requires Piezo2 to convert force into serotonin release. Proc Natl Acad Sci U S A. 2018;115(32):E7632–41.</w:t>
      </w:r>
    </w:p>
    <w:p>
      <w:pPr>
        <w:spacing w:line="480" w:lineRule="auto"/>
        <w:ind w:hanging="360" w:left="360"/>
      </w:pPr>
      <w:r>
        <w:rPr>
          <w:rFonts w:ascii="Times New Roman" w:hAnsi="Times New Roman" w:cs="Times New Roman" w:eastAsia="Times New Roman"/>
          <w:color w:val="000000"/>
        </w:rPr>
        <w:t>77. Bayrer JR, Castro J, Venkataraman A, Touhara KK, Rossen ND, Morrie RD, et al. Gut enterochromaffin cells drive visceral pain and anxiety. Nature. 2023;616(7955):137–42.</w:t>
      </w:r>
    </w:p>
    <w:p>
      <w:pPr>
        <w:spacing w:line="480" w:lineRule="auto"/>
        <w:ind w:hanging="360" w:left="360"/>
      </w:pPr>
      <w:r>
        <w:rPr>
          <w:rFonts w:ascii="Times New Roman" w:hAnsi="Times New Roman" w:cs="Times New Roman" w:eastAsia="Times New Roman"/>
          <w:color w:val="000000"/>
        </w:rPr>
        <w:t>78. Williams EK, Chang RB, Strochlic DE, Umans BD, Lowell BB, Liberles SD. Sensory neurons that detect stretch and nutrients in the digestive system. Cell. 2016;166(1):209–21.</w:t>
      </w:r>
    </w:p>
    <w:p>
      <w:pPr>
        <w:spacing w:line="480" w:lineRule="auto"/>
        <w:ind w:hanging="360" w:left="360"/>
      </w:pPr>
      <w:r>
        <w:rPr>
          <w:rFonts w:ascii="Times New Roman" w:hAnsi="Times New Roman" w:cs="Times New Roman" w:eastAsia="Times New Roman"/>
          <w:color w:val="000000"/>
        </w:rPr>
        <w:t>79. Hockley JRF, Taylor TS, Callejo G, Wilbrey AL, Gutteridge A, Bach K, et al. Single-cell RNAseq reveals seven classes of colonic sensory neuron. Gut. 2019;68(4):633–44.</w:t>
      </w:r>
    </w:p>
    <w:p>
      <w:pPr>
        <w:spacing w:line="480" w:lineRule="auto"/>
        <w:ind w:hanging="360" w:left="360"/>
      </w:pPr>
      <w:r>
        <w:rPr>
          <w:rFonts w:ascii="Times New Roman" w:hAnsi="Times New Roman" w:cs="Times New Roman" w:eastAsia="Times New Roman"/>
          <w:color w:val="000000"/>
        </w:rPr>
        <w:t>80. Boesmans W, Hao MM, Vanden Berghe P. Optogenetic and chemogenetic techniques for neurogastroenterology. Nat Rev Gastroenterol Hepatol. 2018;15(1):21–38.</w:t>
      </w:r>
    </w:p>
    <w:p>
      <w:pPr>
        <w:spacing w:line="480" w:lineRule="auto"/>
        <w:ind w:hanging="360" w:left="360"/>
      </w:pPr>
      <w:r>
        <w:rPr>
          <w:rFonts w:ascii="Times New Roman" w:hAnsi="Times New Roman" w:cs="Times New Roman" w:eastAsia="Times New Roman"/>
          <w:color w:val="000000"/>
        </w:rPr>
        <w:t>81. Craig AD. How do you feel? Interoception: the sense of the physiological condition of the body. Nat Rev Neurosci. 2002;3(8):655–66.</w:t>
      </w:r>
    </w:p>
    <w:p>
      <w:pPr>
        <w:spacing w:line="480" w:lineRule="auto"/>
        <w:ind w:hanging="360" w:left="360"/>
      </w:pPr>
      <w:r>
        <w:rPr>
          <w:rFonts w:ascii="Times New Roman" w:hAnsi="Times New Roman" w:cs="Times New Roman" w:eastAsia="Times New Roman"/>
          <w:color w:val="000000"/>
        </w:rPr>
        <w:t>82. Critchley HD, Harrison NA. Visceral influences on brain and behavior. Neuron. 2013;77(4):624–38.</w:t>
      </w:r>
    </w:p>
    <w:p>
      <w:pPr>
        <w:spacing w:line="480" w:lineRule="auto"/>
        <w:ind w:hanging="360" w:left="360"/>
      </w:pPr>
      <w:r>
        <w:rPr>
          <w:rFonts w:ascii="Times New Roman" w:hAnsi="Times New Roman" w:cs="Times New Roman" w:eastAsia="Times New Roman"/>
          <w:color w:val="000000"/>
        </w:rPr>
        <w:t>83. Breit S, Kupferberg A, Rogler G, Hasler G. Vagus nerve as modulator of the brain–gut axis in psychiatric and inflammatory disorders. Front Psychiatry. 2018;9:44.</w:t>
      </w:r>
    </w:p>
    <w:p>
      <w:pPr>
        <w:spacing w:line="480" w:lineRule="auto"/>
        <w:ind w:hanging="360" w:left="360"/>
      </w:pPr>
      <w:r>
        <w:rPr>
          <w:rFonts w:ascii="Times New Roman" w:hAnsi="Times New Roman" w:cs="Times New Roman" w:eastAsia="Times New Roman"/>
          <w:color w:val="000000"/>
        </w:rPr>
        <w:t>84. Huang KP, Acosta AA, Ghidewon MY, McKnight AD, Almeida MS, Nyema NT, et al. Dissociable hindbrain GLP1R circuits for satiety and aversion. Nature. 2024;632(8025):585–93.</w:t>
      </w:r>
    </w:p>
    <w:p>
      <w:pPr>
        <w:spacing w:line="480" w:lineRule="auto"/>
        <w:ind w:hanging="360" w:left="360"/>
      </w:pPr>
      <w:r>
        <w:rPr>
          <w:rFonts w:ascii="Times New Roman" w:hAnsi="Times New Roman" w:cs="Times New Roman" w:eastAsia="Times New Roman"/>
          <w:color w:val="000000"/>
        </w:rPr>
        <w:t>85. Krieger JP, Arnold M, Pettersen KG, Lossel P, Langhans W, Lee SJ. Knockdown of GLP-1 receptors in vagal afferents affects normal food intake and glycemia. Diabetes. 2016;65(1):34–43.</w:t>
      </w:r>
    </w:p>
    <w:p>
      <w:pPr>
        <w:spacing w:line="480" w:lineRule="auto"/>
        <w:ind w:hanging="360" w:left="360"/>
      </w:pPr>
      <w:r>
        <w:rPr>
          <w:rFonts w:ascii="Times New Roman" w:hAnsi="Times New Roman" w:cs="Times New Roman" w:eastAsia="Times New Roman"/>
          <w:color w:val="000000"/>
        </w:rPr>
        <w:t>86. Drucker DJ. Mechanisms of action and therapeutic application of glucagon-like peptide-1. Cell Metab. 2018;27(4):740–56.</w:t>
      </w:r>
    </w:p>
    <w:p>
      <w:pPr>
        <w:spacing w:line="480" w:lineRule="auto"/>
        <w:ind w:hanging="360" w:left="360"/>
      </w:pPr>
      <w:r>
        <w:rPr>
          <w:rFonts w:ascii="Times New Roman" w:hAnsi="Times New Roman" w:cs="Times New Roman" w:eastAsia="Times New Roman"/>
          <w:color w:val="000000"/>
        </w:rPr>
        <w:t>87. Muller PA, Schneeberger M, Matheis F, Wang P, Kerner Z, Ilanges A, et al. Microbiota modulate sympathetic neurons via a gut–brain circuit. Nature. 2020;583(7816):441–6.</w:t>
      </w:r>
    </w:p>
    <w:p>
      <w:pPr>
        <w:spacing w:line="480" w:lineRule="auto"/>
        <w:ind w:hanging="360" w:left="360"/>
      </w:pPr>
      <w:r>
        <w:rPr>
          <w:rFonts w:ascii="Times New Roman" w:hAnsi="Times New Roman" w:cs="Times New Roman" w:eastAsia="Times New Roman"/>
          <w:color w:val="000000"/>
        </w:rPr>
        <w:t>88. Furness JB. The enteric nervous system and neurogastroenterology. Nat Rev Gastroenterol Hepatol. 2012;9(5):286–94.</w:t>
      </w:r>
    </w:p>
    <w:p>
      <w:pPr>
        <w:spacing w:line="480" w:lineRule="auto"/>
        <w:ind w:hanging="360" w:left="360"/>
      </w:pPr>
      <w:r>
        <w:rPr>
          <w:rFonts w:ascii="Times New Roman" w:hAnsi="Times New Roman" w:cs="Times New Roman" w:eastAsia="Times New Roman"/>
          <w:color w:val="000000"/>
        </w:rPr>
        <w:t>89. Spencer NJ, Hu H. Enteric nervous system: sensory transduction, neural circuits and gastrointestinal motility. Nat Rev Gastroenterol Hepatol. 2020;17(6):338–51.</w:t>
      </w:r>
    </w:p>
    <w:p>
      <w:pPr>
        <w:spacing w:line="480" w:lineRule="auto"/>
        <w:ind w:hanging="360" w:left="360"/>
      </w:pPr>
      <w:r>
        <w:rPr>
          <w:rFonts w:ascii="Times New Roman" w:hAnsi="Times New Roman" w:cs="Times New Roman" w:eastAsia="Times New Roman"/>
          <w:color w:val="000000"/>
        </w:rPr>
        <w:t>90. Seguella L, Gulbransen BD. Enteric glial biology, intercellular signalling and roles in gastrointestinal disease. Nat Rev Gastroenterol Hepatol. 2021;18(8):571–87.</w:t>
      </w:r>
    </w:p>
    <w:p>
      <w:pPr>
        <w:spacing w:line="480" w:lineRule="auto"/>
        <w:ind w:hanging="360" w:left="360"/>
      </w:pPr>
      <w:r>
        <w:rPr>
          <w:rFonts w:ascii="Times New Roman" w:hAnsi="Times New Roman" w:cs="Times New Roman" w:eastAsia="Times New Roman"/>
          <w:color w:val="000000"/>
        </w:rPr>
        <w:t>91. Rao M, Gershon MD. The bowel and beyond: the enteric nervous system in neurological disorders. Nat Rev Gastroenterol Hepatol. 2016;13(9):517–28.</w:t>
      </w:r>
    </w:p>
    <w:p>
      <w:pPr>
        <w:spacing w:line="480" w:lineRule="auto"/>
        <w:ind w:hanging="360" w:left="360"/>
      </w:pPr>
      <w:r>
        <w:rPr>
          <w:rFonts w:ascii="Times New Roman" w:hAnsi="Times New Roman" w:cs="Times New Roman" w:eastAsia="Times New Roman"/>
          <w:color w:val="000000"/>
        </w:rPr>
        <w:t>92. Brierley SM, Linden DR. Neuroplasticity and dysfunction after gastrointestinal inflammation. Nat Rev Gastroenterol Hepatol. 2014;11(10):611–27.</w:t>
      </w:r>
    </w:p>
    <w:p>
      <w:pPr>
        <w:spacing w:line="480" w:lineRule="auto"/>
        <w:ind w:hanging="360" w:left="360"/>
      </w:pPr>
      <w:r>
        <w:rPr>
          <w:rFonts w:ascii="Times New Roman" w:hAnsi="Times New Roman" w:cs="Times New Roman" w:eastAsia="Times New Roman"/>
          <w:color w:val="000000"/>
        </w:rPr>
        <w:t>93. Buck L, Axel R. A novel multigene family may encode odorant receptors: a molecular basis for odor recognition. Cell. 1991;65(1):175–87.</w:t>
      </w:r>
    </w:p>
    <w:p>
      <w:pPr>
        <w:spacing w:line="480" w:lineRule="auto"/>
        <w:ind w:hanging="360" w:left="360"/>
      </w:pPr>
      <w:r>
        <w:rPr>
          <w:rFonts w:ascii="Times New Roman" w:hAnsi="Times New Roman" w:cs="Times New Roman" w:eastAsia="Times New Roman"/>
          <w:color w:val="000000"/>
        </w:rPr>
        <w:t>94. Mombaerts P, Wang F, Dulac C, Chao SK, Nemes A, Mendelsohn M, et al. Visualizing an olfactory sensory map. Cell. 1996;87(4):675–86.</w:t>
      </w:r>
    </w:p>
    <w:p>
      <w:pPr>
        <w:spacing w:line="480" w:lineRule="auto"/>
        <w:ind w:hanging="360" w:left="360"/>
      </w:pPr>
      <w:r>
        <w:rPr>
          <w:rFonts w:ascii="Times New Roman" w:hAnsi="Times New Roman" w:cs="Times New Roman" w:eastAsia="Times New Roman"/>
          <w:color w:val="000000"/>
        </w:rPr>
        <w:t>95. Beumer J, Geurts MH, Geurts V, Andersson-Rolf A, Akkerman N, Völlmy F, et al. Description and functional validation of human enteroendocrine cell sensors. Science. 2024;386(6720):341–8.</w:t>
      </w:r>
    </w:p>
    <w:p>
      <w:pPr>
        <w:spacing w:line="480" w:lineRule="auto"/>
        <w:ind w:hanging="360" w:left="360"/>
      </w:pPr>
      <w:r>
        <w:rPr>
          <w:rFonts w:ascii="Times New Roman" w:hAnsi="Times New Roman" w:cs="Times New Roman" w:eastAsia="Times New Roman"/>
          <w:color w:val="000000"/>
        </w:rPr>
        <w:t>96. Braak H, Del Tredici K, Rüb U, de Vos RAI, Jansen Steur ENH, Braak E. Staging of brain pathology related to sporadic Parkinson's disease. Neurobiol Aging. 2003;24(2):197–211.</w:t>
      </w:r>
    </w:p>
    <w:p>
      <w:pPr>
        <w:spacing w:line="480" w:lineRule="auto"/>
        <w:ind w:hanging="360" w:left="360"/>
      </w:pPr>
      <w:r>
        <w:rPr>
          <w:rFonts w:ascii="Times New Roman" w:hAnsi="Times New Roman" w:cs="Times New Roman" w:eastAsia="Times New Roman"/>
          <w:color w:val="000000"/>
        </w:rPr>
        <w:t>97. Borghammer P, Van Den Berge N. Brain-first versus gut-first Parkinson's disease: a hypothesis. J Parkinsons Dis. 2019;9(s2):S281–95.</w:t>
      </w:r>
    </w:p>
    <w:p>
      <w:pPr>
        <w:spacing w:line="480" w:lineRule="auto"/>
        <w:ind w:hanging="360" w:left="360"/>
      </w:pPr>
      <w:r>
        <w:rPr>
          <w:rFonts w:ascii="Times New Roman" w:hAnsi="Times New Roman" w:cs="Times New Roman" w:eastAsia="Times New Roman"/>
          <w:color w:val="000000"/>
        </w:rPr>
        <w:t>98. Scheperjans F, Aho V, Pereira PAB, Koskinen K, Paulin L, Pekkonen E, et al. Gut microbiota are related to Parkinson's disease and clinical phenotype. Mov Disord. 2015;30(3):350–8.</w:t>
      </w:r>
    </w:p>
    <w:p>
      <w:pPr>
        <w:spacing w:line="480" w:lineRule="auto"/>
        <w:ind w:hanging="360" w:left="360"/>
      </w:pPr>
      <w:r>
        <w:rPr>
          <w:rFonts w:ascii="Times New Roman" w:hAnsi="Times New Roman" w:cs="Times New Roman" w:eastAsia="Times New Roman"/>
          <w:color w:val="000000"/>
        </w:rPr>
        <w:t>99. Sampson TR, Debelius JW, Thron T, Janssen S, Shastri GG, Ilhan ZE, et al. Gut microbiota regulate motor deficits and neuroinflammation in a model of Parkinson's disease. Cell. 2016;167(6):1469–80.</w:t>
      </w:r>
    </w:p>
    <w:p>
      <w:pPr>
        <w:spacing w:line="480" w:lineRule="auto"/>
        <w:ind w:hanging="360" w:left="360"/>
      </w:pPr>
      <w:r>
        <w:rPr>
          <w:rFonts w:ascii="Times New Roman" w:hAnsi="Times New Roman" w:cs="Times New Roman" w:eastAsia="Times New Roman"/>
          <w:color w:val="000000"/>
        </w:rPr>
        <w:t>100. Kim S, Kwon SH, Kam TI, Panicker N, Karuppagounder SS, Lee S, et al. Transneuronal propagation of pathologic α-synuclein from the gut to the brain models Parkinson's disease. Neuron. 2019;103(4):627–41.</w:t>
      </w:r>
    </w:p>
    <w:p>
      <w:pPr>
        <w:spacing w:line="480" w:lineRule="auto"/>
        <w:ind w:hanging="360" w:left="360"/>
      </w:pPr>
      <w:r>
        <w:rPr>
          <w:rFonts w:ascii="Times New Roman" w:hAnsi="Times New Roman" w:cs="Times New Roman" w:eastAsia="Times New Roman"/>
          <w:color w:val="000000"/>
        </w:rPr>
        <w:t>101. Challis C, Hori A, Sampson TR, Yoo BB, Challis RC, Hamilton AM, et al. Gut-seeded α-synuclein fibrils promote gut dysfunction and brain pathology specifically in aged mice. Nat Neurosci. 2020;23(3):327–36.</w:t>
      </w:r>
    </w:p>
    <w:p>
      <w:pPr>
        <w:spacing w:line="480" w:lineRule="auto"/>
        <w:ind w:hanging="360" w:left="360"/>
      </w:pPr>
      <w:r>
        <w:rPr>
          <w:rFonts w:ascii="Times New Roman" w:hAnsi="Times New Roman" w:cs="Times New Roman" w:eastAsia="Times New Roman"/>
          <w:color w:val="000000"/>
        </w:rPr>
        <w:t>102. Svensson E, Horváth-Puhó E, Thomsen RW, Djurhuus JC, Pedersen L, Borghammer P, Sørensen HT. Vagotomy and subsequent risk of Parkinson's disease. Ann Neurol. 2015;78(4):522–9.</w:t>
      </w:r>
    </w:p>
    <w:p>
      <w:pPr>
        <w:spacing w:line="480" w:lineRule="auto"/>
        <w:ind w:hanging="360" w:left="360"/>
      </w:pPr>
      <w:r>
        <w:rPr>
          <w:rFonts w:ascii="Times New Roman" w:hAnsi="Times New Roman" w:cs="Times New Roman" w:eastAsia="Times New Roman"/>
          <w:color w:val="000000"/>
        </w:rPr>
        <w:t>103. Tysnes OB, Kenborg L, Herlofson K, Steding-Jessen M, Horn A, Olsen JH, Reichmann H. Does vagotomy reduce the risk of Parkinson's disease? Ann Neurol. 2015;78(6):1011–2.</w:t>
      </w:r>
    </w:p>
    <w:p>
      <w:pPr>
        <w:spacing w:line="480" w:lineRule="auto"/>
        <w:ind w:hanging="360" w:left="360"/>
      </w:pPr>
      <w:r>
        <w:rPr>
          <w:rFonts w:ascii="Times New Roman" w:hAnsi="Times New Roman" w:cs="Times New Roman" w:eastAsia="Times New Roman"/>
          <w:color w:val="000000"/>
        </w:rPr>
        <w:t>104. Liu B, Fang F, Pedersen NL, Tillander A, Ludvigsson JF, Ekbom A, et al. Vagotomy and Parkinson disease: a Swedish register-based matched-cohort study. Neurology. 2017;88(21):1996–2002.</w:t>
      </w:r>
    </w:p>
    <w:p>
      <w:pPr>
        <w:spacing w:line="480" w:lineRule="auto"/>
        <w:ind w:hanging="360" w:left="360"/>
      </w:pPr>
      <w:r>
        <w:rPr>
          <w:rFonts w:ascii="Times New Roman" w:hAnsi="Times New Roman" w:cs="Times New Roman" w:eastAsia="Times New Roman"/>
          <w:color w:val="000000"/>
        </w:rPr>
        <w:t>105. Mayer EA, Ryu HJ, Bhatt RR. The neurobiology of irritable bowel syndrome. Mol Psychiatry. 2023;28(4):1451–65.</w:t>
      </w:r>
    </w:p>
    <w:p>
      <w:pPr>
        <w:spacing w:line="480" w:lineRule="auto"/>
        <w:ind w:hanging="360" w:left="360"/>
      </w:pPr>
      <w:r>
        <w:rPr>
          <w:rFonts w:ascii="Times New Roman" w:hAnsi="Times New Roman" w:cs="Times New Roman" w:eastAsia="Times New Roman"/>
          <w:color w:val="000000"/>
        </w:rPr>
        <w:t>106. Ford AC, Sperber AD, Corsetti M, Camilleri M. Irritable bowel syndrome. Lancet. 2020;396(10263):1675–88.</w:t>
      </w:r>
    </w:p>
    <w:p>
      <w:pPr>
        <w:spacing w:line="480" w:lineRule="auto"/>
      </w:pPr>
      <w:r>
        <w:rPr>
          <w:rFonts w:ascii="Times New Roman" w:hAnsi="Times New Roman" w:cs="Times New Roman" w:eastAsia="Times New Roman"/>
          <w:b/>
          <w:color w:val="000000"/>
        </w:rPr>
        <w:t>[BEFORE SUBMISSION]</w:t>
      </w:r>
      <w:r>
        <w:rPr>
          <w:rFonts w:ascii="Times New Roman" w:hAnsi="Times New Roman" w:cs="Times New Roman" w:eastAsia="Times New Roman"/>
          <w:b/>
          <w:color w:val="000000"/>
        </w:rPr>
        <w:t xml:space="preserve"> Three items remain open and are listed in `SOURCES.md`: the three Mendelian randomisation studies described in Section 3.5 need individual citations or the passage needs rewriting to drop the specific counts; the two meta-analytic records carrying the pooled effect sizes need their author lists and page ranges confirmed; and the Methods section carries a placeholder for search strings and dates that only the authors can fill.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