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F172A"/>
          <w:sz w:val="32"/>
        </w:rPr>
        <w:t>LISTE CIBLE — CARRIÈRE DE FORMATEUR AU GOLFE</w:t>
      </w:r>
    </w:p>
    <w:p>
      <w:pPr>
        <w:spacing w:after="80"/>
      </w:pPr>
      <w:r>
        <w:rPr>
          <w:i/>
          <w:color w:val="475569"/>
          <w:sz w:val="19"/>
        </w:rPr>
        <w:t>Arabie Saoudite &amp; Oman · Préparé le 25 août 2026 · [à compléter/mettre à jour avant envoi]</w:t>
      </w:r>
    </w:p>
    <w:p>
      <w:pPr>
        <w:spacing w:before="200" w:after="60"/>
        <w:pBdr>
          <w:bottom w:val="single" w:sz="6" w:color="059669" w:space="2"/>
        </w:pBdr>
      </w:pPr>
      <w:r>
        <w:rPr>
          <w:b/>
          <w:color w:val="059669"/>
          <w:sz w:val="24"/>
        </w:rPr>
        <w:t>🇸🇦 ARABIE SAOUDITE — ACADÉMIES &amp; INSTITUTS (PRIORITÉ VOLUME)</w:t>
      </w:r>
    </w:p>
    <w:p>
      <w:pPr>
        <w:spacing w:after="60"/>
      </w:pPr>
      <w:r>
        <w:rPr>
          <w:b/>
          <w:sz w:val="21"/>
        </w:rPr>
        <w:t>▸ SDAIA Academy (Riyadh)</w:t>
      </w:r>
    </w:p>
    <w:p>
      <w:pPr>
        <w:spacing w:after="80"/>
        <w:ind w:left="360"/>
      </w:pPr>
      <w:r>
        <w:rPr>
          <w:color w:val="475569"/>
          <w:sz w:val="19"/>
        </w:rPr>
        <w:t>L'académie de la Saudi Data &amp; AI Authority : bootcamps sur les agents IA, le prompt engineering, la data governance — exactement vos spécialités (RAG, LangChain, CrewAI). Contact : via partenariats/formateurs sur sdaia.gov.sa et la plateforme AthkaX.</w:t>
      </w:r>
    </w:p>
    <w:p>
      <w:pPr>
        <w:spacing w:after="60"/>
      </w:pPr>
      <w:r>
        <w:rPr>
          <w:b/>
          <w:sz w:val="21"/>
        </w:rPr>
        <w:t>▸ Tuwaiq Academy — SAFCSP (Riyadh)</w:t>
      </w:r>
    </w:p>
    <w:p>
      <w:pPr>
        <w:spacing w:after="80"/>
        <w:ind w:left="360"/>
      </w:pPr>
      <w:r>
        <w:rPr>
          <w:color w:val="475569"/>
          <w:sz w:val="19"/>
        </w:rPr>
        <w:t>Bootcamps intensifs (coding, IA, cybersécurité) adossés à Stanford et Meta ; taux de placement affiché jusqu'à 85 %.</w:t>
      </w:r>
    </w:p>
    <w:p>
      <w:pPr>
        <w:spacing w:after="60"/>
      </w:pPr>
      <w:r>
        <w:rPr>
          <w:b/>
          <w:sz w:val="21"/>
        </w:rPr>
        <w:t>▸ KAUST Academy (Thuwal)</w:t>
      </w:r>
    </w:p>
    <w:p>
      <w:pPr>
        <w:spacing w:after="80"/>
        <w:ind w:left="360"/>
      </w:pPr>
      <w:r>
        <w:rPr>
          <w:color w:val="475569"/>
          <w:sz w:val="19"/>
        </w:rPr>
        <w:t>Programmes continuing education ; recrutement sur expertise, environnement anglophone prestigieux.</w:t>
      </w:r>
    </w:p>
    <w:p>
      <w:pPr>
        <w:spacing w:after="60"/>
      </w:pPr>
      <w:r>
        <w:rPr>
          <w:b/>
          <w:sz w:val="21"/>
        </w:rPr>
        <w:t>▸ Saudi Electronic University — Thakaa Camp (Riyadh)</w:t>
      </w:r>
    </w:p>
    <w:p>
      <w:pPr>
        <w:spacing w:after="80"/>
        <w:ind w:left="360"/>
      </w:pPr>
      <w:r>
        <w:rPr>
          <w:color w:val="475569"/>
          <w:sz w:val="19"/>
        </w:rPr>
        <w:t>Camps IA/data pour jeunes et professionnels.</w:t>
      </w:r>
    </w:p>
    <w:p>
      <w:pPr>
        <w:spacing w:after="60"/>
      </w:pPr>
      <w:r>
        <w:rPr>
          <w:b/>
          <w:sz w:val="21"/>
        </w:rPr>
        <w:t>▸ atomcamp &amp; autres bootcamps privés</w:t>
      </w:r>
    </w:p>
    <w:p>
      <w:pPr>
        <w:spacing w:after="80"/>
        <w:ind w:left="360"/>
      </w:pPr>
      <w:r>
        <w:rPr>
          <w:color w:val="475569"/>
          <w:sz w:val="19"/>
        </w:rPr>
        <w:t>Formateurs praticiens demandés pour formats courts projet.</w:t>
      </w:r>
    </w:p>
    <w:p>
      <w:pPr>
        <w:spacing w:after="60"/>
      </w:pPr>
      <w:r>
        <w:rPr>
          <w:b/>
          <w:sz w:val="21"/>
        </w:rPr>
        <w:t>▸ Instituts agréés TVTC</w:t>
      </w:r>
    </w:p>
    <w:p>
      <w:pPr>
        <w:spacing w:after="80"/>
        <w:ind w:left="360"/>
      </w:pPr>
      <w:r>
        <w:rPr>
          <w:color w:val="475569"/>
          <w:sz w:val="19"/>
        </w:rPr>
        <w:t>Les centres de formation professionnelle agréés TVTC recrutent des formateurs étrangers avec diplôme + expérience prouvés. Angle : vos 45 fiches « Expert by Function » comme catalogue prêt à agréer.</w:t>
      </w:r>
    </w:p>
    <w:p>
      <w:pPr>
        <w:spacing w:after="60"/>
      </w:pPr>
      <w:r>
        <w:rPr>
          <w:b/>
          <w:sz w:val="21"/>
        </w:rPr>
        <w:t>▸ L&amp;D corporate (via prestataires)</w:t>
      </w:r>
    </w:p>
    <w:p>
      <w:pPr>
        <w:spacing w:after="80"/>
        <w:ind w:left="360"/>
      </w:pPr>
      <w:r>
        <w:rPr>
          <w:color w:val="475569"/>
          <w:sz w:val="19"/>
        </w:rPr>
        <w:t>Écosystème énergie (Aramco et sous-traitants — Halliburton y est présent : demandez une lettre de référence interne !), banques, télécoms. Obligation pour les entreprises 50+ salariés d'avoir 2 % de stagiaires saoudiens → demande mécanique de formateurs.</w:t>
      </w:r>
    </w:p>
    <w:p>
      <w:pPr>
        <w:spacing w:before="200" w:after="60"/>
        <w:pBdr>
          <w:bottom w:val="single" w:sz="6" w:color="059669" w:space="2"/>
        </w:pBdr>
      </w:pPr>
      <w:r>
        <w:rPr>
          <w:b/>
          <w:color w:val="059669"/>
          <w:sz w:val="24"/>
        </w:rPr>
        <w:t>🇴🇲 OMAN — UNIVERSITÉS, INSTITUTS &amp; ÉCOLES (PRIORITÉ DIFFÉRENCIATION)</w:t>
      </w:r>
    </w:p>
    <w:p>
      <w:pPr>
        <w:spacing w:after="60"/>
      </w:pPr>
      <w:r>
        <w:rPr>
          <w:b/>
          <w:sz w:val="21"/>
        </w:rPr>
        <w:t>▸ UTAS — University of Technology and Applied Sciences (Muscat, Sohar, Salalah…)</w:t>
      </w:r>
    </w:p>
    <w:p>
      <w:pPr>
        <w:spacing w:after="80"/>
        <w:ind w:left="360"/>
      </w:pPr>
      <w:r>
        <w:rPr>
          <w:color w:val="475569"/>
          <w:sz w:val="19"/>
        </w:rPr>
        <w:t>Centres de formation continue : formateurs vacataires en data/IA recrutés sur expertise.</w:t>
      </w:r>
    </w:p>
    <w:p>
      <w:pPr>
        <w:spacing w:after="60"/>
      </w:pPr>
      <w:r>
        <w:rPr>
          <w:b/>
          <w:sz w:val="21"/>
        </w:rPr>
        <w:t>▸ GUtech — German University of Technology (Muscat)</w:t>
      </w:r>
    </w:p>
    <w:p>
      <w:pPr>
        <w:spacing w:after="80"/>
        <w:ind w:left="360"/>
      </w:pPr>
      <w:r>
        <w:rPr>
          <w:color w:val="475569"/>
          <w:sz w:val="19"/>
        </w:rPr>
        <w:t>Départements IT &amp; continuing education.</w:t>
      </w:r>
    </w:p>
    <w:p>
      <w:pPr>
        <w:spacing w:after="60"/>
      </w:pPr>
      <w:r>
        <w:rPr>
          <w:b/>
          <w:sz w:val="21"/>
        </w:rPr>
        <w:t>▸ SQU — Sultan Qaboos University (Muscat)</w:t>
      </w:r>
    </w:p>
    <w:p>
      <w:pPr>
        <w:spacing w:after="80"/>
        <w:ind w:left="360"/>
      </w:pPr>
      <w:r>
        <w:rPr>
          <w:color w:val="475569"/>
          <w:sz w:val="19"/>
        </w:rPr>
        <w:t>Centre de formation continue : missions ponctuelles de formateur invité.</w:t>
      </w:r>
    </w:p>
    <w:p>
      <w:pPr>
        <w:spacing w:after="60"/>
      </w:pPr>
      <w:r>
        <w:rPr>
          <w:b/>
          <w:sz w:val="21"/>
        </w:rPr>
        <w:t>▸ NTI — National Training Institute &amp; Skills Accelerator (Ministère du Travail)</w:t>
      </w:r>
    </w:p>
    <w:p>
      <w:pPr>
        <w:spacing w:after="80"/>
        <w:ind w:left="360"/>
      </w:pPr>
      <w:r>
        <w:rPr>
          <w:color w:val="475569"/>
          <w:sz w:val="19"/>
        </w:rPr>
        <w:t>Programmes publics de reskilling/upskilling digital.</w:t>
      </w:r>
    </w:p>
    <w:p>
      <w:pPr>
        <w:spacing w:after="60"/>
      </w:pPr>
      <w:r>
        <w:rPr>
          <w:b/>
          <w:sz w:val="21"/>
        </w:rPr>
        <w:t>▸ Écoles privées internationales (voie ICT teacher)</w:t>
      </w:r>
    </w:p>
    <w:p>
      <w:pPr>
        <w:spacing w:after="80"/>
        <w:ind w:left="360"/>
      </w:pPr>
      <w:r>
        <w:rPr>
          <w:color w:val="475569"/>
          <w:sz w:val="19"/>
        </w:rPr>
        <w:t>ABA Oman, Oman Private School, Al Raneem, Knowledge Masterpiece, United Private School (Muscat/Sohar) — exigent B.Ed/PGCE + IELTS 6,5-7 : viable seulement après certification pédagogique.</w:t>
      </w:r>
    </w:p>
    <w:p>
      <w:pPr>
        <w:spacing w:after="60"/>
      </w:pPr>
      <w:r>
        <w:rPr>
          <w:b/>
          <w:sz w:val="21"/>
        </w:rPr>
        <w:t>▸ Secteur ports &amp; énergie</w:t>
      </w:r>
    </w:p>
    <w:p>
      <w:pPr>
        <w:spacing w:after="80"/>
        <w:ind w:left="360"/>
      </w:pPr>
      <w:r>
        <w:rPr>
          <w:color w:val="475569"/>
          <w:sz w:val="19"/>
        </w:rPr>
        <w:t>Port of Salalah, Sohar — argument fort : vous avez formé le Port d'Alger (EPAL) sur BPMN, React Native, cybersécurité.</w:t>
      </w:r>
    </w:p>
    <w:p>
      <w:pPr>
        <w:spacing w:before="200" w:after="60"/>
        <w:pBdr>
          <w:bottom w:val="single" w:sz="6" w:color="059669" w:space="2"/>
        </w:pBdr>
      </w:pPr>
      <w:r>
        <w:rPr>
          <w:b/>
          <w:color w:val="059669"/>
          <w:sz w:val="24"/>
        </w:rPr>
        <w:t>🌐 OÙ POSTULER (LES DEUX PAYS + LARGE)</w:t>
      </w:r>
    </w:p>
    <w:p>
      <w:pPr>
        <w:spacing w:after="60"/>
      </w:pPr>
      <w:r>
        <w:rPr>
          <w:b/>
          <w:sz w:val="21"/>
        </w:rPr>
        <w:t>▸ Plateformes</w:t>
      </w:r>
    </w:p>
    <w:p>
      <w:pPr>
        <w:spacing w:after="80"/>
        <w:ind w:left="360"/>
      </w:pPr>
      <w:r>
        <w:rPr>
          <w:color w:val="475569"/>
          <w:sz w:val="19"/>
        </w:rPr>
        <w:t>GulfTalent · Bayt.com · NaukriGulf · Teach Away (écoles) · Search Associates (écoles) · LinkedIn (#SaudiTrainer #OmanJobs)</w:t>
      </w:r>
    </w:p>
    <w:p>
      <w:pPr>
        <w:spacing w:after="60"/>
      </w:pPr>
      <w:r>
        <w:rPr>
          <w:b/>
          <w:sz w:val="21"/>
        </w:rPr>
        <w:t>▸ Candidature directe</w:t>
      </w:r>
    </w:p>
    <w:p>
      <w:pPr>
        <w:spacing w:after="80"/>
        <w:ind w:left="360"/>
      </w:pPr>
      <w:r>
        <w:rPr>
          <w:color w:val="475569"/>
          <w:sz w:val="19"/>
        </w:rPr>
        <w:t>Pages « Careers » des académies + email RH avec la lettre EN + CV + 1 fiche programme exemple en PDF.</w:t>
      </w:r>
    </w:p>
    <w:p>
      <w:pPr>
        <w:spacing w:after="60"/>
      </w:pPr>
      <w:r>
        <w:rPr>
          <w:b/>
          <w:sz w:val="21"/>
        </w:rPr>
        <w:t>▸ Réseau Halliburton</w:t>
      </w:r>
    </w:p>
    <w:p>
      <w:pPr>
        <w:spacing w:after="80"/>
        <w:ind w:left="360"/>
      </w:pPr>
      <w:r>
        <w:rPr>
          <w:color w:val="475569"/>
          <w:sz w:val="19"/>
        </w:rPr>
        <w:t>Demandez à votre contact Halliburton Algérie un testimonial écrit + mise en relation avec l'équipe Learning &amp; Development Oman/KSA.</w:t>
      </w:r>
    </w:p>
    <w:p>
      <w:pPr>
        <w:spacing w:before="200" w:after="60"/>
        <w:pBdr>
          <w:bottom w:val="single" w:sz="6" w:color="059669" w:space="2"/>
        </w:pBdr>
      </w:pPr>
      <w:r>
        <w:rPr>
          <w:b/>
          <w:color w:val="059669"/>
          <w:sz w:val="24"/>
        </w:rPr>
        <w:t>✅ CHECKLIST AVANT D'ENVOYER (ORDRE CONSEILLÉ)</w:t>
      </w:r>
    </w:p>
    <w:p>
      <w:pPr>
        <w:spacing w:after="40"/>
      </w:pPr>
      <w:r>
        <w:rPr>
          <w:sz w:val="20"/>
        </w:rPr>
        <w:t>1. IELTS académique ≥ 6,5 (sinon votre dossier stagne au tri RH)</w:t>
      </w:r>
    </w:p>
    <w:p>
      <w:pPr>
        <w:spacing w:after="40"/>
      </w:pPr>
      <w:r>
        <w:rPr>
          <w:sz w:val="20"/>
        </w:rPr>
        <w:t>2. Microsoft PL-300 (Power BI Data Analyst) puis AI-900 — puis statut MCT (Microsoft Certified Trainer)</w:t>
      </w:r>
    </w:p>
    <w:p>
      <w:pPr>
        <w:spacing w:after="40"/>
      </w:pPr>
      <w:r>
        <w:rPr>
          <w:sz w:val="20"/>
        </w:rPr>
        <w:t>3. Légalisation des diplômes : MAE algérien + ambassade d'Arabie Saoudite / d'Oman (4-6 semaines — lancez MAINTENANT)</w:t>
      </w:r>
    </w:p>
    <w:p>
      <w:pPr>
        <w:spacing w:after="40"/>
      </w:pPr>
      <w:r>
        <w:rPr>
          <w:sz w:val="20"/>
        </w:rPr>
        <w:t>4. Vidéo démo 3 min en anglais (vous formant sur les agents IA) — hébergée YouTube/Drive, lien dans le CV</w:t>
      </w:r>
    </w:p>
    <w:p>
      <w:pPr>
        <w:spacing w:after="40"/>
      </w:pPr>
      <w:r>
        <w:rPr>
          <w:sz w:val="20"/>
        </w:rPr>
        <w:t>5. LinkedIn passé 100 % en anglais + titre : « Data &amp; AI Corporate Trainer | Arabic/English/French | Open to GCC relocation »</w:t>
      </w:r>
    </w:p>
    <w:p>
      <w:pPr>
        <w:spacing w:after="40"/>
      </w:pPr>
      <w:r>
        <w:rPr>
          <w:sz w:val="20"/>
        </w:rPr>
        <w:t>6. Pour l'Arabie : mentionnez votre disponibilité au visa de travail temporaire (90-180 jours) dans chaque candidature</w:t>
      </w:r>
    </w:p>
    <w:p>
      <w:pPr>
        <w:spacing w:before="200" w:after="60"/>
        <w:pBdr>
          <w:bottom w:val="single" w:sz="6" w:color="059669" w:space="2"/>
        </w:pBdr>
      </w:pPr>
      <w:r>
        <w:rPr>
          <w:b/>
          <w:color w:val="059669"/>
          <w:sz w:val="24"/>
        </w:rPr>
        <w:t>SOURCES PRINCIPALES</w:t>
      </w:r>
    </w:p>
    <w:p>
      <w:pPr>
        <w:spacing w:after="80"/>
      </w:pPr>
      <w:r>
        <w:rPr>
          <w:i/>
          <w:color w:val="475569"/>
          <w:sz w:val="19"/>
        </w:rPr>
        <w:t>spa.gov.sa (SDAIA 18 bootcamps) · sdaia.gov.sa/academy · sbjbc.org (20 000 spécialistes IA d'ici 2030) · vision2030.ai · nucamp.co (top 5 bootcamps KSA) · mtcit.gov.om (Programme National d'Économie Numérique) · truescho.com &amp; seriousteachers.com (exigences écoles Oman) · centuroglobal.com (visa temporaire KSA) · fragomen.com (quota stagiaires 2 %)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