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2D3D" w:val="clear"/>
            <w:tcMar>
              <w:top w:type="dxa" w:w="280"/>
              <w:left w:type="dxa" w:w="400"/>
              <w:bottom w:type="dxa" w:w="280"/>
              <w:right w:type="dxa" w:w="400"/>
            </w:tcMar>
            <w:vAlign w:val="center"/>
          </w:tcPr>
          <w:p>
            <w:pPr>
              <w:spacing w:after="80" w:before="0"/>
            </w:pPr>
            <w:r>
              <w:rPr>
                <w:color w:val="F2C811"/>
                <w:sz w:val="36"/>
                <w:szCs w:val="36"/>
              </w:rPr>
              <w:t xml:space="preserve">⚡  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34"/>
                <w:szCs w:val="34"/>
              </w:rPr>
              <w:t xml:space="preserve">Power BI Expert Commercial</w:t>
            </w:r>
          </w:p>
          <w:p>
            <w:pPr>
              <w:spacing w:after="80" w:before="0"/>
            </w:pPr>
            <w:r>
              <w:rPr>
                <w:rFonts w:ascii="Segoe UI" w:cs="Segoe UI" w:eastAsia="Segoe UI" w:hAnsi="Segoe UI"/>
                <w:i/>
                <w:iCs/>
                <w:color w:val="D1D5DB"/>
                <w:sz w:val="22"/>
                <w:szCs w:val="22"/>
              </w:rPr>
              <w:t xml:space="preserve">Résoudre 30 Problèmes Opérationnels en 5 Jours</w:t>
            </w:r>
          </w:p>
          <w:p>
            <w:pPr>
              <w:spacing w:after="0" w:before="60"/>
            </w:pPr>
            <w:r>
              <w:rPr>
                <w:rFonts w:ascii="Segoe UI" w:cs="Segoe UI" w:eastAsia="Segoe UI" w:hAnsi="Segoe UI"/>
                <w:color w:val="FDE68A"/>
                <w:sz w:val="17"/>
                <w:szCs w:val="17"/>
              </w:rPr>
              <w:t xml:space="preserve">5 jours  •  35 heures  •  30 cas pratiques  •  Power BI Desktop + DAX + Power Query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C811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/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📋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INFORMATIONS GÉNÉRALES</w:t>
      </w:r>
    </w:p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E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7360"/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5 jours — 35 heures de formation intensive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E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7360"/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Intermédiaire à Avancé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shd w:fill="1E2D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360"/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Présentiel ou Distanciel — Groupes de 6 à 10 participants</w:t>
            </w:r>
          </w:p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🎯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OBJECTIFS PÉDAGOGIQUES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Maîtriser Power BI pour automatiser les analyses commerciales et le pilotage des ventes.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Résoudre 30 problèmes opérationnels concrets des fonctions commerciales.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Concevoir des tableaux de bord de vente dynamiques, des prévisions et des analyses de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Optimiser la productivité commerciale avec Power BI.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👥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PUBLIC CIBLE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Responsables commerciaux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Chefs des ventes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Key Account Managers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Directeurs commerciaux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Équipes force de vente et business developers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✅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PRÉREQUIS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Connaissances de base de Power 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Connaissance des concepts commerciaux de base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🛠️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OUTILS &amp; VERSION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Power BI Desktop + Power Query + DAX avancé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Modélisation, visuels interactifs, slicers, drill-through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Power BI Service (publication et partage)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🔬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MÉTHODOLOGIE PÉDAGOGIQUE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Approche 100 % pratique et orientée résultats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Chaque jour : résolution de 6 problèmes réels du métier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Construction progressive d'un tableau de bord commercial complet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📅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PROGRAMME DÉTAILLÉ — 30 PROBLÈMES EN 5 JOURS</w:t>
      </w:r>
    </w:p>
    <w:p>
      <w:pPr>
        <w:spacing w:after="0" w:before="0"/>
      </w:pPr>
    </w:p>
    <w:tbl>
      <w:tblPr>
        <w:tblW w:type="dxa" w:w="9360"/>
        <w:tblBorders>
          <w:top w:val="single" w:color="FDE68A" w:sz="4"/>
          <w:left w:val="single" w:color="FDE68A" w:sz="4"/>
          <w:bottom w:val="single" w:color="FDE68A" w:sz="4"/>
          <w:right w:val="single" w:color="FDE68A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1 – Analyse des ventes et reporting commercial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Consolidation automatique des ventes par région et commercial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Calcul du CA par client, produit et canal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des performances commerciales mensuelles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objectifs vs réalisés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Création de rapports de pipeline de ventes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Détection des clients à risque de churn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2 – Prévisions et simulations commerciales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Modèle de prévision des ventes avec DAX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de scénarios de croissance et pricing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Calcul du taux de conversion et funnel de vente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10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Projection du chiffre d'affaires sur 12 mois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Segmentation clients (RFM)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12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Simulation d'impact des promotions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3 – Pilotage de la performance commerciale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KPIs commerciaux avec matrices et visuels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14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du panier moyen et fréquence d'achat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performances par commercial et région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16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Création de dashboards de vente avec slicers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des écarts de quotas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18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Reporting hebdomadaire automatisé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4 – Optimisation et automatisation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19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Automatisation du suivi des opportunités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20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Calcul des commissions et primes dynamiques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21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ABC des clients et produits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22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Construction d'un modèle de pricing commercial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23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Génération automatique de propositions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24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Suivi des relances clients</w:t>
            </w:r>
          </w:p>
        </w:tc>
      </w:tr>
      <w:tr>
        <w:tc>
          <w:tcPr>
            <w:gridSpan w:val="2"/>
            <w:shd w:fill="2C4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Jour 5 – Pilotage stratégique et projet de synthèse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25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Création d'un tableau de bord commercial global interactif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26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Intégration de tous les KPIs commerciaux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27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Analyse comparative multi-régions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28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Simulation de scénarios stratégiques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29</w:t>
            </w:r>
          </w:p>
        </w:tc>
        <w:tc>
          <w:tcPr>
            <w:tcW w:type="dxa" w:w="8760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Reporting directionnel avec visuels interactifs</w:t>
            </w:r>
          </w:p>
        </w:tc>
      </w:tr>
      <w:tr>
        <w:tc>
          <w:tcPr>
            <w:tcW w:type="dxa" w:w="600"/>
            <w:shd w:fill="FEF3C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0078D4"/>
                <w:sz w:val="18"/>
                <w:szCs w:val="18"/>
              </w:rPr>
              <w:t xml:space="preserve">30</w:t>
            </w:r>
          </w:p>
        </w:tc>
        <w:tc>
          <w:tcPr>
            <w:tcW w:type="dxa" w:w="8760"/>
            <w:shd w:fill="FEF3C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374151"/>
                <w:sz w:val="18"/>
                <w:szCs w:val="18"/>
              </w:rPr>
              <w:t xml:space="preserve">Publication et partage sur Power BI Service</w:t>
            </w:r>
          </w:p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🏆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PROJET DE FIN DE FORMATION</w:t>
      </w:r>
    </w:p>
    <w:p>
      <w:pPr>
        <w:spacing w:after="0" w:before="0"/>
      </w:pPr>
    </w:p>
    <w:tbl>
      <w:tblPr>
        <w:tblW w:type="dxa" w:w="9360"/>
        <w:tblBorders>
          <w:top w:val="single" w:color="F2C811" w:sz="6"/>
          <w:left w:val="single" w:color="F2C811" w:sz="20"/>
          <w:bottom w:val="single" w:color="F2C811" w:sz="6"/>
          <w:right w:val="single" w:color="F2C811" w:sz="6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EF3C7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80" w:before="0"/>
            </w:pPr>
            <w:r>
              <w:rPr>
                <w:sz w:val="22"/>
                <w:szCs w:val="22"/>
              </w:rPr>
              <w:t xml:space="preserve">🏆  </w:t>
            </w:r>
            <w:r>
              <w:rPr>
                <w:rFonts w:ascii="Segoe UI" w:cs="Segoe UI" w:eastAsia="Segoe UI" w:hAnsi="Segoe UI"/>
                <w:b/>
                <w:bCs/>
                <w:color w:val="1E2D3D"/>
                <w:sz w:val="21"/>
                <w:szCs w:val="21"/>
              </w:rPr>
              <w:t xml:space="preserve">Tableau de Bord Commercial Stratégique</w:t>
            </w:r>
          </w:p>
          <w:p>
            <w:pPr>
              <w:spacing w:after="0" w:before="0"/>
            </w:pPr>
            <w:r>
              <w:rPr>
                <w:rFonts w:ascii="Segoe UI" w:cs="Segoe UI" w:eastAsia="Segoe UI" w:hAnsi="Segoe UI"/>
                <w:color w:val="374151"/>
                <w:sz w:val="19"/>
                <w:szCs w:val="19"/>
              </w:rPr>
              <w:t xml:space="preserve">Conception d'un tableau de bord Power BI incluant CA, pipeline, funnel, performances par commercial, segmentation, avec navigation interactive.</w:t>
            </w:r>
          </w:p>
        </w:tc>
      </w:tr>
    </w:tbl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📦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ÉVALUATION &amp; LIVRABLES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Évaluation continue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Boîte à Outils Commercial Power BI : 30 fichiers .pbix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Attestation de 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Accès aux fichiers de travail</w:t>
      </w:r>
    </w:p>
    <w:p>
      <w:pPr>
        <w:spacing w:after="0" w:before="0"/>
      </w:pPr>
    </w:p>
    <w:p>
      <w:pPr>
        <w:pBdr>
          <w:bottom w:val="single" w:color="F2C811" w:sz="12" w:space="4"/>
        </w:pBdr>
        <w:spacing w:after="100" w:before="320"/>
      </w:pPr>
      <w:r>
        <w:rPr>
          <w:color w:val="F2C811"/>
          <w:sz w:val="24"/>
          <w:szCs w:val="24"/>
        </w:rPr>
        <w:t xml:space="preserve">ℹ️  </w:t>
      </w:r>
      <w:r>
        <w:rPr>
          <w:rFonts w:ascii="Segoe UI" w:cs="Segoe UI" w:eastAsia="Segoe UI" w:hAnsi="Segoe UI"/>
          <w:b/>
          <w:bCs/>
          <w:color w:val="1E2D3D"/>
          <w:sz w:val="22"/>
          <w:szCs w:val="22"/>
        </w:rPr>
        <w:t xml:space="preserve">MODALITÉS PRATIQUES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Formation en présentiel ou distanciel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Groupes de 6 à 10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374151"/>
          <w:sz w:val="19"/>
          <w:szCs w:val="19"/>
        </w:rPr>
        <w:t xml:space="preserve">Ordinateur portable requis avec Power BI Desktop installé</w:t>
      </w:r>
    </w:p>
    <w:p>
      <w:pPr>
        <w:spacing w:after="0" w:before="0"/>
      </w:pPr>
    </w:p>
    <w:p>
      <w:pPr>
        <w:pBdr>
          <w:bottom w:val="single" w:color="1E2D3D" w:sz="8" w:space="1"/>
        </w:pBdr>
        <w:spacing w:after="60" w:before="60"/>
      </w:pPr>
    </w:p>
    <w:p>
      <w:pPr>
        <w:spacing w:after="0" w:before="120"/>
        <w:jc w:val="center"/>
      </w:pPr>
      <w:r>
        <w:rPr>
          <w:rFonts w:ascii="Segoe UI" w:cs="Segoe UI" w:eastAsia="Segoe UI" w:hAnsi="Segoe UI"/>
          <w:i/>
          <w:iCs/>
          <w:color w:val="6B7280"/>
          <w:sz w:val="16"/>
          <w:szCs w:val="16"/>
        </w:rPr>
        <w:t xml:space="preserve">Formation Power BI Expert  •  powerbi-expert.pro  •  contact@powerbi-expert.pro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04" w:hanging="259"/>
      </w:pPr>
      <w:rPr>
        <w:color w:val="0078D4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2026-08-26T21:02:04.258Z</dcterms:created>
  <dcterms:modified xsi:type="dcterms:W3CDTF">2026-08-26T21:02:04.258Z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