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25235" w14:textId="4F86C7A7" w:rsidR="00E855D0" w:rsidRDefault="00E855D0" w:rsidP="00365327">
      <w:pPr>
        <w:rPr>
          <w:b/>
          <w:bCs/>
          <w:sz w:val="36"/>
          <w:szCs w:val="36"/>
          <w:rtl/>
        </w:rPr>
      </w:pPr>
      <w:r>
        <w:rPr>
          <w:rFonts w:hint="cs"/>
          <w:rtl/>
        </w:rPr>
        <w:t>בס''ד</w:t>
      </w:r>
      <w:r>
        <w:rPr>
          <w:rtl/>
        </w:rPr>
        <w:tab/>
      </w:r>
      <w:r w:rsidR="00BC68F5">
        <w:rPr>
          <w:rFonts w:hint="cs"/>
          <w:rtl/>
        </w:rPr>
        <w:t xml:space="preserve">   </w:t>
      </w:r>
      <w:r w:rsidR="00483900">
        <w:rPr>
          <w:rFonts w:hint="cs"/>
          <w:b/>
          <w:bCs/>
          <w:sz w:val="36"/>
          <w:szCs w:val="36"/>
          <w:rtl/>
        </w:rPr>
        <w:t xml:space="preserve">   </w:t>
      </w:r>
      <w:r w:rsidR="000E0C50">
        <w:rPr>
          <w:rFonts w:hint="cs"/>
          <w:b/>
          <w:bCs/>
          <w:sz w:val="36"/>
          <w:szCs w:val="36"/>
          <w:rtl/>
        </w:rPr>
        <w:t xml:space="preserve">    </w:t>
      </w:r>
      <w:r w:rsidRPr="00E855D0">
        <w:rPr>
          <w:rFonts w:hint="cs"/>
          <w:b/>
          <w:bCs/>
          <w:sz w:val="36"/>
          <w:szCs w:val="36"/>
          <w:rtl/>
        </w:rPr>
        <w:t xml:space="preserve">האם </w:t>
      </w:r>
      <w:r w:rsidR="00BC68F5">
        <w:rPr>
          <w:rFonts w:hint="cs"/>
          <w:b/>
          <w:bCs/>
          <w:sz w:val="36"/>
          <w:szCs w:val="36"/>
          <w:rtl/>
        </w:rPr>
        <w:t xml:space="preserve">יש </w:t>
      </w:r>
      <w:r w:rsidR="00720B66">
        <w:rPr>
          <w:rFonts w:hint="cs"/>
          <w:b/>
          <w:bCs/>
          <w:sz w:val="36"/>
          <w:szCs w:val="36"/>
          <w:rtl/>
        </w:rPr>
        <w:t>ל</w:t>
      </w:r>
      <w:r w:rsidR="00BC68F5">
        <w:rPr>
          <w:rFonts w:hint="cs"/>
          <w:b/>
          <w:bCs/>
          <w:sz w:val="36"/>
          <w:szCs w:val="36"/>
          <w:rtl/>
        </w:rPr>
        <w:t>ברך ברכת האילנות דווקא בחודש ניסן</w:t>
      </w:r>
    </w:p>
    <w:p w14:paraId="0F98928C" w14:textId="77777777" w:rsidR="00E855D0" w:rsidRDefault="00E855D0" w:rsidP="00365327">
      <w:pPr>
        <w:rPr>
          <w:b/>
          <w:bCs/>
          <w:u w:val="single"/>
          <w:rtl/>
        </w:rPr>
      </w:pPr>
      <w:r w:rsidRPr="00E855D0">
        <w:rPr>
          <w:rFonts w:hint="cs"/>
          <w:b/>
          <w:bCs/>
          <w:u w:val="single"/>
          <w:rtl/>
        </w:rPr>
        <w:t>פתיחה</w:t>
      </w:r>
    </w:p>
    <w:p w14:paraId="6B3ACFC9" w14:textId="5EB30237" w:rsidR="00776A67" w:rsidRDefault="00E855D0" w:rsidP="00365327">
      <w:pPr>
        <w:rPr>
          <w:rtl/>
        </w:rPr>
      </w:pPr>
      <w:r>
        <w:rPr>
          <w:rFonts w:hint="cs"/>
          <w:rtl/>
        </w:rPr>
        <w:t xml:space="preserve">כחלק מברכות הראייה </w:t>
      </w:r>
      <w:r w:rsidR="00B454B8">
        <w:rPr>
          <w:rFonts w:hint="cs"/>
          <w:rtl/>
        </w:rPr>
        <w:t>המובא</w:t>
      </w:r>
      <w:r w:rsidR="00911D1E">
        <w:rPr>
          <w:rFonts w:hint="cs"/>
          <w:rtl/>
        </w:rPr>
        <w:t xml:space="preserve">ות </w:t>
      </w:r>
      <w:r w:rsidR="00B454B8">
        <w:rPr>
          <w:rFonts w:hint="cs"/>
          <w:rtl/>
        </w:rPr>
        <w:t xml:space="preserve">בגמרא </w:t>
      </w:r>
      <w:r>
        <w:rPr>
          <w:rFonts w:hint="cs"/>
          <w:rtl/>
        </w:rPr>
        <w:t>בברכות</w:t>
      </w:r>
      <w:r w:rsidR="00776A67">
        <w:rPr>
          <w:rFonts w:hint="cs"/>
          <w:rtl/>
        </w:rPr>
        <w:t xml:space="preserve"> </w:t>
      </w:r>
      <w:r w:rsidR="00776A67">
        <w:rPr>
          <w:rFonts w:hint="cs"/>
          <w:sz w:val="18"/>
          <w:szCs w:val="18"/>
          <w:rtl/>
        </w:rPr>
        <w:t>(מג ע''ב)</w:t>
      </w:r>
      <w:r>
        <w:rPr>
          <w:rFonts w:hint="cs"/>
          <w:rtl/>
        </w:rPr>
        <w:t xml:space="preserve"> </w:t>
      </w:r>
      <w:r w:rsidR="004E3861">
        <w:rPr>
          <w:rFonts w:hint="cs"/>
          <w:rtl/>
        </w:rPr>
        <w:t xml:space="preserve">בהם עסקנו בעבר בהקשרים שונים </w:t>
      </w:r>
      <w:r w:rsidR="004E3861">
        <w:rPr>
          <w:rFonts w:hint="cs"/>
          <w:sz w:val="18"/>
          <w:szCs w:val="18"/>
          <w:rtl/>
        </w:rPr>
        <w:t>(עיין לדוגמא בדף לפרשת בשלח שנה ד')</w:t>
      </w:r>
      <w:r w:rsidR="004E3861">
        <w:rPr>
          <w:rFonts w:hint="cs"/>
          <w:rtl/>
        </w:rPr>
        <w:t xml:space="preserve">, מובא </w:t>
      </w:r>
      <w:r>
        <w:rPr>
          <w:rFonts w:hint="cs"/>
          <w:rtl/>
        </w:rPr>
        <w:t xml:space="preserve">שהיוצא בימי ניסן ורואה אילנות מלבלבים עליו לברך 'שלא חסר בעולמו כלום, וברא בו בריות </w:t>
      </w:r>
      <w:r w:rsidR="00776A67">
        <w:rPr>
          <w:rFonts w:hint="cs"/>
          <w:rtl/>
        </w:rPr>
        <w:t xml:space="preserve">טובות להתנאות בהם בני אדם', וכך פסק </w:t>
      </w:r>
      <w:r w:rsidR="00776A67" w:rsidRPr="00776A67">
        <w:rPr>
          <w:rFonts w:hint="cs"/>
          <w:b/>
          <w:bCs/>
          <w:rtl/>
        </w:rPr>
        <w:t>השולחן ערוך</w:t>
      </w:r>
      <w:r w:rsidR="00776A67">
        <w:rPr>
          <w:rFonts w:hint="cs"/>
          <w:rtl/>
        </w:rPr>
        <w:t xml:space="preserve"> </w:t>
      </w:r>
      <w:r w:rsidR="00776A67">
        <w:rPr>
          <w:rFonts w:hint="cs"/>
          <w:sz w:val="18"/>
          <w:szCs w:val="18"/>
          <w:rtl/>
        </w:rPr>
        <w:t>(רכו, א)</w:t>
      </w:r>
      <w:r w:rsidR="00B454B8">
        <w:rPr>
          <w:rFonts w:hint="cs"/>
          <w:rtl/>
        </w:rPr>
        <w:t xml:space="preserve"> בעקבות </w:t>
      </w:r>
      <w:r w:rsidR="00B454B8" w:rsidRPr="00B454B8">
        <w:rPr>
          <w:rFonts w:hint="cs"/>
          <w:b/>
          <w:bCs/>
          <w:rtl/>
        </w:rPr>
        <w:t>הרמב''ם והטור</w:t>
      </w:r>
      <w:r w:rsidR="00776A67">
        <w:rPr>
          <w:rFonts w:hint="cs"/>
          <w:rtl/>
        </w:rPr>
        <w:t xml:space="preserve">. </w:t>
      </w:r>
    </w:p>
    <w:p w14:paraId="4A42446F" w14:textId="11E1AFFC" w:rsidR="00E855D0" w:rsidRDefault="00911D1E" w:rsidP="00365327">
      <w:pPr>
        <w:rPr>
          <w:rtl/>
        </w:rPr>
      </w:pPr>
      <w:r>
        <w:rPr>
          <w:rFonts w:hint="cs"/>
          <w:rtl/>
        </w:rPr>
        <w:t>עם בואו</w:t>
      </w:r>
      <w:r w:rsidR="00776A67">
        <w:rPr>
          <w:rFonts w:hint="cs"/>
          <w:rtl/>
        </w:rPr>
        <w:t xml:space="preserve"> של חודש ניסן, נעסוק </w:t>
      </w:r>
      <w:r w:rsidR="000E5548">
        <w:rPr>
          <w:rFonts w:hint="cs"/>
          <w:rtl/>
        </w:rPr>
        <w:t xml:space="preserve">השבוע </w:t>
      </w:r>
      <w:r w:rsidR="00776A67">
        <w:rPr>
          <w:rFonts w:hint="cs"/>
          <w:rtl/>
        </w:rPr>
        <w:t xml:space="preserve">בדיני ברכת האילנות </w:t>
      </w:r>
      <w:r w:rsidR="003B0A00">
        <w:rPr>
          <w:rFonts w:hint="cs"/>
          <w:rtl/>
        </w:rPr>
        <w:t>ו</w:t>
      </w:r>
      <w:r w:rsidR="003E55A0">
        <w:rPr>
          <w:rFonts w:hint="cs"/>
          <w:rtl/>
        </w:rPr>
        <w:t>ב</w:t>
      </w:r>
      <w:r w:rsidR="00776A67">
        <w:rPr>
          <w:rFonts w:hint="cs"/>
          <w:rtl/>
        </w:rPr>
        <w:t>שאלו</w:t>
      </w:r>
      <w:r w:rsidR="00657877">
        <w:rPr>
          <w:rFonts w:hint="cs"/>
          <w:rtl/>
        </w:rPr>
        <w:t>ת:</w:t>
      </w:r>
      <w:r w:rsidR="00776A67">
        <w:rPr>
          <w:rFonts w:hint="cs"/>
          <w:rtl/>
        </w:rPr>
        <w:t xml:space="preserve"> האם כאשר הגמרא כותבת היוצא 'בימי ניסן' כוונתה לניסן בדווקא</w:t>
      </w:r>
      <w:r w:rsidR="00657877">
        <w:rPr>
          <w:rFonts w:hint="cs"/>
          <w:rtl/>
        </w:rPr>
        <w:t xml:space="preserve"> או שאפשר לברך גם בשאר ימות השנה</w:t>
      </w:r>
      <w:r w:rsidR="00BE5BC8">
        <w:rPr>
          <w:rFonts w:hint="cs"/>
          <w:rtl/>
        </w:rPr>
        <w:t xml:space="preserve"> כאשר רואים עצים פורחים</w:t>
      </w:r>
      <w:r w:rsidR="00776A67">
        <w:rPr>
          <w:rFonts w:hint="cs"/>
          <w:rtl/>
        </w:rPr>
        <w:t xml:space="preserve">, </w:t>
      </w:r>
      <w:r w:rsidR="00BA04E2">
        <w:rPr>
          <w:rFonts w:hint="cs"/>
          <w:rtl/>
        </w:rPr>
        <w:t xml:space="preserve">כמה עצים פורחים יש לראות בשביל שיהיה ניתן </w:t>
      </w:r>
      <w:r w:rsidR="00776A67">
        <w:rPr>
          <w:rFonts w:hint="cs"/>
          <w:rtl/>
        </w:rPr>
        <w:t>לברך</w:t>
      </w:r>
      <w:r w:rsidR="003E55A0">
        <w:rPr>
          <w:rFonts w:hint="cs"/>
          <w:rtl/>
        </w:rPr>
        <w:t xml:space="preserve"> </w:t>
      </w:r>
      <w:r w:rsidR="00BA04E2">
        <w:rPr>
          <w:rFonts w:hint="cs"/>
          <w:rtl/>
        </w:rPr>
        <w:t xml:space="preserve">ברכה זו, </w:t>
      </w:r>
      <w:r w:rsidR="003E55A0">
        <w:rPr>
          <w:rFonts w:hint="cs"/>
          <w:rtl/>
        </w:rPr>
        <w:t>ו</w:t>
      </w:r>
      <w:r w:rsidR="00776A67">
        <w:rPr>
          <w:rFonts w:hint="cs"/>
          <w:rtl/>
        </w:rPr>
        <w:t>האם צריך דווקא אילנות מאכל.</w:t>
      </w:r>
    </w:p>
    <w:p w14:paraId="6B483E3F" w14:textId="7DFD4A9C" w:rsidR="00776A67" w:rsidRDefault="00262C47" w:rsidP="00365327">
      <w:pPr>
        <w:rPr>
          <w:b/>
          <w:bCs/>
          <w:u w:val="single"/>
          <w:rtl/>
        </w:rPr>
      </w:pPr>
      <w:r>
        <w:rPr>
          <w:rFonts w:hint="cs"/>
          <w:b/>
          <w:bCs/>
          <w:u w:val="single"/>
          <w:rtl/>
        </w:rPr>
        <w:t>זמן הברכה</w:t>
      </w:r>
    </w:p>
    <w:p w14:paraId="4D88F49E" w14:textId="69CC9245" w:rsidR="002F344D" w:rsidRDefault="00776A67" w:rsidP="00365327">
      <w:pPr>
        <w:rPr>
          <w:rtl/>
        </w:rPr>
      </w:pPr>
      <w:r>
        <w:rPr>
          <w:rFonts w:hint="cs"/>
          <w:rtl/>
        </w:rPr>
        <w:t xml:space="preserve">כפי שראינו בפתיחה, </w:t>
      </w:r>
      <w:r w:rsidR="002F344D">
        <w:rPr>
          <w:rFonts w:hint="cs"/>
          <w:rtl/>
        </w:rPr>
        <w:t xml:space="preserve">הגמרא כותבת שהיוצא בימי ניסן עליו לברך. נחלקו הפוסקים האם הכוונה דווקא </w:t>
      </w:r>
      <w:r w:rsidR="00911D1E">
        <w:rPr>
          <w:rFonts w:hint="cs"/>
          <w:rtl/>
        </w:rPr>
        <w:t>ב</w:t>
      </w:r>
      <w:r w:rsidR="002F344D">
        <w:rPr>
          <w:rFonts w:hint="cs"/>
          <w:rtl/>
        </w:rPr>
        <w:t>ימי ניסן</w:t>
      </w:r>
      <w:r w:rsidR="00E125CA">
        <w:rPr>
          <w:rFonts w:hint="cs"/>
          <w:rtl/>
        </w:rPr>
        <w:t>, או שבכל זמן בו רואים אילנות מלבלבים</w:t>
      </w:r>
      <w:r w:rsidR="00645772">
        <w:rPr>
          <w:rFonts w:hint="cs"/>
          <w:rtl/>
        </w:rPr>
        <w:t xml:space="preserve"> ניתן לברך</w:t>
      </w:r>
      <w:r w:rsidR="00E4187C">
        <w:rPr>
          <w:rFonts w:hint="cs"/>
          <w:rtl/>
        </w:rPr>
        <w:t>, מחלוקת שמשפיעה גם השאלה האם נשים חייבות בברכה זו</w:t>
      </w:r>
      <w:r w:rsidR="002F344D">
        <w:rPr>
          <w:rFonts w:hint="cs"/>
          <w:rtl/>
        </w:rPr>
        <w:t xml:space="preserve">: </w:t>
      </w:r>
    </w:p>
    <w:p w14:paraId="1A1D2373" w14:textId="425591D9" w:rsidR="002F344D" w:rsidRDefault="002F344D" w:rsidP="00A10AFF">
      <w:pPr>
        <w:spacing w:after="80"/>
        <w:rPr>
          <w:rtl/>
        </w:rPr>
      </w:pPr>
      <w:r>
        <w:rPr>
          <w:rFonts w:hint="cs"/>
          <w:rtl/>
        </w:rPr>
        <w:t xml:space="preserve">א. </w:t>
      </w:r>
      <w:r w:rsidRPr="002F344D">
        <w:rPr>
          <w:rFonts w:hint="cs"/>
          <w:b/>
          <w:bCs/>
          <w:rtl/>
        </w:rPr>
        <w:t>החיד''א</w:t>
      </w:r>
      <w:r>
        <w:rPr>
          <w:rFonts w:hint="cs"/>
          <w:rtl/>
        </w:rPr>
        <w:t xml:space="preserve"> </w:t>
      </w:r>
      <w:r>
        <w:rPr>
          <w:rFonts w:hint="cs"/>
          <w:sz w:val="18"/>
          <w:szCs w:val="18"/>
          <w:rtl/>
        </w:rPr>
        <w:t>(</w:t>
      </w:r>
      <w:r w:rsidR="00107374">
        <w:rPr>
          <w:rFonts w:hint="cs"/>
          <w:sz w:val="18"/>
          <w:szCs w:val="18"/>
          <w:rtl/>
        </w:rPr>
        <w:t xml:space="preserve">ברכי יוסף </w:t>
      </w:r>
      <w:r>
        <w:rPr>
          <w:rFonts w:hint="cs"/>
          <w:sz w:val="18"/>
          <w:szCs w:val="18"/>
          <w:rtl/>
        </w:rPr>
        <w:t xml:space="preserve">רכו, ב) </w:t>
      </w:r>
      <w:r w:rsidR="005848BF">
        <w:rPr>
          <w:rFonts w:hint="cs"/>
          <w:b/>
          <w:bCs/>
          <w:rtl/>
        </w:rPr>
        <w:t>ו</w:t>
      </w:r>
      <w:r w:rsidR="005848BF" w:rsidRPr="008D409E">
        <w:rPr>
          <w:rFonts w:hint="cs"/>
          <w:b/>
          <w:bCs/>
          <w:rtl/>
        </w:rPr>
        <w:t>הרב אליהו</w:t>
      </w:r>
      <w:r w:rsidR="005848BF">
        <w:rPr>
          <w:rFonts w:hint="cs"/>
          <w:rtl/>
        </w:rPr>
        <w:t xml:space="preserve"> </w:t>
      </w:r>
      <w:r w:rsidR="005848BF">
        <w:rPr>
          <w:rFonts w:hint="cs"/>
          <w:sz w:val="18"/>
          <w:szCs w:val="18"/>
          <w:rtl/>
        </w:rPr>
        <w:t>(מאמר מרדכי למועדים)</w:t>
      </w:r>
      <w:r w:rsidR="005848BF">
        <w:rPr>
          <w:rFonts w:hint="cs"/>
          <w:sz w:val="18"/>
          <w:szCs w:val="18"/>
          <w:rtl/>
        </w:rPr>
        <w:t xml:space="preserve"> </w:t>
      </w:r>
      <w:r>
        <w:rPr>
          <w:rFonts w:hint="cs"/>
          <w:rtl/>
        </w:rPr>
        <w:t>כתב</w:t>
      </w:r>
      <w:r w:rsidR="005848BF">
        <w:rPr>
          <w:rFonts w:hint="cs"/>
          <w:rtl/>
        </w:rPr>
        <w:t>ו</w:t>
      </w:r>
      <w:r>
        <w:rPr>
          <w:rFonts w:hint="cs"/>
          <w:rtl/>
        </w:rPr>
        <w:t xml:space="preserve">, </w:t>
      </w:r>
      <w:r w:rsidR="00911D1E">
        <w:rPr>
          <w:rFonts w:hint="cs"/>
          <w:rtl/>
        </w:rPr>
        <w:t>ע</w:t>
      </w:r>
      <w:r>
        <w:rPr>
          <w:rFonts w:hint="cs"/>
          <w:rtl/>
        </w:rPr>
        <w:t>ל פי הקבלה</w:t>
      </w:r>
      <w:r w:rsidR="005D4A77">
        <w:rPr>
          <w:rFonts w:hint="cs"/>
          <w:rtl/>
        </w:rPr>
        <w:t xml:space="preserve"> יש עניין</w:t>
      </w:r>
      <w:r w:rsidR="009C626B">
        <w:rPr>
          <w:rFonts w:hint="cs"/>
          <w:rtl/>
        </w:rPr>
        <w:t xml:space="preserve"> לברך דווקא בימי ניסן</w:t>
      </w:r>
      <w:r w:rsidR="00911D1E">
        <w:rPr>
          <w:rFonts w:hint="cs"/>
          <w:rtl/>
        </w:rPr>
        <w:t>.</w:t>
      </w:r>
      <w:r>
        <w:rPr>
          <w:rFonts w:hint="cs"/>
          <w:rtl/>
        </w:rPr>
        <w:t xml:space="preserve"> </w:t>
      </w:r>
      <w:r w:rsidRPr="004916A6">
        <w:rPr>
          <w:rFonts w:hint="cs"/>
          <w:b/>
          <w:bCs/>
          <w:rtl/>
        </w:rPr>
        <w:t>הזוהר</w:t>
      </w:r>
      <w:r>
        <w:rPr>
          <w:rFonts w:hint="cs"/>
          <w:rtl/>
        </w:rPr>
        <w:t xml:space="preserve"> בפרשת בלק </w:t>
      </w:r>
      <w:r>
        <w:rPr>
          <w:rFonts w:hint="cs"/>
          <w:sz w:val="18"/>
          <w:szCs w:val="18"/>
          <w:rtl/>
        </w:rPr>
        <w:t xml:space="preserve">(קצו, ב) </w:t>
      </w:r>
      <w:r>
        <w:rPr>
          <w:rFonts w:hint="cs"/>
          <w:rtl/>
        </w:rPr>
        <w:t>כותב, שבימי ניסן הנשמות מהעולמות העליונים מסתובבות באילנות ובפרדסים, ובזכות שמברכים על האילן מעלים א</w:t>
      </w:r>
      <w:r w:rsidR="00B05BE7">
        <w:rPr>
          <w:rFonts w:hint="cs"/>
          <w:rtl/>
        </w:rPr>
        <w:t>ות</w:t>
      </w:r>
      <w:r w:rsidR="00911D1E">
        <w:rPr>
          <w:rFonts w:hint="cs"/>
          <w:rtl/>
        </w:rPr>
        <w:t>ן</w:t>
      </w:r>
      <w:r>
        <w:rPr>
          <w:rFonts w:hint="cs"/>
          <w:rtl/>
        </w:rPr>
        <w:t xml:space="preserve"> - לכן דווקא בניסן מותר לברך</w:t>
      </w:r>
      <w:r w:rsidR="005848BF">
        <w:rPr>
          <w:rFonts w:hint="cs"/>
          <w:rtl/>
        </w:rPr>
        <w:t xml:space="preserve">, </w:t>
      </w:r>
      <w:r w:rsidR="00CA369B" w:rsidRPr="005848BF">
        <w:rPr>
          <w:rFonts w:hint="cs"/>
          <w:rtl/>
        </w:rPr>
        <w:t>ואם עבר ניסן יאמר את הברכה בלא שם ה'</w:t>
      </w:r>
      <w:r>
        <w:rPr>
          <w:rFonts w:hint="cs"/>
          <w:rtl/>
        </w:rPr>
        <w:t>.</w:t>
      </w:r>
      <w:r w:rsidR="008C5C95">
        <w:rPr>
          <w:rFonts w:hint="cs"/>
          <w:rtl/>
        </w:rPr>
        <w:t xml:space="preserve"> ובלשון החיד''א:</w:t>
      </w:r>
    </w:p>
    <w:p w14:paraId="67C8FBEF" w14:textId="4AB29CE2" w:rsidR="00775FA7" w:rsidRDefault="00775FA7" w:rsidP="00A10AFF">
      <w:pPr>
        <w:spacing w:after="80"/>
        <w:ind w:left="720"/>
        <w:rPr>
          <w:rtl/>
        </w:rPr>
      </w:pPr>
      <w:r>
        <w:rPr>
          <w:rFonts w:cs="Arial" w:hint="cs"/>
          <w:rtl/>
        </w:rPr>
        <w:t>''</w:t>
      </w:r>
      <w:r w:rsidRPr="00775FA7">
        <w:rPr>
          <w:rFonts w:cs="Arial"/>
          <w:rtl/>
        </w:rPr>
        <w:t>והרב צידה לדרך מאמר א' סוף כלל ג' כתב</w:t>
      </w:r>
      <w:r>
        <w:rPr>
          <w:rFonts w:cs="Arial" w:hint="cs"/>
          <w:rtl/>
        </w:rPr>
        <w:t>,</w:t>
      </w:r>
      <w:r w:rsidRPr="00775FA7">
        <w:rPr>
          <w:rFonts w:cs="Arial"/>
          <w:rtl/>
        </w:rPr>
        <w:t xml:space="preserve"> וכן אם ראה אילנות פורחות בחדש אדר. ואני שמעתי דברכה זו על דרך האמת שייכא דו</w:t>
      </w:r>
      <w:r>
        <w:rPr>
          <w:rFonts w:cs="Arial" w:hint="cs"/>
          <w:rtl/>
        </w:rPr>
        <w:t>ו</w:t>
      </w:r>
      <w:r w:rsidRPr="00775FA7">
        <w:rPr>
          <w:rFonts w:cs="Arial"/>
          <w:rtl/>
        </w:rPr>
        <w:t xml:space="preserve">קא לימי ניסן. </w:t>
      </w:r>
      <w:r>
        <w:rPr>
          <w:rFonts w:cs="Arial" w:hint="cs"/>
          <w:rtl/>
        </w:rPr>
        <w:t xml:space="preserve">וכפי זה נראה לומר, </w:t>
      </w:r>
      <w:r w:rsidRPr="00775FA7">
        <w:rPr>
          <w:rFonts w:cs="Arial"/>
          <w:rtl/>
        </w:rPr>
        <w:t>דגם על פרחי שקדים יכול לברך בימי ניסן, והכי חזינן לרבנן קשישאי ברוכי מברכי על פרחי שקדים בימי ניסן. וכן עיקר.</w:t>
      </w:r>
      <w:r>
        <w:rPr>
          <w:rFonts w:cs="Arial" w:hint="cs"/>
          <w:rtl/>
        </w:rPr>
        <w:t>''</w:t>
      </w:r>
    </w:p>
    <w:p w14:paraId="6AE5A248" w14:textId="7ECB49E1" w:rsidR="00462C52" w:rsidRDefault="002F344D" w:rsidP="00A10AFF">
      <w:pPr>
        <w:spacing w:after="80"/>
        <w:rPr>
          <w:rtl/>
        </w:rPr>
      </w:pPr>
      <w:r>
        <w:rPr>
          <w:rFonts w:hint="cs"/>
          <w:rtl/>
        </w:rPr>
        <w:t>ב.</w:t>
      </w:r>
      <w:r w:rsidR="00871382">
        <w:rPr>
          <w:rFonts w:hint="cs"/>
          <w:rtl/>
        </w:rPr>
        <w:t xml:space="preserve"> </w:t>
      </w:r>
      <w:r w:rsidRPr="002F344D">
        <w:rPr>
          <w:rFonts w:hint="cs"/>
          <w:b/>
          <w:bCs/>
          <w:rtl/>
        </w:rPr>
        <w:t>האשכול</w:t>
      </w:r>
      <w:r>
        <w:rPr>
          <w:rFonts w:hint="cs"/>
          <w:rtl/>
        </w:rPr>
        <w:t xml:space="preserve"> </w:t>
      </w:r>
      <w:r>
        <w:rPr>
          <w:rFonts w:hint="cs"/>
          <w:sz w:val="18"/>
          <w:szCs w:val="18"/>
          <w:rtl/>
        </w:rPr>
        <w:t xml:space="preserve">(עמ' סח) </w:t>
      </w:r>
      <w:r w:rsidR="0018337D">
        <w:rPr>
          <w:rFonts w:hint="cs"/>
          <w:b/>
          <w:bCs/>
          <w:rtl/>
        </w:rPr>
        <w:t>ו</w:t>
      </w:r>
      <w:r w:rsidRPr="002F344D">
        <w:rPr>
          <w:rFonts w:hint="cs"/>
          <w:b/>
          <w:bCs/>
          <w:rtl/>
        </w:rPr>
        <w:t>הריטב''א</w:t>
      </w:r>
      <w:r>
        <w:rPr>
          <w:rFonts w:hint="cs"/>
          <w:rtl/>
        </w:rPr>
        <w:t xml:space="preserve"> </w:t>
      </w:r>
      <w:r>
        <w:rPr>
          <w:rFonts w:hint="cs"/>
          <w:sz w:val="18"/>
          <w:szCs w:val="18"/>
          <w:rtl/>
        </w:rPr>
        <w:t xml:space="preserve">(ראש השנה יא ע''ב ד''ה הא) </w:t>
      </w:r>
      <w:r w:rsidR="00871382">
        <w:rPr>
          <w:rFonts w:hint="cs"/>
          <w:rtl/>
        </w:rPr>
        <w:t>שצעדו בדרך הפשט</w:t>
      </w:r>
      <w:r w:rsidR="0040538A">
        <w:rPr>
          <w:rFonts w:hint="cs"/>
          <w:rtl/>
        </w:rPr>
        <w:t>,</w:t>
      </w:r>
      <w:r w:rsidR="00871382">
        <w:rPr>
          <w:rFonts w:hint="cs"/>
          <w:rtl/>
        </w:rPr>
        <w:t xml:space="preserve"> </w:t>
      </w:r>
      <w:r>
        <w:rPr>
          <w:rFonts w:hint="cs"/>
          <w:rtl/>
        </w:rPr>
        <w:t xml:space="preserve">חלקו </w:t>
      </w:r>
      <w:r w:rsidR="00911D1E">
        <w:rPr>
          <w:rFonts w:hint="cs"/>
          <w:rtl/>
        </w:rPr>
        <w:t>ו</w:t>
      </w:r>
      <w:r>
        <w:rPr>
          <w:rFonts w:hint="cs"/>
          <w:rtl/>
        </w:rPr>
        <w:t>כתבו</w:t>
      </w:r>
      <w:r w:rsidR="00470386">
        <w:rPr>
          <w:rFonts w:hint="cs"/>
          <w:rtl/>
        </w:rPr>
        <w:t>,</w:t>
      </w:r>
      <w:r>
        <w:rPr>
          <w:rFonts w:hint="cs"/>
          <w:rtl/>
        </w:rPr>
        <w:t xml:space="preserve"> </w:t>
      </w:r>
      <w:r w:rsidR="00462C52">
        <w:rPr>
          <w:rFonts w:hint="cs"/>
          <w:rtl/>
        </w:rPr>
        <w:t xml:space="preserve">שהגמרא כתבה היוצא בימי ניסן, </w:t>
      </w:r>
      <w:r w:rsidR="00E27C7F">
        <w:rPr>
          <w:rFonts w:hint="cs"/>
          <w:rtl/>
        </w:rPr>
        <w:t>מפני</w:t>
      </w:r>
      <w:r w:rsidR="00462C52">
        <w:rPr>
          <w:rFonts w:hint="cs"/>
          <w:rtl/>
        </w:rPr>
        <w:t xml:space="preserve"> ש</w:t>
      </w:r>
      <w:r>
        <w:rPr>
          <w:rFonts w:hint="cs"/>
          <w:rtl/>
        </w:rPr>
        <w:t>בארץ ישראל ובסביבתה העצים פורחים ב</w:t>
      </w:r>
      <w:r w:rsidR="00911D1E">
        <w:rPr>
          <w:rFonts w:hint="cs"/>
          <w:rtl/>
        </w:rPr>
        <w:t>תקופת</w:t>
      </w:r>
      <w:r>
        <w:rPr>
          <w:rFonts w:hint="cs"/>
          <w:rtl/>
        </w:rPr>
        <w:t xml:space="preserve"> ניסן, אבל </w:t>
      </w:r>
      <w:r w:rsidR="00462C52">
        <w:rPr>
          <w:rFonts w:hint="cs"/>
          <w:rtl/>
        </w:rPr>
        <w:t xml:space="preserve">למעשה </w:t>
      </w:r>
      <w:r>
        <w:rPr>
          <w:rFonts w:hint="cs"/>
          <w:rtl/>
        </w:rPr>
        <w:t>אפשר לברך בכל זמן</w:t>
      </w:r>
      <w:r w:rsidR="00462C52">
        <w:rPr>
          <w:rFonts w:hint="cs"/>
          <w:rtl/>
        </w:rPr>
        <w:t xml:space="preserve"> בו האילנות פורחים</w:t>
      </w:r>
      <w:r w:rsidR="00871382">
        <w:rPr>
          <w:rFonts w:hint="cs"/>
          <w:rtl/>
        </w:rPr>
        <w:t>, ואין הגבלה לזמן מסויים</w:t>
      </w:r>
      <w:r>
        <w:rPr>
          <w:rFonts w:hint="cs"/>
          <w:rtl/>
        </w:rPr>
        <w:t xml:space="preserve">. </w:t>
      </w:r>
    </w:p>
    <w:p w14:paraId="068F8425" w14:textId="1F0140DA" w:rsidR="00462C52" w:rsidRDefault="002F344D" w:rsidP="00A10AFF">
      <w:pPr>
        <w:spacing w:after="80"/>
        <w:rPr>
          <w:rtl/>
        </w:rPr>
      </w:pPr>
      <w:r>
        <w:rPr>
          <w:rFonts w:hint="cs"/>
          <w:rtl/>
        </w:rPr>
        <w:t xml:space="preserve">בדרך זו הלכו רוב הפוסקים, וביניהם </w:t>
      </w:r>
      <w:r w:rsidR="00462C52" w:rsidRPr="00462C52">
        <w:rPr>
          <w:rFonts w:hint="cs"/>
          <w:b/>
          <w:bCs/>
          <w:rtl/>
        </w:rPr>
        <w:t>האליה רבה</w:t>
      </w:r>
      <w:r w:rsidR="00462C52">
        <w:rPr>
          <w:rFonts w:hint="cs"/>
          <w:b/>
          <w:bCs/>
          <w:rtl/>
        </w:rPr>
        <w:t xml:space="preserve"> </w:t>
      </w:r>
      <w:r w:rsidR="00462C52" w:rsidRPr="00462C52">
        <w:rPr>
          <w:rFonts w:hint="cs"/>
          <w:sz w:val="18"/>
          <w:szCs w:val="18"/>
          <w:rtl/>
        </w:rPr>
        <w:t>(רכו, א)</w:t>
      </w:r>
      <w:r w:rsidR="00462C52" w:rsidRPr="00462C52">
        <w:rPr>
          <w:rFonts w:hint="cs"/>
          <w:b/>
          <w:bCs/>
          <w:rtl/>
        </w:rPr>
        <w:t>, החיי אדם</w:t>
      </w:r>
      <w:r w:rsidR="00462C52">
        <w:rPr>
          <w:rFonts w:hint="cs"/>
          <w:b/>
          <w:bCs/>
          <w:rtl/>
        </w:rPr>
        <w:t xml:space="preserve"> </w:t>
      </w:r>
      <w:r w:rsidR="00462C52" w:rsidRPr="00462C52">
        <w:rPr>
          <w:rFonts w:hint="cs"/>
          <w:sz w:val="18"/>
          <w:szCs w:val="18"/>
          <w:rtl/>
        </w:rPr>
        <w:t>(סג, ב)</w:t>
      </w:r>
      <w:r w:rsidR="00462C52" w:rsidRPr="00682330">
        <w:rPr>
          <w:rFonts w:hint="cs"/>
          <w:rtl/>
        </w:rPr>
        <w:t>,</w:t>
      </w:r>
      <w:r w:rsidR="00462C52" w:rsidRPr="00462C52">
        <w:rPr>
          <w:rFonts w:hint="cs"/>
          <w:b/>
          <w:bCs/>
          <w:rtl/>
        </w:rPr>
        <w:t xml:space="preserve"> והמשנה ברורה</w:t>
      </w:r>
      <w:r w:rsidR="00462C52">
        <w:rPr>
          <w:rFonts w:hint="cs"/>
          <w:rtl/>
        </w:rPr>
        <w:t xml:space="preserve"> </w:t>
      </w:r>
      <w:r w:rsidR="00462C52">
        <w:rPr>
          <w:rFonts w:hint="cs"/>
          <w:sz w:val="18"/>
          <w:szCs w:val="18"/>
          <w:rtl/>
        </w:rPr>
        <w:t>(שם, א)</w:t>
      </w:r>
      <w:r w:rsidR="00462C52">
        <w:rPr>
          <w:rFonts w:hint="cs"/>
          <w:rtl/>
        </w:rPr>
        <w:t xml:space="preserve">. אמנם כפי שכתב </w:t>
      </w:r>
      <w:r w:rsidR="00462C52" w:rsidRPr="008D409E">
        <w:rPr>
          <w:rFonts w:hint="cs"/>
          <w:b/>
          <w:bCs/>
          <w:rtl/>
        </w:rPr>
        <w:t>הרב עובדיה</w:t>
      </w:r>
      <w:r w:rsidR="00462C52">
        <w:rPr>
          <w:rFonts w:hint="cs"/>
          <w:rtl/>
        </w:rPr>
        <w:t xml:space="preserve"> </w:t>
      </w:r>
      <w:r w:rsidR="00462C52">
        <w:rPr>
          <w:rFonts w:hint="cs"/>
          <w:sz w:val="18"/>
          <w:szCs w:val="18"/>
          <w:rtl/>
        </w:rPr>
        <w:t>(יחוה דעת א, א)</w:t>
      </w:r>
      <w:r w:rsidR="004916A6" w:rsidRPr="004916A6">
        <w:rPr>
          <w:rFonts w:hint="cs"/>
          <w:rtl/>
        </w:rPr>
        <w:t>,</w:t>
      </w:r>
      <w:r w:rsidR="00462C52">
        <w:rPr>
          <w:rFonts w:hint="cs"/>
          <w:sz w:val="18"/>
          <w:szCs w:val="18"/>
          <w:rtl/>
        </w:rPr>
        <w:t xml:space="preserve"> </w:t>
      </w:r>
      <w:r w:rsidR="003144FA">
        <w:rPr>
          <w:rFonts w:hint="cs"/>
          <w:rtl/>
        </w:rPr>
        <w:t>נראה ש</w:t>
      </w:r>
      <w:r w:rsidR="00462C52">
        <w:rPr>
          <w:rFonts w:hint="cs"/>
          <w:rtl/>
        </w:rPr>
        <w:t xml:space="preserve">לכתחילה עדיף לברך בניסן כדי לצאת ידי חובה לפי כל השיטות, אך </w:t>
      </w:r>
      <w:r w:rsidR="008D409E">
        <w:rPr>
          <w:rFonts w:hint="cs"/>
          <w:rtl/>
        </w:rPr>
        <w:t xml:space="preserve">למעשה </w:t>
      </w:r>
      <w:r w:rsidR="00462C52">
        <w:rPr>
          <w:rFonts w:hint="cs"/>
          <w:rtl/>
        </w:rPr>
        <w:t>מי ששכח - יכול לברך בחודשים הבאים</w:t>
      </w:r>
      <w:r w:rsidR="008D409E">
        <w:rPr>
          <w:rFonts w:hint="cs"/>
          <w:rtl/>
        </w:rPr>
        <w:t xml:space="preserve"> (ואין צריך לחשוש לדעת המקובלים הסוברים שאין לברך)</w:t>
      </w:r>
      <w:r w:rsidR="008C5C95">
        <w:rPr>
          <w:rFonts w:hint="cs"/>
          <w:rtl/>
        </w:rPr>
        <w:t>.</w:t>
      </w:r>
    </w:p>
    <w:p w14:paraId="0E4B5F2F" w14:textId="5ADF0B46" w:rsidR="003F6B53" w:rsidRPr="003F6B53" w:rsidRDefault="003F6B53" w:rsidP="00A10AFF">
      <w:pPr>
        <w:spacing w:after="80"/>
        <w:rPr>
          <w:u w:val="single"/>
          <w:rtl/>
        </w:rPr>
      </w:pPr>
      <w:r w:rsidRPr="003F6B53">
        <w:rPr>
          <w:rFonts w:hint="cs"/>
          <w:u w:val="single"/>
          <w:rtl/>
        </w:rPr>
        <w:t>חיוב נשים בברכה</w:t>
      </w:r>
    </w:p>
    <w:p w14:paraId="3B5587FF" w14:textId="21A33C41" w:rsidR="00776A67" w:rsidRDefault="00462C52" w:rsidP="00A10AFF">
      <w:pPr>
        <w:spacing w:after="80"/>
        <w:rPr>
          <w:rtl/>
        </w:rPr>
      </w:pPr>
      <w:r>
        <w:rPr>
          <w:rFonts w:hint="cs"/>
          <w:rtl/>
        </w:rPr>
        <w:t xml:space="preserve">למחלוקת </w:t>
      </w:r>
      <w:r w:rsidR="00B05BE7">
        <w:rPr>
          <w:rFonts w:hint="cs"/>
          <w:rtl/>
        </w:rPr>
        <w:t xml:space="preserve">על </w:t>
      </w:r>
      <w:r>
        <w:rPr>
          <w:rFonts w:hint="cs"/>
          <w:rtl/>
        </w:rPr>
        <w:t>זמן הברכה יש השלכה נוספת</w:t>
      </w:r>
      <w:r w:rsidR="006B6E4A">
        <w:rPr>
          <w:rFonts w:hint="cs"/>
          <w:rtl/>
        </w:rPr>
        <w:t>,</w:t>
      </w:r>
      <w:r>
        <w:rPr>
          <w:rFonts w:hint="cs"/>
          <w:rtl/>
        </w:rPr>
        <w:t xml:space="preserve"> האם נשים חייבות בברכת האילנות. </w:t>
      </w:r>
      <w:r w:rsidR="00244B0A">
        <w:rPr>
          <w:rFonts w:hint="cs"/>
          <w:rtl/>
        </w:rPr>
        <w:t xml:space="preserve">כפי שראינו בעבר </w:t>
      </w:r>
      <w:r w:rsidR="00244B0A">
        <w:rPr>
          <w:rFonts w:hint="cs"/>
          <w:sz w:val="18"/>
          <w:szCs w:val="18"/>
          <w:rtl/>
        </w:rPr>
        <w:t>(סוכות שנה ב')</w:t>
      </w:r>
      <w:r w:rsidR="00244B0A">
        <w:rPr>
          <w:rFonts w:hint="cs"/>
          <w:rtl/>
        </w:rPr>
        <w:t xml:space="preserve">, </w:t>
      </w:r>
      <w:r>
        <w:rPr>
          <w:rFonts w:hint="cs"/>
          <w:rtl/>
        </w:rPr>
        <w:t xml:space="preserve">הגמרא במסכת קידושין </w:t>
      </w:r>
      <w:r w:rsidRPr="00462C52">
        <w:rPr>
          <w:rFonts w:hint="cs"/>
          <w:sz w:val="18"/>
          <w:szCs w:val="18"/>
          <w:rtl/>
        </w:rPr>
        <w:t>(כט ע''א)</w:t>
      </w:r>
      <w:r>
        <w:rPr>
          <w:rFonts w:hint="cs"/>
          <w:sz w:val="18"/>
          <w:szCs w:val="18"/>
          <w:rtl/>
        </w:rPr>
        <w:t xml:space="preserve"> </w:t>
      </w:r>
      <w:r>
        <w:rPr>
          <w:rFonts w:hint="cs"/>
          <w:rtl/>
        </w:rPr>
        <w:t>פוסקת שנשים פטורות מכל מצוות</w:t>
      </w:r>
      <w:r w:rsidR="003549DF">
        <w:rPr>
          <w:rFonts w:hint="cs"/>
          <w:rtl/>
        </w:rPr>
        <w:t xml:space="preserve"> עשה</w:t>
      </w:r>
      <w:r>
        <w:rPr>
          <w:rFonts w:hint="cs"/>
          <w:rtl/>
        </w:rPr>
        <w:t xml:space="preserve"> שהזמן גרמא, כלומר מכל המצוות שנוהגות בזמן מיוחד</w:t>
      </w:r>
      <w:r w:rsidR="00DA3211">
        <w:rPr>
          <w:rFonts w:hint="cs"/>
          <w:rtl/>
        </w:rPr>
        <w:t xml:space="preserve">. </w:t>
      </w:r>
      <w:r w:rsidR="00244B0A">
        <w:rPr>
          <w:rFonts w:hint="cs"/>
          <w:rtl/>
        </w:rPr>
        <w:t>וכמו</w:t>
      </w:r>
      <w:r>
        <w:rPr>
          <w:rFonts w:hint="cs"/>
          <w:rtl/>
        </w:rPr>
        <w:t xml:space="preserve"> נטילת לולב </w:t>
      </w:r>
      <w:r w:rsidR="00DE2764">
        <w:rPr>
          <w:rFonts w:hint="cs"/>
          <w:rtl/>
        </w:rPr>
        <w:t>ה</w:t>
      </w:r>
      <w:r>
        <w:rPr>
          <w:rFonts w:hint="cs"/>
          <w:rtl/>
        </w:rPr>
        <w:t>מתבצעת דווקא בסוכות.</w:t>
      </w:r>
    </w:p>
    <w:p w14:paraId="5B4F0419" w14:textId="282D37B2" w:rsidR="008B7886" w:rsidRDefault="0093213C" w:rsidP="00A10AFF">
      <w:pPr>
        <w:spacing w:after="80"/>
        <w:rPr>
          <w:rtl/>
        </w:rPr>
      </w:pPr>
      <w:r>
        <w:rPr>
          <w:rFonts w:hint="cs"/>
          <w:rtl/>
        </w:rPr>
        <w:t xml:space="preserve">משום כך, </w:t>
      </w:r>
      <w:r w:rsidR="008B7886">
        <w:rPr>
          <w:rFonts w:hint="cs"/>
          <w:rtl/>
        </w:rPr>
        <w:t xml:space="preserve">אם את ברכת האילנות אפשר לברך כל השנה ולאו דווקא בניסן, ממילא היא לא נחשבת מצוות עשה שהזמן גרמא, וגם נשים </w:t>
      </w:r>
      <w:r w:rsidR="00911D1E">
        <w:rPr>
          <w:rFonts w:hint="cs"/>
          <w:rtl/>
        </w:rPr>
        <w:t>תהיינה</w:t>
      </w:r>
      <w:r w:rsidR="008B7886">
        <w:rPr>
          <w:rFonts w:hint="cs"/>
          <w:rtl/>
        </w:rPr>
        <w:t xml:space="preserve"> חייבות בה, וכן פסקו </w:t>
      </w:r>
      <w:r w:rsidR="008B7886" w:rsidRPr="008B7886">
        <w:rPr>
          <w:rFonts w:hint="cs"/>
          <w:b/>
          <w:bCs/>
          <w:rtl/>
        </w:rPr>
        <w:t xml:space="preserve">הרב פרנק </w:t>
      </w:r>
      <w:r w:rsidR="008B7886" w:rsidRPr="008B7886">
        <w:rPr>
          <w:rFonts w:hint="cs"/>
          <w:sz w:val="18"/>
          <w:szCs w:val="18"/>
          <w:rtl/>
        </w:rPr>
        <w:t>(הר צבי א, קיח)</w:t>
      </w:r>
      <w:r w:rsidR="008B7886">
        <w:rPr>
          <w:rFonts w:hint="cs"/>
          <w:b/>
          <w:bCs/>
          <w:sz w:val="18"/>
          <w:szCs w:val="18"/>
          <w:rtl/>
        </w:rPr>
        <w:t xml:space="preserve"> </w:t>
      </w:r>
      <w:r w:rsidR="008B7886" w:rsidRPr="008B7886">
        <w:rPr>
          <w:rFonts w:hint="cs"/>
          <w:b/>
          <w:bCs/>
          <w:rtl/>
        </w:rPr>
        <w:t>והרב עובדיה</w:t>
      </w:r>
      <w:r w:rsidR="008B7886">
        <w:rPr>
          <w:rFonts w:hint="cs"/>
          <w:sz w:val="18"/>
          <w:szCs w:val="18"/>
          <w:rtl/>
        </w:rPr>
        <w:t xml:space="preserve"> (חזון עובדיה פסח)</w:t>
      </w:r>
      <w:r w:rsidR="008B7886">
        <w:rPr>
          <w:rFonts w:hint="cs"/>
          <w:rtl/>
        </w:rPr>
        <w:t xml:space="preserve">. לעומת זאת לדעת </w:t>
      </w:r>
      <w:r w:rsidR="008B7886" w:rsidRPr="00B05BE7">
        <w:rPr>
          <w:rFonts w:hint="cs"/>
          <w:b/>
          <w:bCs/>
          <w:rtl/>
        </w:rPr>
        <w:t>הרב</w:t>
      </w:r>
      <w:r w:rsidR="008B7886">
        <w:rPr>
          <w:rFonts w:hint="cs"/>
          <w:rtl/>
        </w:rPr>
        <w:t xml:space="preserve"> </w:t>
      </w:r>
      <w:r w:rsidR="008B7886" w:rsidRPr="00B05BE7">
        <w:rPr>
          <w:rFonts w:hint="cs"/>
          <w:b/>
          <w:bCs/>
          <w:rtl/>
        </w:rPr>
        <w:t>אליהו</w:t>
      </w:r>
      <w:r w:rsidR="008B7886">
        <w:rPr>
          <w:rFonts w:hint="cs"/>
          <w:rtl/>
        </w:rPr>
        <w:t>, כפי שראינו סובר שברכת האילנות נוהגת רק בימי ניסן - אשה פטורה מלברך ברכה זו, וככל מצוות עשה שהזמן גרמא</w:t>
      </w:r>
      <w:r w:rsidR="004916A6">
        <w:rPr>
          <w:rStyle w:val="a9"/>
          <w:rtl/>
        </w:rPr>
        <w:footnoteReference w:id="2"/>
      </w:r>
      <w:r w:rsidR="008B7886">
        <w:rPr>
          <w:rFonts w:hint="cs"/>
          <w:rtl/>
        </w:rPr>
        <w:t>.</w:t>
      </w:r>
    </w:p>
    <w:p w14:paraId="015D1159" w14:textId="77777777" w:rsidR="004D287B" w:rsidRPr="004D287B" w:rsidRDefault="004D287B" w:rsidP="00A10AFF">
      <w:pPr>
        <w:spacing w:after="80"/>
        <w:rPr>
          <w:u w:val="single"/>
          <w:rtl/>
        </w:rPr>
      </w:pPr>
      <w:r>
        <w:rPr>
          <w:rFonts w:hint="cs"/>
          <w:u w:val="single"/>
          <w:rtl/>
        </w:rPr>
        <w:t>ברכת האילנות בשבת</w:t>
      </w:r>
    </w:p>
    <w:p w14:paraId="6A6F23C6" w14:textId="146C649D" w:rsidR="008B7886" w:rsidRDefault="004D287B" w:rsidP="00A10AFF">
      <w:pPr>
        <w:spacing w:after="80"/>
        <w:rPr>
          <w:rtl/>
        </w:rPr>
      </w:pPr>
      <w:r>
        <w:rPr>
          <w:rFonts w:hint="cs"/>
          <w:rtl/>
        </w:rPr>
        <w:t xml:space="preserve">שאלה נוספת שדנו בה הפוסקים ביחס לזמן הברכה היא, האם מותר לברך את ברכת האילנות בשבת. </w:t>
      </w:r>
      <w:r w:rsidR="001F0337">
        <w:rPr>
          <w:rFonts w:hint="cs"/>
          <w:rtl/>
        </w:rPr>
        <w:t xml:space="preserve">הגמרא במסכת סוכה </w:t>
      </w:r>
      <w:r w:rsidR="001F0337" w:rsidRPr="001F0337">
        <w:rPr>
          <w:rFonts w:hint="cs"/>
          <w:sz w:val="18"/>
          <w:szCs w:val="18"/>
          <w:rtl/>
        </w:rPr>
        <w:t>(לז ע''ב)</w:t>
      </w:r>
      <w:r w:rsidR="001F0337">
        <w:rPr>
          <w:rFonts w:hint="cs"/>
          <w:sz w:val="16"/>
          <w:szCs w:val="16"/>
          <w:rtl/>
        </w:rPr>
        <w:t xml:space="preserve"> </w:t>
      </w:r>
      <w:r w:rsidR="001F0337">
        <w:rPr>
          <w:rFonts w:hint="cs"/>
          <w:rtl/>
        </w:rPr>
        <w:t>כותבת, שאין איסור להריח הדס המחובר לקרקע בשבת, מכיוון שכוונת האדם להריחו</w:t>
      </w:r>
      <w:r w:rsidR="00B54F40">
        <w:rPr>
          <w:rFonts w:hint="cs"/>
          <w:rtl/>
        </w:rPr>
        <w:t xml:space="preserve">, </w:t>
      </w:r>
      <w:r w:rsidR="001F0337">
        <w:rPr>
          <w:rFonts w:hint="cs"/>
          <w:rtl/>
        </w:rPr>
        <w:t xml:space="preserve">ורצונו </w:t>
      </w:r>
      <w:r w:rsidR="00B54F40">
        <w:rPr>
          <w:rFonts w:hint="cs"/>
          <w:rtl/>
        </w:rPr>
        <w:t>להריח מתקיים גם בלי לתלוש א ההדס ו</w:t>
      </w:r>
      <w:r w:rsidR="001F0337">
        <w:rPr>
          <w:rFonts w:hint="cs"/>
          <w:rtl/>
        </w:rPr>
        <w:t>אין חשש שיבוא לתולשו (</w:t>
      </w:r>
      <w:r w:rsidR="00B54F40">
        <w:rPr>
          <w:rFonts w:hint="cs"/>
          <w:rtl/>
        </w:rPr>
        <w:t>ובניגוד ל</w:t>
      </w:r>
      <w:r w:rsidR="001F0337">
        <w:rPr>
          <w:rFonts w:hint="cs"/>
          <w:rtl/>
        </w:rPr>
        <w:t xml:space="preserve">אתרוג, </w:t>
      </w:r>
      <w:r w:rsidR="00B54F40">
        <w:rPr>
          <w:rFonts w:hint="cs"/>
          <w:rtl/>
        </w:rPr>
        <w:t>ש</w:t>
      </w:r>
      <w:r w:rsidR="001F0337">
        <w:rPr>
          <w:rFonts w:hint="cs"/>
          <w:rtl/>
        </w:rPr>
        <w:t>יש חשש שיבוא לתל</w:t>
      </w:r>
      <w:r w:rsidR="00937944">
        <w:rPr>
          <w:rFonts w:hint="cs"/>
          <w:rtl/>
        </w:rPr>
        <w:t>ו</w:t>
      </w:r>
      <w:r w:rsidR="001F0337">
        <w:rPr>
          <w:rFonts w:hint="cs"/>
          <w:rtl/>
        </w:rPr>
        <w:t>ש אותו על מנת לאוכלו).</w:t>
      </w:r>
    </w:p>
    <w:p w14:paraId="44BC55B9" w14:textId="61E2BD4F" w:rsidR="00854820" w:rsidRDefault="00E310BB" w:rsidP="00A10AFF">
      <w:pPr>
        <w:spacing w:after="80"/>
        <w:rPr>
          <w:rtl/>
        </w:rPr>
      </w:pPr>
      <w:r>
        <w:rPr>
          <w:rFonts w:hint="cs"/>
          <w:rtl/>
        </w:rPr>
        <w:t xml:space="preserve">א. </w:t>
      </w:r>
      <w:r w:rsidR="00451FA8" w:rsidRPr="00B01A10">
        <w:rPr>
          <w:rFonts w:hint="cs"/>
          <w:b/>
          <w:bCs/>
          <w:rtl/>
        </w:rPr>
        <w:t>הגרש''ז אויערבך</w:t>
      </w:r>
      <w:r w:rsidR="00451FA8">
        <w:rPr>
          <w:rFonts w:hint="cs"/>
          <w:rtl/>
        </w:rPr>
        <w:t xml:space="preserve"> </w:t>
      </w:r>
      <w:r w:rsidR="00451FA8">
        <w:rPr>
          <w:rFonts w:hint="cs"/>
          <w:sz w:val="18"/>
          <w:szCs w:val="18"/>
          <w:rtl/>
        </w:rPr>
        <w:t>(הליכות שלמה תפילה כג)</w:t>
      </w:r>
      <w:r w:rsidR="00451FA8">
        <w:rPr>
          <w:rFonts w:hint="cs"/>
          <w:rtl/>
        </w:rPr>
        <w:t xml:space="preserve">, </w:t>
      </w:r>
      <w:r w:rsidR="00451FA8" w:rsidRPr="00B01A10">
        <w:rPr>
          <w:rFonts w:hint="cs"/>
          <w:b/>
          <w:bCs/>
          <w:rtl/>
        </w:rPr>
        <w:t>הרב עובדיה</w:t>
      </w:r>
      <w:r w:rsidR="00451FA8">
        <w:rPr>
          <w:rFonts w:hint="cs"/>
          <w:rtl/>
        </w:rPr>
        <w:t xml:space="preserve"> </w:t>
      </w:r>
      <w:r w:rsidR="00451FA8">
        <w:rPr>
          <w:rFonts w:hint="cs"/>
          <w:sz w:val="18"/>
          <w:szCs w:val="18"/>
          <w:rtl/>
        </w:rPr>
        <w:t xml:space="preserve">(יחוה דעת א, ב) </w:t>
      </w:r>
      <w:r w:rsidR="00451FA8">
        <w:rPr>
          <w:rFonts w:hint="cs"/>
          <w:rtl/>
        </w:rPr>
        <w:t>נקטו</w:t>
      </w:r>
      <w:r w:rsidR="00470386">
        <w:rPr>
          <w:rFonts w:hint="cs"/>
          <w:rtl/>
        </w:rPr>
        <w:t>,</w:t>
      </w:r>
      <w:r w:rsidR="00911D1E">
        <w:rPr>
          <w:rFonts w:hint="cs"/>
          <w:rtl/>
        </w:rPr>
        <w:t xml:space="preserve"> שכשם</w:t>
      </w:r>
      <w:r>
        <w:rPr>
          <w:rFonts w:hint="cs"/>
          <w:rtl/>
        </w:rPr>
        <w:t xml:space="preserve"> </w:t>
      </w:r>
      <w:r w:rsidR="00470386">
        <w:rPr>
          <w:rFonts w:hint="cs"/>
          <w:rtl/>
        </w:rPr>
        <w:t>ש</w:t>
      </w:r>
      <w:r>
        <w:rPr>
          <w:rFonts w:hint="cs"/>
          <w:rtl/>
        </w:rPr>
        <w:t xml:space="preserve">לא חוששים שמא יבואו לקטוף את ההדס כאשר מריחים </w:t>
      </w:r>
      <w:r w:rsidR="00B27911">
        <w:rPr>
          <w:rFonts w:hint="cs"/>
          <w:rtl/>
        </w:rPr>
        <w:t>אותו</w:t>
      </w:r>
      <w:r w:rsidR="00470386">
        <w:rPr>
          <w:rFonts w:hint="cs"/>
          <w:rtl/>
        </w:rPr>
        <w:t>,</w:t>
      </w:r>
      <w:r w:rsidR="00B27911">
        <w:rPr>
          <w:rFonts w:hint="cs"/>
          <w:rtl/>
        </w:rPr>
        <w:t xml:space="preserve"> כ</w:t>
      </w:r>
      <w:r w:rsidR="00470386">
        <w:rPr>
          <w:rFonts w:hint="cs"/>
          <w:rtl/>
        </w:rPr>
        <w:t>ך</w:t>
      </w:r>
      <w:r>
        <w:rPr>
          <w:rFonts w:hint="cs"/>
          <w:rtl/>
        </w:rPr>
        <w:t xml:space="preserve"> אין לחשוש שמא כאשר יברכו את ברכת האילנות יקטפו את הפרחים, ולכן </w:t>
      </w:r>
      <w:r w:rsidR="009B04D4">
        <w:rPr>
          <w:rFonts w:hint="cs"/>
          <w:rtl/>
        </w:rPr>
        <w:t xml:space="preserve">מעיקר הדין </w:t>
      </w:r>
      <w:r>
        <w:rPr>
          <w:rFonts w:hint="cs"/>
          <w:rtl/>
        </w:rPr>
        <w:t>אין מניעה לברך בשבת את ברכת האילנות</w:t>
      </w:r>
      <w:r w:rsidR="00B44C10">
        <w:rPr>
          <w:rFonts w:hint="cs"/>
          <w:rtl/>
        </w:rPr>
        <w:t xml:space="preserve"> וכפי שנוהגים רבים</w:t>
      </w:r>
      <w:r w:rsidR="00A6653D">
        <w:rPr>
          <w:rFonts w:hint="cs"/>
          <w:rtl/>
        </w:rPr>
        <w:t>. ובלשון הרב עובדיה</w:t>
      </w:r>
      <w:r w:rsidR="009B04D4">
        <w:rPr>
          <w:rFonts w:hint="cs"/>
          <w:rtl/>
        </w:rPr>
        <w:t>:</w:t>
      </w:r>
    </w:p>
    <w:p w14:paraId="39361E74" w14:textId="5E03448A" w:rsidR="009B04D4" w:rsidRDefault="009B04D4" w:rsidP="00A10AFF">
      <w:pPr>
        <w:spacing w:after="80"/>
        <w:ind w:left="720"/>
        <w:rPr>
          <w:rtl/>
        </w:rPr>
      </w:pPr>
      <w:r>
        <w:rPr>
          <w:rFonts w:cs="Arial" w:hint="cs"/>
          <w:rtl/>
        </w:rPr>
        <w:t>''</w:t>
      </w:r>
      <w:r w:rsidRPr="009B04D4">
        <w:rPr>
          <w:rFonts w:cs="Arial"/>
          <w:rtl/>
        </w:rPr>
        <w:t>והעיקר להלכה שמותר לברך ברכת האילנות בשבת. אלא שלכתחילה מהיות טוב יש לברך ברכת האילנות בימות החול, ורק אם לא נזדמן לו לברך אלא בשבת הסמוכה לסוף חודש ניסן, וחושש שמא ישכח ויפסיד ברכה זו לגמרי, אז יברך ברכת האילנות בשבת. והזריזים המקדימים למצוות נוהגים לברך ברכת האילנות בצבור, בראש חודש ניסן או למחרת.</w:t>
      </w:r>
      <w:r w:rsidR="007D2687">
        <w:rPr>
          <w:rFonts w:cs="Arial" w:hint="cs"/>
          <w:rtl/>
        </w:rPr>
        <w:t>''</w:t>
      </w:r>
    </w:p>
    <w:p w14:paraId="083163A4" w14:textId="36C560FE" w:rsidR="00044423" w:rsidRDefault="00854820" w:rsidP="00A10AFF">
      <w:pPr>
        <w:spacing w:after="80"/>
        <w:rPr>
          <w:rtl/>
        </w:rPr>
      </w:pPr>
      <w:r>
        <w:rPr>
          <w:rFonts w:hint="cs"/>
          <w:rtl/>
        </w:rPr>
        <w:t xml:space="preserve">ב. </w:t>
      </w:r>
      <w:r w:rsidR="00D571F1" w:rsidRPr="00044423">
        <w:rPr>
          <w:rFonts w:hint="cs"/>
          <w:b/>
          <w:bCs/>
          <w:rtl/>
        </w:rPr>
        <w:t xml:space="preserve">הרב </w:t>
      </w:r>
      <w:r w:rsidR="00D571F1">
        <w:rPr>
          <w:rFonts w:hint="cs"/>
          <w:b/>
          <w:bCs/>
          <w:rtl/>
        </w:rPr>
        <w:t xml:space="preserve">עדאיה </w:t>
      </w:r>
      <w:r w:rsidR="00D571F1">
        <w:rPr>
          <w:rFonts w:hint="cs"/>
          <w:sz w:val="18"/>
          <w:szCs w:val="18"/>
          <w:rtl/>
        </w:rPr>
        <w:t xml:space="preserve">(ישכיל עבדי חלק ח) </w:t>
      </w:r>
      <w:r w:rsidR="00D571F1">
        <w:rPr>
          <w:rFonts w:hint="cs"/>
          <w:b/>
          <w:bCs/>
          <w:rtl/>
        </w:rPr>
        <w:t xml:space="preserve">והרב </w:t>
      </w:r>
      <w:r w:rsidR="00D571F1" w:rsidRPr="00044423">
        <w:rPr>
          <w:rFonts w:hint="cs"/>
          <w:b/>
          <w:bCs/>
          <w:rtl/>
        </w:rPr>
        <w:t>מרדכי אליהו</w:t>
      </w:r>
      <w:r w:rsidR="00D571F1">
        <w:rPr>
          <w:rFonts w:hint="cs"/>
          <w:rtl/>
        </w:rPr>
        <w:t xml:space="preserve"> </w:t>
      </w:r>
      <w:r w:rsidR="00D571F1">
        <w:rPr>
          <w:rFonts w:hint="cs"/>
          <w:sz w:val="18"/>
          <w:szCs w:val="18"/>
          <w:rtl/>
        </w:rPr>
        <w:t>(אתר הרב אליהו)</w:t>
      </w:r>
      <w:r w:rsidR="00D81514">
        <w:rPr>
          <w:rFonts w:hint="cs"/>
          <w:rtl/>
        </w:rPr>
        <w:t xml:space="preserve"> חלקו ו</w:t>
      </w:r>
      <w:r>
        <w:rPr>
          <w:rFonts w:hint="cs"/>
          <w:rtl/>
        </w:rPr>
        <w:t>סברו שאין לברך בשבת, וה</w:t>
      </w:r>
      <w:r w:rsidR="006E599D">
        <w:rPr>
          <w:rFonts w:hint="cs"/>
          <w:rtl/>
        </w:rPr>
        <w:t>ם ופוסקים נוספים ה</w:t>
      </w:r>
      <w:r>
        <w:rPr>
          <w:rFonts w:hint="cs"/>
          <w:rtl/>
        </w:rPr>
        <w:t xml:space="preserve">עלו מספר טעמים לכך. יש שכתבו שבכל זאת יש </w:t>
      </w:r>
      <w:r w:rsidR="00B27911">
        <w:rPr>
          <w:rFonts w:hint="cs"/>
          <w:rtl/>
        </w:rPr>
        <w:t xml:space="preserve">לחשוש </w:t>
      </w:r>
      <w:r>
        <w:rPr>
          <w:rFonts w:hint="cs"/>
          <w:rtl/>
        </w:rPr>
        <w:t xml:space="preserve">שמא יקטפו פרחים, כמו כן יש שהוסיפו שיש חשש שמא יוציאו סידורים אל מחוץ לעירוב, כיוון שלא זוכרים את הברכה בעל פה. </w:t>
      </w:r>
    </w:p>
    <w:p w14:paraId="69C83E5A" w14:textId="2DC6D9E9" w:rsidR="003C327A" w:rsidRDefault="00854820" w:rsidP="00A10AFF">
      <w:pPr>
        <w:spacing w:after="80"/>
        <w:rPr>
          <w:rtl/>
        </w:rPr>
      </w:pPr>
      <w:r>
        <w:rPr>
          <w:rFonts w:hint="cs"/>
          <w:rtl/>
        </w:rPr>
        <w:t xml:space="preserve">גם המקובלים </w:t>
      </w:r>
      <w:r w:rsidR="007906D3">
        <w:rPr>
          <w:rFonts w:hint="cs"/>
          <w:rtl/>
        </w:rPr>
        <w:t xml:space="preserve">נהגו </w:t>
      </w:r>
      <w:r>
        <w:rPr>
          <w:rFonts w:hint="cs"/>
          <w:rtl/>
        </w:rPr>
        <w:t>שלא לברך בשבת</w:t>
      </w:r>
      <w:r w:rsidR="007906D3">
        <w:rPr>
          <w:rFonts w:hint="cs"/>
          <w:rtl/>
        </w:rPr>
        <w:t xml:space="preserve">, כיוון </w:t>
      </w:r>
      <w:r>
        <w:rPr>
          <w:rFonts w:hint="cs"/>
          <w:rtl/>
        </w:rPr>
        <w:t xml:space="preserve">שכפי שראינו לשיטתם </w:t>
      </w:r>
      <w:r w:rsidR="00044423">
        <w:rPr>
          <w:rFonts w:hint="cs"/>
          <w:rtl/>
        </w:rPr>
        <w:t xml:space="preserve">יש לברך דווקא בניסן </w:t>
      </w:r>
      <w:r w:rsidR="007906D3">
        <w:rPr>
          <w:rFonts w:hint="cs"/>
          <w:rtl/>
        </w:rPr>
        <w:t xml:space="preserve">כדי </w:t>
      </w:r>
      <w:r w:rsidR="00044423">
        <w:rPr>
          <w:rFonts w:hint="cs"/>
          <w:rtl/>
        </w:rPr>
        <w:t xml:space="preserve">להעלות את הנשמות </w:t>
      </w:r>
      <w:r w:rsidR="008544C9">
        <w:rPr>
          <w:rFonts w:hint="cs"/>
          <w:rtl/>
        </w:rPr>
        <w:t>המסתובבות בא</w:t>
      </w:r>
      <w:r w:rsidR="00044423">
        <w:rPr>
          <w:rFonts w:hint="cs"/>
          <w:rtl/>
        </w:rPr>
        <w:t>ילנות</w:t>
      </w:r>
      <w:r w:rsidR="008544C9">
        <w:rPr>
          <w:rFonts w:hint="cs"/>
          <w:rtl/>
        </w:rPr>
        <w:t xml:space="preserve"> ובפרדסים</w:t>
      </w:r>
      <w:r w:rsidR="00044423">
        <w:rPr>
          <w:rFonts w:hint="cs"/>
          <w:rtl/>
        </w:rPr>
        <w:t>, ופעולה זו אסורה בשבת משום בורר (</w:t>
      </w:r>
      <w:r w:rsidR="00470386">
        <w:rPr>
          <w:rFonts w:hint="cs"/>
          <w:rtl/>
        </w:rPr>
        <w:t>ו</w:t>
      </w:r>
      <w:r w:rsidR="00044423">
        <w:rPr>
          <w:rFonts w:hint="cs"/>
          <w:rtl/>
        </w:rPr>
        <w:t xml:space="preserve">למרות שעל פי ההלכה אין בכך פעולת בורר, אין </w:t>
      </w:r>
      <w:r w:rsidR="00470386">
        <w:rPr>
          <w:rFonts w:hint="cs"/>
          <w:rtl/>
        </w:rPr>
        <w:t xml:space="preserve">להשוות </w:t>
      </w:r>
      <w:r w:rsidR="00044423">
        <w:rPr>
          <w:rFonts w:hint="cs"/>
          <w:rtl/>
        </w:rPr>
        <w:t xml:space="preserve">בין </w:t>
      </w:r>
      <w:r w:rsidR="00886BA2">
        <w:rPr>
          <w:rFonts w:hint="cs"/>
          <w:rtl/>
        </w:rPr>
        <w:t xml:space="preserve">דיני </w:t>
      </w:r>
      <w:r w:rsidR="00044423">
        <w:rPr>
          <w:rFonts w:hint="cs"/>
          <w:rtl/>
        </w:rPr>
        <w:t>ההלכה לקבלה).</w:t>
      </w:r>
    </w:p>
    <w:p w14:paraId="4109F79B" w14:textId="1021DBE3" w:rsidR="00E310BB" w:rsidRDefault="0075010B" w:rsidP="00365327">
      <w:pPr>
        <w:rPr>
          <w:bCs/>
          <w:u w:val="single"/>
          <w:rtl/>
        </w:rPr>
      </w:pPr>
      <w:r>
        <w:rPr>
          <w:rFonts w:hint="cs"/>
          <w:bCs/>
          <w:u w:val="single"/>
          <w:rtl/>
        </w:rPr>
        <w:lastRenderedPageBreak/>
        <w:t xml:space="preserve">על אלו </w:t>
      </w:r>
      <w:r w:rsidR="0073488D">
        <w:rPr>
          <w:rFonts w:hint="cs"/>
          <w:bCs/>
          <w:u w:val="single"/>
          <w:rtl/>
        </w:rPr>
        <w:t>אילנות</w:t>
      </w:r>
      <w:r>
        <w:rPr>
          <w:rFonts w:hint="cs"/>
          <w:bCs/>
          <w:u w:val="single"/>
          <w:rtl/>
        </w:rPr>
        <w:t xml:space="preserve"> מברכים</w:t>
      </w:r>
    </w:p>
    <w:p w14:paraId="366CBB98" w14:textId="1EADACC5" w:rsidR="00117E8A" w:rsidRDefault="005C1706" w:rsidP="00F41FCC">
      <w:pPr>
        <w:rPr>
          <w:b/>
          <w:rtl/>
        </w:rPr>
      </w:pPr>
      <w:r>
        <w:rPr>
          <w:rFonts w:hint="cs"/>
          <w:b/>
          <w:rtl/>
        </w:rPr>
        <w:t xml:space="preserve">כאמור, למרות שהגמרא כותבת שהיוצא בימי ניסן עליו לברך, הפוסקים ההולכים על פי דרך הפשט נקטו שאין הכוונה דווקא לניסן. עוד נחלקו האחרונים, האם ניתן לדייק מכך שהגמרא כותבת </w:t>
      </w:r>
      <w:r w:rsidR="00147F85">
        <w:rPr>
          <w:rFonts w:hint="cs"/>
          <w:b/>
          <w:rtl/>
        </w:rPr>
        <w:t>"</w:t>
      </w:r>
      <w:r>
        <w:rPr>
          <w:rFonts w:hint="cs"/>
          <w:b/>
          <w:rtl/>
        </w:rPr>
        <w:t>הרואה אילנות מלבלבים</w:t>
      </w:r>
      <w:r w:rsidR="00147F85">
        <w:rPr>
          <w:rFonts w:hint="cs"/>
          <w:b/>
          <w:rtl/>
        </w:rPr>
        <w:t>"</w:t>
      </w:r>
      <w:r>
        <w:rPr>
          <w:rFonts w:hint="cs"/>
          <w:b/>
          <w:rtl/>
        </w:rPr>
        <w:t>, שיש לברך רק כאשר רואים לפחות שני עצים, או שגם במקרה זה אין לדייק מדברי הגמרא, ודי בעץ אחד:</w:t>
      </w:r>
      <w:r>
        <w:rPr>
          <w:rFonts w:hint="cs"/>
          <w:b/>
        </w:rPr>
        <w:t xml:space="preserve"> </w:t>
      </w:r>
    </w:p>
    <w:p w14:paraId="0465783C" w14:textId="0BB60FF6" w:rsidR="0075010B" w:rsidRDefault="006017F3" w:rsidP="00365327">
      <w:pPr>
        <w:rPr>
          <w:b/>
          <w:rtl/>
        </w:rPr>
      </w:pPr>
      <w:r>
        <w:rPr>
          <w:rFonts w:hint="cs"/>
          <w:b/>
          <w:rtl/>
        </w:rPr>
        <w:t xml:space="preserve">א. </w:t>
      </w:r>
      <w:r w:rsidR="00474D8E">
        <w:rPr>
          <w:rFonts w:hint="cs"/>
          <w:bCs/>
          <w:rtl/>
        </w:rPr>
        <w:t>הרב ולד</w:t>
      </w:r>
      <w:r w:rsidR="00AD59F2">
        <w:rPr>
          <w:rFonts w:hint="cs"/>
          <w:bCs/>
          <w:rtl/>
        </w:rPr>
        <w:t>נ</w:t>
      </w:r>
      <w:r w:rsidR="00474D8E">
        <w:rPr>
          <w:rFonts w:hint="cs"/>
          <w:bCs/>
          <w:rtl/>
        </w:rPr>
        <w:t xml:space="preserve">ברג </w:t>
      </w:r>
      <w:r w:rsidR="00F9050D" w:rsidRPr="00F9050D">
        <w:rPr>
          <w:rFonts w:hint="cs"/>
          <w:b/>
          <w:sz w:val="18"/>
          <w:szCs w:val="18"/>
          <w:rtl/>
        </w:rPr>
        <w:t>(</w:t>
      </w:r>
      <w:r w:rsidR="00474D8E">
        <w:rPr>
          <w:rFonts w:hint="cs"/>
          <w:b/>
          <w:sz w:val="18"/>
          <w:szCs w:val="18"/>
          <w:rtl/>
        </w:rPr>
        <w:t xml:space="preserve">ציץ אליעזר </w:t>
      </w:r>
      <w:r w:rsidR="00F9050D" w:rsidRPr="00F9050D">
        <w:rPr>
          <w:rFonts w:hint="cs"/>
          <w:b/>
          <w:sz w:val="18"/>
          <w:szCs w:val="18"/>
          <w:rtl/>
        </w:rPr>
        <w:t>יב, כ)</w:t>
      </w:r>
      <w:r w:rsidR="00F9050D">
        <w:rPr>
          <w:rFonts w:hint="cs"/>
          <w:bCs/>
          <w:sz w:val="18"/>
          <w:szCs w:val="18"/>
          <w:rtl/>
        </w:rPr>
        <w:t xml:space="preserve"> </w:t>
      </w:r>
      <w:r w:rsidR="004202B6">
        <w:rPr>
          <w:rFonts w:hint="cs"/>
          <w:b/>
          <w:rtl/>
        </w:rPr>
        <w:t xml:space="preserve">נקט בעקבות </w:t>
      </w:r>
      <w:r w:rsidR="004202B6" w:rsidRPr="00B05BE7">
        <w:rPr>
          <w:rFonts w:hint="cs"/>
          <w:bCs/>
          <w:rtl/>
        </w:rPr>
        <w:t>כף החיים</w:t>
      </w:r>
      <w:r w:rsidR="004202B6">
        <w:rPr>
          <w:rFonts w:hint="cs"/>
          <w:b/>
          <w:rtl/>
        </w:rPr>
        <w:t xml:space="preserve"> </w:t>
      </w:r>
      <w:r w:rsidR="004202B6">
        <w:rPr>
          <w:rFonts w:hint="cs"/>
          <w:b/>
          <w:sz w:val="18"/>
          <w:szCs w:val="18"/>
          <w:rtl/>
        </w:rPr>
        <w:t>(רכו, ב)</w:t>
      </w:r>
      <w:r w:rsidR="004202B6">
        <w:rPr>
          <w:rFonts w:hint="cs"/>
          <w:b/>
          <w:rtl/>
        </w:rPr>
        <w:t xml:space="preserve">, </w:t>
      </w:r>
      <w:r w:rsidR="00147F85">
        <w:rPr>
          <w:rFonts w:hint="cs"/>
          <w:b/>
          <w:rtl/>
        </w:rPr>
        <w:t>ש</w:t>
      </w:r>
      <w:r w:rsidR="004202B6">
        <w:rPr>
          <w:rFonts w:hint="cs"/>
          <w:b/>
          <w:rtl/>
        </w:rPr>
        <w:t>כאשר הגמרא כותבת 'אילנות' רצונה להדגיש שצריך לפחות שני אילנות</w:t>
      </w:r>
      <w:r w:rsidR="002D1D27">
        <w:rPr>
          <w:rFonts w:hint="cs"/>
          <w:b/>
          <w:rtl/>
        </w:rPr>
        <w:t xml:space="preserve"> ולא די באחד. גם </w:t>
      </w:r>
      <w:r w:rsidR="00B05BE7" w:rsidRPr="00B05BE7">
        <w:rPr>
          <w:rFonts w:hint="cs"/>
          <w:bCs/>
          <w:rtl/>
        </w:rPr>
        <w:t>הרב אליהו</w:t>
      </w:r>
      <w:r w:rsidR="00F9050D">
        <w:rPr>
          <w:rFonts w:hint="cs"/>
          <w:b/>
          <w:rtl/>
        </w:rPr>
        <w:t xml:space="preserve"> </w:t>
      </w:r>
      <w:r w:rsidR="00F9050D">
        <w:rPr>
          <w:rFonts w:hint="cs"/>
          <w:b/>
          <w:sz w:val="18"/>
          <w:szCs w:val="18"/>
          <w:rtl/>
        </w:rPr>
        <w:t>(</w:t>
      </w:r>
      <w:r w:rsidR="002D1D27">
        <w:rPr>
          <w:rFonts w:hint="cs"/>
          <w:b/>
          <w:sz w:val="18"/>
          <w:szCs w:val="18"/>
          <w:rtl/>
        </w:rPr>
        <w:t xml:space="preserve">אתר </w:t>
      </w:r>
      <w:r w:rsidR="0000130A">
        <w:rPr>
          <w:rFonts w:hint="cs"/>
          <w:b/>
          <w:sz w:val="18"/>
          <w:szCs w:val="18"/>
          <w:rtl/>
        </w:rPr>
        <w:t>הרב אליהו</w:t>
      </w:r>
      <w:r w:rsidR="00F9050D">
        <w:rPr>
          <w:rFonts w:hint="cs"/>
          <w:b/>
          <w:sz w:val="18"/>
          <w:szCs w:val="18"/>
          <w:rtl/>
        </w:rPr>
        <w:t>)</w:t>
      </w:r>
      <w:r w:rsidR="0000130A">
        <w:rPr>
          <w:rFonts w:hint="cs"/>
          <w:b/>
          <w:rtl/>
        </w:rPr>
        <w:t xml:space="preserve"> פסק כדברי הציץ אליעזר, אולם בעוד שהציץ אליעזר כתב שאין צורך לחפש שני אילנות שונים זה מזה, הרב אליהו </w:t>
      </w:r>
      <w:r w:rsidR="00365327">
        <w:rPr>
          <w:rFonts w:hint="cs"/>
          <w:b/>
          <w:rtl/>
        </w:rPr>
        <w:t xml:space="preserve">כתב שטוב </w:t>
      </w:r>
      <w:r w:rsidR="00815C15">
        <w:rPr>
          <w:rFonts w:hint="cs"/>
          <w:b/>
          <w:rtl/>
        </w:rPr>
        <w:t xml:space="preserve">על פי הקבלה </w:t>
      </w:r>
      <w:r w:rsidR="00365327">
        <w:rPr>
          <w:rFonts w:hint="cs"/>
          <w:b/>
          <w:rtl/>
        </w:rPr>
        <w:t>להדר ולחפש שונים, ובלשונו</w:t>
      </w:r>
      <w:r w:rsidR="002D2433">
        <w:rPr>
          <w:rFonts w:hint="cs"/>
          <w:b/>
          <w:rtl/>
        </w:rPr>
        <w:t>:</w:t>
      </w:r>
    </w:p>
    <w:p w14:paraId="48C7CDEF" w14:textId="76B1B2ED" w:rsidR="0000130A" w:rsidRPr="0000130A" w:rsidRDefault="0000130A" w:rsidP="00365327">
      <w:pPr>
        <w:ind w:left="720"/>
        <w:rPr>
          <w:rFonts w:cs="Arial"/>
          <w:b/>
          <w:rtl/>
        </w:rPr>
      </w:pPr>
      <w:r>
        <w:rPr>
          <w:rFonts w:cs="Arial" w:hint="cs"/>
          <w:b/>
          <w:rtl/>
        </w:rPr>
        <w:t>''</w:t>
      </w:r>
      <w:r w:rsidRPr="0000130A">
        <w:rPr>
          <w:rFonts w:cs="Arial"/>
          <w:b/>
          <w:rtl/>
        </w:rPr>
        <w:t>צריך לברך לכל הפחות על שני אילנות מאכל שיש בהם פרחים פורחים. ואפילו</w:t>
      </w:r>
      <w:r>
        <w:rPr>
          <w:rFonts w:cs="Arial" w:hint="cs"/>
          <w:b/>
          <w:rtl/>
        </w:rPr>
        <w:t xml:space="preserve"> </w:t>
      </w:r>
      <w:r w:rsidRPr="0000130A">
        <w:rPr>
          <w:rFonts w:cs="Arial"/>
          <w:b/>
          <w:rtl/>
        </w:rPr>
        <w:t>שני האילנות מסוג אחד, ולכתחילה ראוי להדר ולברך על שני אילנות מאכל</w:t>
      </w:r>
      <w:r>
        <w:rPr>
          <w:rFonts w:cs="Arial" w:hint="cs"/>
          <w:b/>
          <w:rtl/>
        </w:rPr>
        <w:t xml:space="preserve"> </w:t>
      </w:r>
      <w:r w:rsidRPr="0000130A">
        <w:rPr>
          <w:rFonts w:cs="Arial"/>
          <w:b/>
          <w:rtl/>
        </w:rPr>
        <w:t>משני סוגים</w:t>
      </w:r>
      <w:r w:rsidR="0062289A">
        <w:rPr>
          <w:rFonts w:cs="Arial" w:hint="cs"/>
          <w:b/>
          <w:rtl/>
        </w:rPr>
        <w:t>.''</w:t>
      </w:r>
    </w:p>
    <w:p w14:paraId="0FA7326C" w14:textId="78236137" w:rsidR="006017F3" w:rsidRDefault="006017F3" w:rsidP="00365327">
      <w:pPr>
        <w:rPr>
          <w:b/>
          <w:rtl/>
        </w:rPr>
      </w:pPr>
      <w:r>
        <w:rPr>
          <w:rFonts w:hint="cs"/>
          <w:b/>
          <w:rtl/>
        </w:rPr>
        <w:t xml:space="preserve">ב. </w:t>
      </w:r>
      <w:r w:rsidRPr="006017F3">
        <w:rPr>
          <w:rFonts w:hint="cs"/>
          <w:bCs/>
          <w:rtl/>
        </w:rPr>
        <w:t xml:space="preserve">הרב פיינשטיין </w:t>
      </w:r>
      <w:r w:rsidRPr="006017F3">
        <w:rPr>
          <w:rFonts w:hint="cs"/>
          <w:b/>
          <w:sz w:val="18"/>
          <w:szCs w:val="18"/>
          <w:rtl/>
        </w:rPr>
        <w:t>(רבבות אפרים ח, עז)</w:t>
      </w:r>
      <w:r>
        <w:rPr>
          <w:rFonts w:hint="cs"/>
          <w:bCs/>
          <w:sz w:val="18"/>
          <w:szCs w:val="18"/>
          <w:rtl/>
        </w:rPr>
        <w:t xml:space="preserve"> </w:t>
      </w:r>
      <w:r w:rsidRPr="006017F3">
        <w:rPr>
          <w:rFonts w:hint="cs"/>
          <w:bCs/>
          <w:rtl/>
        </w:rPr>
        <w:t>והרב עובדיה</w:t>
      </w:r>
      <w:r>
        <w:rPr>
          <w:rFonts w:hint="cs"/>
          <w:b/>
          <w:rtl/>
        </w:rPr>
        <w:t xml:space="preserve"> </w:t>
      </w:r>
      <w:r>
        <w:rPr>
          <w:rFonts w:hint="cs"/>
          <w:b/>
          <w:sz w:val="18"/>
          <w:szCs w:val="18"/>
          <w:rtl/>
        </w:rPr>
        <w:t xml:space="preserve">(חזון עובדיה ברכות) </w:t>
      </w:r>
      <w:r>
        <w:rPr>
          <w:rFonts w:hint="cs"/>
          <w:b/>
          <w:rtl/>
        </w:rPr>
        <w:t xml:space="preserve">חלקו וסברו, שאין חובה לברך דווקא על שני אילנות. כיצד יתרצו את לשון הגמרא הכותבת </w:t>
      </w:r>
      <w:r w:rsidR="004916A6">
        <w:rPr>
          <w:rFonts w:hint="cs"/>
          <w:b/>
          <w:rtl/>
        </w:rPr>
        <w:t>'אילנות'</w:t>
      </w:r>
      <w:r>
        <w:rPr>
          <w:rFonts w:hint="cs"/>
          <w:b/>
          <w:rtl/>
        </w:rPr>
        <w:t xml:space="preserve">? אפשרות אחת לתרץ היא שחלק מהראשונים </w:t>
      </w:r>
      <w:r>
        <w:rPr>
          <w:rFonts w:hint="cs"/>
          <w:b/>
          <w:sz w:val="18"/>
          <w:szCs w:val="18"/>
          <w:rtl/>
        </w:rPr>
        <w:t xml:space="preserve">(למשל הרא''ה והמהרי''ל) </w:t>
      </w:r>
      <w:r>
        <w:rPr>
          <w:rFonts w:hint="cs"/>
          <w:b/>
          <w:rtl/>
        </w:rPr>
        <w:t>גרסו אחרת בדברי הגמרא, ולפי גרסתם לא כתוב הרואה אילנות, אלא הרואה אילן.</w:t>
      </w:r>
    </w:p>
    <w:p w14:paraId="49C96C9A" w14:textId="428CD451" w:rsidR="00201B0D" w:rsidRDefault="006017F3" w:rsidP="007D5860">
      <w:pPr>
        <w:rPr>
          <w:b/>
          <w:rtl/>
        </w:rPr>
      </w:pPr>
      <w:r>
        <w:rPr>
          <w:rFonts w:hint="cs"/>
          <w:b/>
          <w:rtl/>
        </w:rPr>
        <w:t xml:space="preserve">אפשרות נוספת לתרץ הביא </w:t>
      </w:r>
      <w:r w:rsidRPr="006017F3">
        <w:rPr>
          <w:rFonts w:hint="cs"/>
          <w:bCs/>
          <w:rtl/>
        </w:rPr>
        <w:t>הרב רימון</w:t>
      </w:r>
      <w:r>
        <w:rPr>
          <w:rFonts w:hint="cs"/>
          <w:b/>
          <w:rtl/>
        </w:rPr>
        <w:t xml:space="preserve"> </w:t>
      </w:r>
      <w:r>
        <w:rPr>
          <w:rFonts w:hint="cs"/>
          <w:b/>
          <w:sz w:val="18"/>
          <w:szCs w:val="18"/>
          <w:rtl/>
        </w:rPr>
        <w:t>(ברכת האילנות עמ' 44)</w:t>
      </w:r>
      <w:r>
        <w:rPr>
          <w:rFonts w:hint="cs"/>
          <w:b/>
          <w:rtl/>
        </w:rPr>
        <w:t xml:space="preserve">, שלמרות שהגמרא בהמשך </w:t>
      </w:r>
      <w:r w:rsidR="002D2433">
        <w:rPr>
          <w:rFonts w:hint="cs"/>
          <w:b/>
          <w:sz w:val="18"/>
          <w:szCs w:val="18"/>
          <w:rtl/>
        </w:rPr>
        <w:t xml:space="preserve">(נח ע''א) </w:t>
      </w:r>
      <w:r>
        <w:rPr>
          <w:rFonts w:hint="cs"/>
          <w:b/>
          <w:rtl/>
        </w:rPr>
        <w:t>אומרת שהרואה חכמי ישראל מברך אשר חלק מחוכמתו</w:t>
      </w:r>
      <w:r w:rsidR="002D2433">
        <w:rPr>
          <w:rFonts w:hint="cs"/>
          <w:b/>
          <w:rtl/>
        </w:rPr>
        <w:t>, אף על פי כן להלכה נפסק שאפשר לברך אפילו על חכם אחד מחכמי ישראל</w:t>
      </w:r>
      <w:r w:rsidR="009901FF">
        <w:rPr>
          <w:rFonts w:hint="cs"/>
          <w:b/>
          <w:rtl/>
        </w:rPr>
        <w:t xml:space="preserve">. </w:t>
      </w:r>
      <w:r w:rsidR="002D2433">
        <w:rPr>
          <w:rFonts w:hint="cs"/>
          <w:b/>
          <w:rtl/>
        </w:rPr>
        <w:t>הוא הדין בברכת האילנות, למרות שכתוב בלשון רבים</w:t>
      </w:r>
      <w:r w:rsidR="004916A6">
        <w:rPr>
          <w:rFonts w:hint="cs"/>
          <w:b/>
          <w:rtl/>
        </w:rPr>
        <w:t xml:space="preserve"> </w:t>
      </w:r>
      <w:r w:rsidR="002D2433">
        <w:rPr>
          <w:rFonts w:hint="cs"/>
          <w:b/>
          <w:rtl/>
        </w:rPr>
        <w:t>אפשר לברך על עץ בודד</w:t>
      </w:r>
      <w:r w:rsidR="007D5860">
        <w:rPr>
          <w:rFonts w:hint="cs"/>
          <w:b/>
          <w:rtl/>
        </w:rPr>
        <w:t>.</w:t>
      </w:r>
    </w:p>
    <w:p w14:paraId="291B94D2" w14:textId="77777777" w:rsidR="006A45F2" w:rsidRPr="00BF4094" w:rsidRDefault="006A45F2" w:rsidP="00365327">
      <w:pPr>
        <w:rPr>
          <w:b/>
          <w:u w:val="single"/>
          <w:rtl/>
        </w:rPr>
      </w:pPr>
      <w:r w:rsidRPr="00BF4094">
        <w:rPr>
          <w:rFonts w:hint="cs"/>
          <w:b/>
          <w:u w:val="single"/>
          <w:rtl/>
        </w:rPr>
        <w:t>אילן סרק או מאכל</w:t>
      </w:r>
    </w:p>
    <w:p w14:paraId="22290E0A" w14:textId="530F9C4E" w:rsidR="009E0AA3" w:rsidRDefault="00474D8E" w:rsidP="00021A54">
      <w:pPr>
        <w:rPr>
          <w:b/>
          <w:rtl/>
        </w:rPr>
      </w:pPr>
      <w:r>
        <w:rPr>
          <w:rFonts w:hint="cs"/>
          <w:b/>
          <w:rtl/>
        </w:rPr>
        <w:t xml:space="preserve">לדעת הרב משה פיינשטיין והרב עובדיה </w:t>
      </w:r>
      <w:r w:rsidR="00BF4094">
        <w:rPr>
          <w:rFonts w:hint="cs"/>
          <w:b/>
          <w:rtl/>
        </w:rPr>
        <w:t>ש</w:t>
      </w:r>
      <w:r>
        <w:rPr>
          <w:rFonts w:hint="cs"/>
          <w:b/>
          <w:rtl/>
        </w:rPr>
        <w:t xml:space="preserve">אפשר מעיקר הדין לברך על עץ אחד, </w:t>
      </w:r>
      <w:r w:rsidR="00455FE2">
        <w:rPr>
          <w:rFonts w:hint="cs"/>
          <w:b/>
          <w:rtl/>
        </w:rPr>
        <w:t xml:space="preserve">ניתן </w:t>
      </w:r>
      <w:r>
        <w:rPr>
          <w:rFonts w:hint="cs"/>
          <w:b/>
          <w:rtl/>
        </w:rPr>
        <w:t xml:space="preserve">למצוא </w:t>
      </w:r>
      <w:r w:rsidR="00455FE2">
        <w:rPr>
          <w:rFonts w:hint="cs"/>
          <w:b/>
          <w:rtl/>
        </w:rPr>
        <w:t xml:space="preserve">בקלות </w:t>
      </w:r>
      <w:r>
        <w:rPr>
          <w:rFonts w:hint="cs"/>
          <w:b/>
          <w:rtl/>
        </w:rPr>
        <w:t xml:space="preserve">עץ פרי פורח. לעומת זאת לדעת </w:t>
      </w:r>
      <w:r w:rsidR="00021A54">
        <w:rPr>
          <w:rFonts w:hint="cs"/>
          <w:b/>
          <w:rtl/>
        </w:rPr>
        <w:t xml:space="preserve">הרב אליהו והציץ אליעזר המצריכים שני אילנות, קשה (בעיקר בערים) למצוא שני אילנות מאכל </w:t>
      </w:r>
      <w:r w:rsidR="00BF4094">
        <w:rPr>
          <w:rFonts w:hint="cs"/>
          <w:b/>
          <w:rtl/>
        </w:rPr>
        <w:t>בשטח אחד והנמצאים יחד.</w:t>
      </w:r>
      <w:r w:rsidR="00021A54">
        <w:rPr>
          <w:rFonts w:hint="cs"/>
          <w:b/>
          <w:rtl/>
        </w:rPr>
        <w:t xml:space="preserve"> דנו הפוסקים</w:t>
      </w:r>
      <w:r w:rsidR="00BF4094" w:rsidRPr="00BF4094">
        <w:rPr>
          <w:rFonts w:hint="cs"/>
          <w:b/>
          <w:rtl/>
        </w:rPr>
        <w:t xml:space="preserve"> </w:t>
      </w:r>
      <w:r w:rsidR="00BF4094">
        <w:rPr>
          <w:rFonts w:hint="cs"/>
          <w:b/>
          <w:rtl/>
        </w:rPr>
        <w:t>בעקבות מקרים מעין אלו</w:t>
      </w:r>
      <w:r w:rsidR="00021A54">
        <w:rPr>
          <w:rFonts w:hint="cs"/>
          <w:b/>
          <w:rtl/>
        </w:rPr>
        <w:t xml:space="preserve">, האם העץ צריך להיות עץ מאכל דווקא: </w:t>
      </w:r>
    </w:p>
    <w:p w14:paraId="1C0C4FA1" w14:textId="620C58A0" w:rsidR="00706DBF" w:rsidRDefault="007929D1" w:rsidP="004B0E46">
      <w:pPr>
        <w:spacing w:after="40"/>
        <w:rPr>
          <w:b/>
          <w:rtl/>
        </w:rPr>
      </w:pPr>
      <w:r w:rsidRPr="007929D1">
        <w:rPr>
          <w:rFonts w:hint="cs"/>
          <w:b/>
          <w:rtl/>
        </w:rPr>
        <w:t>א.</w:t>
      </w:r>
      <w:r>
        <w:rPr>
          <w:rFonts w:hint="cs"/>
          <w:bCs/>
          <w:rtl/>
        </w:rPr>
        <w:t xml:space="preserve"> </w:t>
      </w:r>
      <w:r w:rsidR="00387751" w:rsidRPr="00DF002E">
        <w:rPr>
          <w:rFonts w:hint="cs"/>
          <w:bCs/>
          <w:rtl/>
        </w:rPr>
        <w:t>השאלת יעבץ</w:t>
      </w:r>
      <w:r w:rsidR="00387751">
        <w:rPr>
          <w:rFonts w:hint="cs"/>
          <w:b/>
          <w:rtl/>
        </w:rPr>
        <w:t xml:space="preserve"> </w:t>
      </w:r>
      <w:r w:rsidR="00387751">
        <w:rPr>
          <w:rFonts w:hint="cs"/>
          <w:b/>
          <w:sz w:val="18"/>
          <w:szCs w:val="18"/>
          <w:rtl/>
        </w:rPr>
        <w:t>(מור וקציעה קכה)</w:t>
      </w:r>
      <w:r w:rsidR="00DD2E9C">
        <w:rPr>
          <w:rFonts w:hint="cs"/>
          <w:b/>
          <w:rtl/>
        </w:rPr>
        <w:t xml:space="preserve"> </w:t>
      </w:r>
      <w:r w:rsidR="00387751">
        <w:rPr>
          <w:rFonts w:hint="cs"/>
          <w:b/>
          <w:rtl/>
        </w:rPr>
        <w:t>נקט, שמותר לברך גם על עץ סרק, ולראייה ש</w:t>
      </w:r>
      <w:r w:rsidR="00DF002E">
        <w:rPr>
          <w:rFonts w:hint="cs"/>
          <w:b/>
          <w:rtl/>
        </w:rPr>
        <w:t>הגמרא לא כותבת שיש לברך דווקא על אילן מאכל. הסברא בשיטה זו</w:t>
      </w:r>
      <w:r w:rsidR="008C611A">
        <w:rPr>
          <w:rFonts w:hint="cs"/>
          <w:b/>
          <w:rtl/>
        </w:rPr>
        <w:t xml:space="preserve"> היא</w:t>
      </w:r>
      <w:r w:rsidR="00470386">
        <w:rPr>
          <w:rFonts w:hint="cs"/>
          <w:b/>
          <w:rtl/>
        </w:rPr>
        <w:t>,</w:t>
      </w:r>
      <w:r w:rsidR="008C611A">
        <w:rPr>
          <w:rFonts w:hint="cs"/>
          <w:b/>
          <w:rtl/>
        </w:rPr>
        <w:t xml:space="preserve"> </w:t>
      </w:r>
      <w:r w:rsidR="009B7227">
        <w:rPr>
          <w:rFonts w:hint="cs"/>
          <w:b/>
          <w:rtl/>
        </w:rPr>
        <w:t>ש</w:t>
      </w:r>
      <w:r w:rsidR="00DF002E">
        <w:rPr>
          <w:rFonts w:hint="cs"/>
          <w:b/>
          <w:rtl/>
        </w:rPr>
        <w:t>מטרת ברכת האילנות לשבח את הקב''ה על התחדשות הבריאה ועל הפריחה, ו</w:t>
      </w:r>
      <w:r w:rsidR="008C611A">
        <w:rPr>
          <w:rFonts w:hint="cs"/>
          <w:b/>
          <w:rtl/>
        </w:rPr>
        <w:t>לכן</w:t>
      </w:r>
      <w:r w:rsidR="003B31DF">
        <w:rPr>
          <w:rFonts w:hint="cs"/>
          <w:b/>
          <w:rtl/>
        </w:rPr>
        <w:t xml:space="preserve"> בפשטות אין</w:t>
      </w:r>
      <w:r w:rsidR="008C611A">
        <w:rPr>
          <w:rFonts w:hint="cs"/>
          <w:b/>
          <w:rtl/>
        </w:rPr>
        <w:t xml:space="preserve"> </w:t>
      </w:r>
      <w:r w:rsidR="00F8669E">
        <w:rPr>
          <w:rFonts w:hint="cs"/>
          <w:b/>
          <w:rtl/>
        </w:rPr>
        <w:t xml:space="preserve">הבדל בין </w:t>
      </w:r>
      <w:r w:rsidR="00391B2D">
        <w:rPr>
          <w:rFonts w:hint="cs"/>
          <w:b/>
          <w:rtl/>
        </w:rPr>
        <w:t xml:space="preserve">אילן מאכל </w:t>
      </w:r>
      <w:r w:rsidR="00F8669E">
        <w:rPr>
          <w:rFonts w:hint="cs"/>
          <w:b/>
          <w:rtl/>
        </w:rPr>
        <w:t xml:space="preserve">לבין </w:t>
      </w:r>
      <w:r w:rsidR="00391B2D">
        <w:rPr>
          <w:rFonts w:hint="cs"/>
          <w:b/>
          <w:rtl/>
        </w:rPr>
        <w:t>אילן סרק.</w:t>
      </w:r>
    </w:p>
    <w:p w14:paraId="1F579D98" w14:textId="40951516" w:rsidR="0047071C" w:rsidRDefault="007929D1" w:rsidP="002D78AA">
      <w:pPr>
        <w:spacing w:after="40"/>
        <w:rPr>
          <w:b/>
          <w:rtl/>
        </w:rPr>
      </w:pPr>
      <w:r>
        <w:rPr>
          <w:rFonts w:hint="cs"/>
          <w:b/>
          <w:rtl/>
        </w:rPr>
        <w:t>ב.</w:t>
      </w:r>
      <w:r w:rsidR="00706DBF">
        <w:rPr>
          <w:rFonts w:hint="cs"/>
          <w:b/>
          <w:rtl/>
        </w:rPr>
        <w:t xml:space="preserve"> </w:t>
      </w:r>
      <w:r w:rsidRPr="007929D1">
        <w:rPr>
          <w:rFonts w:hint="cs"/>
          <w:bCs/>
          <w:rtl/>
        </w:rPr>
        <w:t>בשו''ת</w:t>
      </w:r>
      <w:r>
        <w:rPr>
          <w:rFonts w:hint="cs"/>
          <w:b/>
          <w:rtl/>
        </w:rPr>
        <w:t xml:space="preserve"> </w:t>
      </w:r>
      <w:r w:rsidR="00E20A7B">
        <w:rPr>
          <w:rFonts w:hint="cs"/>
          <w:bCs/>
          <w:rtl/>
        </w:rPr>
        <w:t>ה</w:t>
      </w:r>
      <w:r w:rsidR="00706DBF" w:rsidRPr="00706DBF">
        <w:rPr>
          <w:rFonts w:hint="cs"/>
          <w:bCs/>
          <w:rtl/>
        </w:rPr>
        <w:t>הלכות קטנות</w:t>
      </w:r>
      <w:r w:rsidR="00706DBF">
        <w:rPr>
          <w:rFonts w:hint="cs"/>
          <w:b/>
          <w:rtl/>
        </w:rPr>
        <w:t xml:space="preserve"> </w:t>
      </w:r>
      <w:r w:rsidR="00706DBF">
        <w:rPr>
          <w:rFonts w:hint="cs"/>
          <w:b/>
          <w:sz w:val="18"/>
          <w:szCs w:val="18"/>
          <w:rtl/>
        </w:rPr>
        <w:t xml:space="preserve">(ב, כח) </w:t>
      </w:r>
      <w:r w:rsidR="00706DBF">
        <w:rPr>
          <w:rFonts w:hint="cs"/>
          <w:b/>
          <w:rtl/>
        </w:rPr>
        <w:t>חלק וסבר</w:t>
      </w:r>
      <w:r w:rsidR="00890043">
        <w:rPr>
          <w:rFonts w:hint="cs"/>
          <w:b/>
          <w:rtl/>
        </w:rPr>
        <w:t>,</w:t>
      </w:r>
      <w:r w:rsidR="00706DBF">
        <w:rPr>
          <w:rFonts w:hint="cs"/>
          <w:b/>
          <w:rtl/>
        </w:rPr>
        <w:t xml:space="preserve"> שכוונת הגמרא לפסוק שדווקא על עץ מאכל יש לברך</w:t>
      </w:r>
      <w:r>
        <w:rPr>
          <w:rFonts w:hint="cs"/>
          <w:b/>
          <w:rtl/>
        </w:rPr>
        <w:t xml:space="preserve">, וכן פסקו </w:t>
      </w:r>
      <w:r w:rsidRPr="00706DBF">
        <w:rPr>
          <w:rFonts w:hint="cs"/>
          <w:bCs/>
          <w:rtl/>
        </w:rPr>
        <w:t xml:space="preserve">המשנה ברורה </w:t>
      </w:r>
      <w:r w:rsidRPr="00706DBF">
        <w:rPr>
          <w:rFonts w:hint="cs"/>
          <w:b/>
          <w:sz w:val="18"/>
          <w:szCs w:val="18"/>
          <w:rtl/>
        </w:rPr>
        <w:t>(שם, ב)</w:t>
      </w:r>
      <w:r>
        <w:rPr>
          <w:rFonts w:hint="cs"/>
          <w:bCs/>
          <w:sz w:val="18"/>
          <w:szCs w:val="18"/>
          <w:rtl/>
        </w:rPr>
        <w:t xml:space="preserve"> </w:t>
      </w:r>
      <w:r w:rsidRPr="00706DBF">
        <w:rPr>
          <w:rFonts w:hint="cs"/>
          <w:bCs/>
          <w:rtl/>
        </w:rPr>
        <w:t>והרב עובדיה</w:t>
      </w:r>
      <w:r>
        <w:rPr>
          <w:rFonts w:hint="cs"/>
          <w:b/>
          <w:rtl/>
        </w:rPr>
        <w:t xml:space="preserve"> </w:t>
      </w:r>
      <w:r>
        <w:rPr>
          <w:rFonts w:hint="cs"/>
          <w:b/>
          <w:sz w:val="18"/>
          <w:szCs w:val="18"/>
          <w:rtl/>
        </w:rPr>
        <w:t>(שם)</w:t>
      </w:r>
      <w:r w:rsidR="00706DBF">
        <w:rPr>
          <w:rFonts w:hint="cs"/>
          <w:b/>
          <w:rtl/>
        </w:rPr>
        <w:t>. כיצד הבי</w:t>
      </w:r>
      <w:r w:rsidR="002D78AA">
        <w:rPr>
          <w:rFonts w:hint="cs"/>
          <w:b/>
          <w:rtl/>
        </w:rPr>
        <w:t>נו</w:t>
      </w:r>
      <w:r w:rsidR="00706DBF">
        <w:rPr>
          <w:rFonts w:hint="cs"/>
          <w:b/>
          <w:rtl/>
        </w:rPr>
        <w:t xml:space="preserve"> דין זה</w:t>
      </w:r>
      <w:r w:rsidR="00DD4DE3">
        <w:rPr>
          <w:rFonts w:hint="cs"/>
          <w:b/>
          <w:rtl/>
        </w:rPr>
        <w:t xml:space="preserve"> מהגמרא</w:t>
      </w:r>
      <w:r w:rsidR="00706DBF">
        <w:rPr>
          <w:rFonts w:hint="cs"/>
          <w:b/>
          <w:rtl/>
        </w:rPr>
        <w:t>? הגמרא כותבת שהיוצא בימי ניסן עליו לברך, והעץ ש</w:t>
      </w:r>
      <w:r w:rsidR="002B1EF5">
        <w:rPr>
          <w:rFonts w:hint="cs"/>
          <w:b/>
          <w:rtl/>
        </w:rPr>
        <w:t xml:space="preserve">לרוב </w:t>
      </w:r>
      <w:r w:rsidR="009F78E1">
        <w:rPr>
          <w:rFonts w:hint="cs"/>
          <w:b/>
          <w:rtl/>
        </w:rPr>
        <w:t>פורח</w:t>
      </w:r>
      <w:r w:rsidR="00706DBF">
        <w:rPr>
          <w:rFonts w:hint="cs"/>
          <w:b/>
          <w:rtl/>
        </w:rPr>
        <w:t xml:space="preserve"> בניסן הוא השקד - מוכח שכוונת הגמרא לעץ מאכל. </w:t>
      </w:r>
      <w:r w:rsidR="003945DD">
        <w:rPr>
          <w:rFonts w:hint="cs"/>
          <w:b/>
          <w:rtl/>
        </w:rPr>
        <w:t>ובלשון ההלכות קטנות:</w:t>
      </w:r>
    </w:p>
    <w:p w14:paraId="27965E11" w14:textId="223FB80E" w:rsidR="003945DD" w:rsidRDefault="003945DD" w:rsidP="000A3766">
      <w:pPr>
        <w:spacing w:after="40"/>
        <w:ind w:left="720"/>
        <w:rPr>
          <w:b/>
          <w:rtl/>
        </w:rPr>
      </w:pPr>
      <w:r>
        <w:rPr>
          <w:rFonts w:cs="Arial" w:hint="cs"/>
          <w:b/>
          <w:rtl/>
        </w:rPr>
        <w:t>''</w:t>
      </w:r>
      <w:r w:rsidRPr="003945DD">
        <w:rPr>
          <w:rFonts w:cs="Arial"/>
          <w:b/>
          <w:rtl/>
        </w:rPr>
        <w:t xml:space="preserve">שאלה הא </w:t>
      </w:r>
      <w:r>
        <w:rPr>
          <w:rFonts w:cs="Arial" w:hint="cs"/>
          <w:b/>
          <w:rtl/>
        </w:rPr>
        <w:t xml:space="preserve">דאמר רב </w:t>
      </w:r>
      <w:r w:rsidRPr="003945DD">
        <w:rPr>
          <w:rFonts w:cs="Arial"/>
          <w:b/>
          <w:rtl/>
        </w:rPr>
        <w:t xml:space="preserve">יהודה דנפיק ביומי דניסן וחזי אילני דקא מלבלבי אומר ברוך שלא חיסר בעולמו כלום אי הוי פרח או ציץ: תשובה </w:t>
      </w:r>
      <w:r>
        <w:rPr>
          <w:rFonts w:cs="Arial" w:hint="cs"/>
          <w:b/>
          <w:rtl/>
        </w:rPr>
        <w:t xml:space="preserve">בפירוש השולחן ערוך </w:t>
      </w:r>
      <w:r w:rsidRPr="003945DD">
        <w:rPr>
          <w:rFonts w:cs="Arial"/>
          <w:b/>
          <w:rtl/>
        </w:rPr>
        <w:t>הוכחתי דבכלל לבלוב הוי הפרחים דהיינו השושנים וגם הניצנים</w:t>
      </w:r>
      <w:r>
        <w:rPr>
          <w:rFonts w:cs="Arial" w:hint="cs"/>
          <w:b/>
          <w:rtl/>
        </w:rPr>
        <w:t>.</w:t>
      </w:r>
      <w:r w:rsidRPr="003945DD">
        <w:rPr>
          <w:rFonts w:cs="Arial"/>
          <w:b/>
          <w:rtl/>
        </w:rPr>
        <w:t xml:space="preserve"> ושם מוכח דאין לברך אלא על אילני מאכל.</w:t>
      </w:r>
      <w:r w:rsidR="0085653A">
        <w:rPr>
          <w:rFonts w:hint="cs"/>
          <w:b/>
          <w:rtl/>
        </w:rPr>
        <w:t xml:space="preserve"> </w:t>
      </w:r>
      <w:r>
        <w:rPr>
          <w:rFonts w:hint="cs"/>
          <w:b/>
          <w:rtl/>
        </w:rPr>
        <w:t>''</w:t>
      </w:r>
    </w:p>
    <w:p w14:paraId="7F459C58" w14:textId="46A61A56" w:rsidR="0047071C" w:rsidRDefault="00D21DFA" w:rsidP="004B0E46">
      <w:pPr>
        <w:spacing w:after="40"/>
        <w:rPr>
          <w:b/>
          <w:rtl/>
        </w:rPr>
      </w:pPr>
      <w:r>
        <w:rPr>
          <w:rFonts w:hint="cs"/>
          <w:b/>
          <w:rtl/>
        </w:rPr>
        <w:t xml:space="preserve">ג. </w:t>
      </w:r>
      <w:r w:rsidR="00EB2925" w:rsidRPr="00500DB3">
        <w:rPr>
          <w:rFonts w:hint="cs"/>
          <w:bCs/>
          <w:rtl/>
        </w:rPr>
        <w:t>הרב</w:t>
      </w:r>
      <w:r w:rsidR="00EB2925">
        <w:rPr>
          <w:rFonts w:hint="cs"/>
          <w:b/>
          <w:rtl/>
        </w:rPr>
        <w:t xml:space="preserve"> </w:t>
      </w:r>
      <w:r w:rsidR="00EB2925" w:rsidRPr="00500DB3">
        <w:rPr>
          <w:rFonts w:hint="cs"/>
          <w:bCs/>
          <w:rtl/>
        </w:rPr>
        <w:t>וואזנר</w:t>
      </w:r>
      <w:r w:rsidR="00EB2925">
        <w:rPr>
          <w:rFonts w:hint="cs"/>
          <w:b/>
          <w:rtl/>
        </w:rPr>
        <w:t xml:space="preserve"> </w:t>
      </w:r>
      <w:r w:rsidR="00EB2925">
        <w:rPr>
          <w:rFonts w:hint="cs"/>
          <w:b/>
          <w:sz w:val="18"/>
          <w:szCs w:val="18"/>
          <w:rtl/>
        </w:rPr>
        <w:t>(שבט הלוי ו, נג)</w:t>
      </w:r>
      <w:r w:rsidR="00EB2925">
        <w:rPr>
          <w:rFonts w:hint="cs"/>
          <w:b/>
          <w:rtl/>
        </w:rPr>
        <w:t xml:space="preserve"> </w:t>
      </w:r>
      <w:r>
        <w:rPr>
          <w:rFonts w:hint="cs"/>
          <w:b/>
          <w:rtl/>
        </w:rPr>
        <w:t xml:space="preserve">במעין דעת ביניים </w:t>
      </w:r>
      <w:r w:rsidR="00EB2925">
        <w:rPr>
          <w:rFonts w:hint="cs"/>
          <w:b/>
          <w:rtl/>
        </w:rPr>
        <w:t>נקט</w:t>
      </w:r>
      <w:r>
        <w:rPr>
          <w:rFonts w:hint="cs"/>
          <w:b/>
          <w:rtl/>
        </w:rPr>
        <w:t>,</w:t>
      </w:r>
      <w:r w:rsidR="00EB2925">
        <w:rPr>
          <w:rFonts w:hint="cs"/>
          <w:b/>
          <w:rtl/>
        </w:rPr>
        <w:t xml:space="preserve"> שלכתחילה יש לברך על עץ מאכל</w:t>
      </w:r>
      <w:r w:rsidR="008246F6">
        <w:rPr>
          <w:rFonts w:hint="cs"/>
          <w:b/>
          <w:rtl/>
        </w:rPr>
        <w:t>,</w:t>
      </w:r>
      <w:r w:rsidR="00E4108E">
        <w:rPr>
          <w:rFonts w:hint="cs"/>
          <w:b/>
          <w:rtl/>
        </w:rPr>
        <w:t xml:space="preserve"> וכדעת המשנה ברורה.</w:t>
      </w:r>
      <w:r w:rsidR="00EB2925">
        <w:rPr>
          <w:rFonts w:hint="cs"/>
          <w:b/>
          <w:rtl/>
        </w:rPr>
        <w:t xml:space="preserve"> </w:t>
      </w:r>
      <w:r w:rsidR="0047071C">
        <w:rPr>
          <w:rFonts w:hint="cs"/>
          <w:b/>
          <w:rtl/>
        </w:rPr>
        <w:t xml:space="preserve">מכל מקום </w:t>
      </w:r>
      <w:r w:rsidR="00EB2925">
        <w:rPr>
          <w:rFonts w:hint="cs"/>
          <w:b/>
          <w:rtl/>
        </w:rPr>
        <w:t>הוסיף ש</w:t>
      </w:r>
      <w:r w:rsidR="0047071C">
        <w:rPr>
          <w:rFonts w:hint="cs"/>
          <w:b/>
          <w:rtl/>
        </w:rPr>
        <w:t xml:space="preserve">בדיעבד, מי שבירך </w:t>
      </w:r>
      <w:r w:rsidR="00BE7799">
        <w:rPr>
          <w:rFonts w:hint="cs"/>
          <w:b/>
          <w:rtl/>
        </w:rPr>
        <w:t xml:space="preserve">בטעות </w:t>
      </w:r>
      <w:r w:rsidR="0047071C">
        <w:rPr>
          <w:rFonts w:hint="cs"/>
          <w:b/>
          <w:rtl/>
        </w:rPr>
        <w:t xml:space="preserve">על עץ סרק לא יחזור ויברך על עץ מאכל, </w:t>
      </w:r>
      <w:r w:rsidR="007741A8">
        <w:rPr>
          <w:rFonts w:hint="cs"/>
          <w:b/>
          <w:rtl/>
        </w:rPr>
        <w:t>וי</w:t>
      </w:r>
      <w:r w:rsidR="0047071C">
        <w:rPr>
          <w:rFonts w:hint="cs"/>
          <w:b/>
          <w:rtl/>
        </w:rPr>
        <w:t xml:space="preserve">חשוש </w:t>
      </w:r>
      <w:r w:rsidR="00BE7799">
        <w:rPr>
          <w:rFonts w:hint="cs"/>
          <w:b/>
          <w:rtl/>
        </w:rPr>
        <w:t xml:space="preserve">לדעת היעב''ץ </w:t>
      </w:r>
      <w:r w:rsidR="0047071C">
        <w:rPr>
          <w:rFonts w:hint="cs"/>
          <w:b/>
          <w:rtl/>
        </w:rPr>
        <w:t>הסובר שכבר יצא ידי חובה בעץ סרק</w:t>
      </w:r>
      <w:r w:rsidR="00F413CA">
        <w:rPr>
          <w:rFonts w:hint="cs"/>
          <w:b/>
          <w:rtl/>
        </w:rPr>
        <w:t xml:space="preserve"> וברכה </w:t>
      </w:r>
      <w:r w:rsidR="0047071C">
        <w:rPr>
          <w:rFonts w:hint="cs"/>
          <w:b/>
          <w:rtl/>
        </w:rPr>
        <w:t>על עץ נוסף תהיה לבטלה</w:t>
      </w:r>
      <w:r>
        <w:rPr>
          <w:rFonts w:hint="cs"/>
          <w:b/>
          <w:rtl/>
        </w:rPr>
        <w:t>.</w:t>
      </w:r>
    </w:p>
    <w:p w14:paraId="4E2B91C2" w14:textId="650C87FC" w:rsidR="00F85E44" w:rsidRPr="00F85E44" w:rsidRDefault="00F85E44" w:rsidP="00F85E44">
      <w:pPr>
        <w:spacing w:after="40"/>
        <w:rPr>
          <w:b/>
          <w:u w:val="single"/>
          <w:rtl/>
        </w:rPr>
      </w:pPr>
      <w:r>
        <w:rPr>
          <w:rFonts w:hint="cs"/>
          <w:b/>
          <w:u w:val="single"/>
          <w:rtl/>
        </w:rPr>
        <w:t>פירות ערלה ועץ מורכב</w:t>
      </w:r>
    </w:p>
    <w:p w14:paraId="340EFC2C" w14:textId="0B534582" w:rsidR="00F85E44" w:rsidRDefault="00447589" w:rsidP="004B0E46">
      <w:pPr>
        <w:spacing w:after="40"/>
        <w:rPr>
          <w:b/>
          <w:rtl/>
        </w:rPr>
      </w:pPr>
      <w:r>
        <w:rPr>
          <w:rFonts w:hint="cs"/>
          <w:b/>
          <w:rtl/>
        </w:rPr>
        <w:t xml:space="preserve">דנו הפוסקים, </w:t>
      </w:r>
      <w:r w:rsidR="0047071C">
        <w:rPr>
          <w:rFonts w:hint="cs"/>
          <w:b/>
          <w:rtl/>
        </w:rPr>
        <w:t xml:space="preserve">האם מותר לברך על </w:t>
      </w:r>
      <w:r w:rsidR="00BF4094">
        <w:rPr>
          <w:rFonts w:hint="cs"/>
          <w:b/>
          <w:rtl/>
        </w:rPr>
        <w:t xml:space="preserve">עץ </w:t>
      </w:r>
      <w:r w:rsidR="0047071C">
        <w:rPr>
          <w:rFonts w:hint="cs"/>
          <w:b/>
          <w:rtl/>
        </w:rPr>
        <w:t>פרי ערלה</w:t>
      </w:r>
      <w:r w:rsidR="00F85E44">
        <w:rPr>
          <w:rFonts w:hint="cs"/>
          <w:b/>
          <w:rtl/>
        </w:rPr>
        <w:t>:</w:t>
      </w:r>
      <w:r w:rsidR="0047071C">
        <w:rPr>
          <w:rFonts w:hint="cs"/>
          <w:b/>
          <w:rtl/>
        </w:rPr>
        <w:t xml:space="preserve"> </w:t>
      </w:r>
    </w:p>
    <w:p w14:paraId="4237D0A8" w14:textId="598AEB62" w:rsidR="006A5385" w:rsidRDefault="00F85E44" w:rsidP="00F85E44">
      <w:pPr>
        <w:spacing w:after="40"/>
        <w:rPr>
          <w:b/>
          <w:rtl/>
        </w:rPr>
      </w:pPr>
      <w:r>
        <w:rPr>
          <w:rFonts w:hint="cs"/>
          <w:b/>
          <w:rtl/>
        </w:rPr>
        <w:t xml:space="preserve">א. </w:t>
      </w:r>
      <w:r w:rsidR="0047071C" w:rsidRPr="00447589">
        <w:rPr>
          <w:rFonts w:hint="cs"/>
          <w:bCs/>
          <w:rtl/>
        </w:rPr>
        <w:t>רבי עקיבא</w:t>
      </w:r>
      <w:r w:rsidR="0047071C">
        <w:rPr>
          <w:rFonts w:hint="cs"/>
          <w:b/>
          <w:rtl/>
        </w:rPr>
        <w:t xml:space="preserve"> </w:t>
      </w:r>
      <w:r w:rsidR="0047071C" w:rsidRPr="00447589">
        <w:rPr>
          <w:rFonts w:hint="cs"/>
          <w:bCs/>
          <w:rtl/>
        </w:rPr>
        <w:t>איגר</w:t>
      </w:r>
      <w:r w:rsidR="0047071C">
        <w:rPr>
          <w:rFonts w:hint="cs"/>
          <w:b/>
          <w:rtl/>
        </w:rPr>
        <w:t xml:space="preserve"> </w:t>
      </w:r>
      <w:r w:rsidR="0047071C">
        <w:rPr>
          <w:rFonts w:hint="cs"/>
          <w:b/>
          <w:sz w:val="18"/>
          <w:szCs w:val="18"/>
          <w:rtl/>
        </w:rPr>
        <w:t xml:space="preserve">(רכו) </w:t>
      </w:r>
      <w:r w:rsidR="00447589">
        <w:rPr>
          <w:rFonts w:hint="cs"/>
          <w:b/>
          <w:rtl/>
        </w:rPr>
        <w:t xml:space="preserve">פסק שאין לברך על אילן כזה, מכיוון שאי אפשר להינות מפירותיו, וכן פסק גם </w:t>
      </w:r>
      <w:r w:rsidR="00447589" w:rsidRPr="00447589">
        <w:rPr>
          <w:rFonts w:hint="cs"/>
          <w:bCs/>
          <w:rtl/>
        </w:rPr>
        <w:t>כף החיים</w:t>
      </w:r>
      <w:r w:rsidR="00F96C0C">
        <w:rPr>
          <w:rFonts w:hint="cs"/>
          <w:bCs/>
          <w:rtl/>
        </w:rPr>
        <w:t xml:space="preserve"> </w:t>
      </w:r>
      <w:r w:rsidR="00F96C0C" w:rsidRPr="00F96C0C">
        <w:rPr>
          <w:rFonts w:hint="cs"/>
          <w:b/>
          <w:sz w:val="18"/>
          <w:szCs w:val="18"/>
          <w:rtl/>
        </w:rPr>
        <w:t>(רכו שם)</w:t>
      </w:r>
      <w:r w:rsidR="00447589">
        <w:rPr>
          <w:rFonts w:hint="cs"/>
          <w:b/>
          <w:rtl/>
        </w:rPr>
        <w:t>.</w:t>
      </w:r>
      <w:r>
        <w:rPr>
          <w:rFonts w:hint="cs"/>
          <w:b/>
          <w:rtl/>
        </w:rPr>
        <w:t xml:space="preserve"> ב. </w:t>
      </w:r>
      <w:r w:rsidR="00DD4DE3" w:rsidRPr="00470386">
        <w:rPr>
          <w:rFonts w:hint="cs"/>
          <w:bCs/>
          <w:rtl/>
        </w:rPr>
        <w:t>הבן איש חי</w:t>
      </w:r>
      <w:r w:rsidR="00DD4DE3">
        <w:rPr>
          <w:rFonts w:hint="cs"/>
          <w:b/>
          <w:rtl/>
        </w:rPr>
        <w:t xml:space="preserve"> </w:t>
      </w:r>
      <w:r w:rsidR="00DD4DE3">
        <w:rPr>
          <w:rFonts w:hint="cs"/>
          <w:b/>
          <w:sz w:val="18"/>
          <w:szCs w:val="18"/>
          <w:rtl/>
        </w:rPr>
        <w:t xml:space="preserve">(רב פעלים ג, ט) </w:t>
      </w:r>
      <w:r w:rsidR="00DD4DE3" w:rsidRPr="00983C3C">
        <w:rPr>
          <w:rFonts w:hint="cs"/>
          <w:bCs/>
          <w:rtl/>
        </w:rPr>
        <w:t xml:space="preserve">הגרש''ז אויערבך </w:t>
      </w:r>
      <w:r w:rsidR="00983C3C" w:rsidRPr="00983C3C">
        <w:rPr>
          <w:rFonts w:hint="cs"/>
          <w:b/>
          <w:sz w:val="18"/>
          <w:szCs w:val="18"/>
          <w:rtl/>
        </w:rPr>
        <w:t>(הליכות שלמה שם)</w:t>
      </w:r>
      <w:r w:rsidR="00983C3C">
        <w:rPr>
          <w:rFonts w:hint="cs"/>
          <w:bCs/>
          <w:sz w:val="18"/>
          <w:szCs w:val="18"/>
          <w:rtl/>
        </w:rPr>
        <w:t xml:space="preserve"> </w:t>
      </w:r>
      <w:r w:rsidR="00DD4DE3" w:rsidRPr="00983C3C">
        <w:rPr>
          <w:rFonts w:hint="cs"/>
          <w:bCs/>
          <w:rtl/>
        </w:rPr>
        <w:t>והרב עובדיה</w:t>
      </w:r>
      <w:r>
        <w:rPr>
          <w:rFonts w:hint="cs"/>
          <w:bCs/>
          <w:rtl/>
        </w:rPr>
        <w:t xml:space="preserve"> </w:t>
      </w:r>
      <w:r w:rsidRPr="00F85E44">
        <w:rPr>
          <w:rFonts w:hint="cs"/>
          <w:b/>
          <w:sz w:val="18"/>
          <w:szCs w:val="18"/>
          <w:rtl/>
        </w:rPr>
        <w:t>(יחוה דעת שם)</w:t>
      </w:r>
      <w:r>
        <w:rPr>
          <w:rFonts w:hint="cs"/>
          <w:b/>
          <w:rtl/>
        </w:rPr>
        <w:t xml:space="preserve"> נקטו שמותר לברך על פירות ערלה, </w:t>
      </w:r>
      <w:r>
        <w:rPr>
          <w:rFonts w:hint="cs"/>
          <w:b/>
          <w:rtl/>
        </w:rPr>
        <w:t>מכיוון שאין פגם מהותי בעץ, וזהו רק עניין של זמן עד שפירותיו יותרו באכילה</w:t>
      </w:r>
      <w:r w:rsidR="00DD4DE3">
        <w:rPr>
          <w:rFonts w:hint="cs"/>
          <w:b/>
          <w:rtl/>
        </w:rPr>
        <w:t>.</w:t>
      </w:r>
      <w:r w:rsidR="003F341A">
        <w:rPr>
          <w:rFonts w:hint="cs"/>
          <w:b/>
          <w:rtl/>
        </w:rPr>
        <w:t xml:space="preserve"> </w:t>
      </w:r>
    </w:p>
    <w:p w14:paraId="724CA34E" w14:textId="5A30F3FE" w:rsidR="006A5385" w:rsidRDefault="00F85E44" w:rsidP="004B0E46">
      <w:pPr>
        <w:spacing w:after="40"/>
        <w:rPr>
          <w:b/>
          <w:rtl/>
        </w:rPr>
      </w:pPr>
      <w:r>
        <w:rPr>
          <w:rFonts w:hint="cs"/>
          <w:b/>
          <w:rtl/>
        </w:rPr>
        <w:t>עם זאת</w:t>
      </w:r>
      <w:r w:rsidR="004F7596">
        <w:rPr>
          <w:rFonts w:hint="cs"/>
          <w:b/>
          <w:rtl/>
        </w:rPr>
        <w:t xml:space="preserve"> מחמת כך</w:t>
      </w:r>
      <w:r>
        <w:rPr>
          <w:rFonts w:hint="cs"/>
          <w:b/>
          <w:rtl/>
        </w:rPr>
        <w:t xml:space="preserve">, </w:t>
      </w:r>
      <w:r w:rsidR="0017262C">
        <w:rPr>
          <w:rFonts w:hint="cs"/>
          <w:b/>
          <w:rtl/>
        </w:rPr>
        <w:t xml:space="preserve">פוסקים </w:t>
      </w:r>
      <w:r w:rsidR="00F75D7C">
        <w:rPr>
          <w:rFonts w:hint="cs"/>
          <w:b/>
          <w:rtl/>
        </w:rPr>
        <w:t xml:space="preserve">רבים </w:t>
      </w:r>
      <w:r w:rsidR="0017262C">
        <w:rPr>
          <w:rFonts w:hint="cs"/>
          <w:b/>
          <w:rtl/>
        </w:rPr>
        <w:t xml:space="preserve">נקטו שאין לברך על עץ מורכב, מכיוון שאין לברך על מה שנעשה כנגד רצון הבורא. </w:t>
      </w:r>
      <w:r w:rsidR="00F07BEC">
        <w:rPr>
          <w:rFonts w:hint="cs"/>
          <w:b/>
          <w:rtl/>
        </w:rPr>
        <w:t>ועל א</w:t>
      </w:r>
      <w:r w:rsidR="00404F86">
        <w:rPr>
          <w:rFonts w:hint="cs"/>
          <w:b/>
          <w:rtl/>
        </w:rPr>
        <w:t>ף</w:t>
      </w:r>
      <w:r w:rsidR="00F07BEC">
        <w:rPr>
          <w:rFonts w:hint="cs"/>
          <w:b/>
          <w:rtl/>
        </w:rPr>
        <w:t xml:space="preserve"> </w:t>
      </w:r>
      <w:r w:rsidR="0017262C">
        <w:rPr>
          <w:rFonts w:hint="cs"/>
          <w:b/>
          <w:rtl/>
        </w:rPr>
        <w:t>שעל פירות של עץ מורכב יש לברך שהחיינו</w:t>
      </w:r>
      <w:r>
        <w:rPr>
          <w:rFonts w:hint="cs"/>
          <w:b/>
          <w:rtl/>
        </w:rPr>
        <w:t xml:space="preserve"> וכפי שראינו בעבר </w:t>
      </w:r>
      <w:r>
        <w:rPr>
          <w:rFonts w:hint="cs"/>
          <w:b/>
          <w:sz w:val="18"/>
          <w:szCs w:val="18"/>
          <w:rtl/>
        </w:rPr>
        <w:t>(קדושים שנה ד')</w:t>
      </w:r>
      <w:r w:rsidR="0017262C">
        <w:rPr>
          <w:rFonts w:hint="cs"/>
          <w:b/>
          <w:rtl/>
        </w:rPr>
        <w:t xml:space="preserve">, ברכת שהחיינו היא על הפירות של האילן המורכב </w:t>
      </w:r>
      <w:r>
        <w:rPr>
          <w:rFonts w:hint="cs"/>
          <w:b/>
          <w:rtl/>
        </w:rPr>
        <w:t>ה</w:t>
      </w:r>
      <w:r w:rsidR="0017262C">
        <w:rPr>
          <w:rFonts w:hint="cs"/>
          <w:b/>
          <w:rtl/>
        </w:rPr>
        <w:t>מותרים באכילה, ואילו ברכת האילנות היא על האילן ממש שהורכב באיסור.</w:t>
      </w:r>
    </w:p>
    <w:p w14:paraId="66DC83AA" w14:textId="77777777" w:rsidR="009901FF" w:rsidRPr="006A45F2" w:rsidRDefault="009901FF" w:rsidP="00365327">
      <w:pPr>
        <w:rPr>
          <w:b/>
          <w:u w:val="single"/>
          <w:rtl/>
        </w:rPr>
      </w:pPr>
      <w:r>
        <w:rPr>
          <w:rFonts w:hint="cs"/>
          <w:b/>
          <w:u w:val="single"/>
          <w:rtl/>
        </w:rPr>
        <w:t>מצב האילן</w:t>
      </w:r>
    </w:p>
    <w:p w14:paraId="34B403C6" w14:textId="3D2A9AB8" w:rsidR="009901FF" w:rsidRDefault="0037055E" w:rsidP="00365327">
      <w:pPr>
        <w:rPr>
          <w:b/>
          <w:rtl/>
        </w:rPr>
      </w:pPr>
      <w:r>
        <w:rPr>
          <w:rFonts w:hint="cs"/>
          <w:b/>
          <w:rtl/>
        </w:rPr>
        <w:t xml:space="preserve">הגמרא במסכת ברכות </w:t>
      </w:r>
      <w:r>
        <w:rPr>
          <w:rFonts w:hint="cs"/>
          <w:b/>
          <w:sz w:val="18"/>
          <w:szCs w:val="18"/>
          <w:rtl/>
        </w:rPr>
        <w:t xml:space="preserve">(שם) </w:t>
      </w:r>
      <w:r>
        <w:rPr>
          <w:rFonts w:hint="cs"/>
          <w:b/>
          <w:rtl/>
        </w:rPr>
        <w:t>כותבת, שהרואה אילנות מלבלבים מברך</w:t>
      </w:r>
      <w:r>
        <w:rPr>
          <w:rFonts w:hint="cs"/>
          <w:b/>
          <w:rtl/>
        </w:rPr>
        <w:t xml:space="preserve"> ברכת האילנות. נחלקו הפוסקים בעקבות כך, </w:t>
      </w:r>
      <w:r w:rsidR="009901FF">
        <w:rPr>
          <w:rFonts w:hint="cs"/>
          <w:b/>
          <w:rtl/>
        </w:rPr>
        <w:t>באיזה מצב פריחה צריך להיות האילן, כדי שיהיה אפשר לברך</w:t>
      </w:r>
      <w:r>
        <w:rPr>
          <w:rFonts w:hint="cs"/>
          <w:b/>
          <w:rtl/>
        </w:rPr>
        <w:t>:</w:t>
      </w:r>
    </w:p>
    <w:p w14:paraId="790195CC" w14:textId="3A290F3B" w:rsidR="009901FF" w:rsidRPr="00B069AE" w:rsidRDefault="009901FF" w:rsidP="00365327">
      <w:pPr>
        <w:rPr>
          <w:b/>
          <w:rtl/>
        </w:rPr>
      </w:pPr>
      <w:r>
        <w:rPr>
          <w:rFonts w:hint="cs"/>
          <w:b/>
          <w:rtl/>
        </w:rPr>
        <w:t xml:space="preserve">א. </w:t>
      </w:r>
      <w:r w:rsidRPr="00B069AE">
        <w:rPr>
          <w:rFonts w:hint="cs"/>
          <w:bCs/>
          <w:rtl/>
        </w:rPr>
        <w:t>הרמב''ם</w:t>
      </w:r>
      <w:r>
        <w:rPr>
          <w:rFonts w:hint="cs"/>
          <w:b/>
          <w:rtl/>
        </w:rPr>
        <w:t xml:space="preserve"> </w:t>
      </w:r>
      <w:r>
        <w:rPr>
          <w:rFonts w:hint="cs"/>
          <w:b/>
          <w:sz w:val="18"/>
          <w:szCs w:val="18"/>
          <w:rtl/>
        </w:rPr>
        <w:t>(ברכות י, יג)</w:t>
      </w:r>
      <w:r w:rsidR="0037055E">
        <w:rPr>
          <w:rFonts w:hint="cs"/>
          <w:b/>
          <w:rtl/>
        </w:rPr>
        <w:t xml:space="preserve"> הבין</w:t>
      </w:r>
      <w:r>
        <w:rPr>
          <w:rFonts w:hint="cs"/>
          <w:b/>
          <w:rtl/>
        </w:rPr>
        <w:t xml:space="preserve">, שדווקא כאשר יש פרחים על העץ ניתן לברך, אבל כאשר כבר גדלו הפירות העץ לא נמצא במצב של פריחה ואי אפשר לברך. כך משמע גם מלשון </w:t>
      </w:r>
      <w:r w:rsidRPr="004A04C8">
        <w:rPr>
          <w:rFonts w:hint="cs"/>
          <w:bCs/>
          <w:rtl/>
        </w:rPr>
        <w:t>השולחן ערוך</w:t>
      </w:r>
      <w:r>
        <w:rPr>
          <w:rFonts w:hint="cs"/>
          <w:b/>
          <w:rtl/>
        </w:rPr>
        <w:t xml:space="preserve"> </w:t>
      </w:r>
      <w:r>
        <w:rPr>
          <w:rFonts w:hint="cs"/>
          <w:b/>
          <w:sz w:val="18"/>
          <w:szCs w:val="18"/>
          <w:rtl/>
        </w:rPr>
        <w:t xml:space="preserve">(רכו, א) </w:t>
      </w:r>
      <w:r>
        <w:rPr>
          <w:rFonts w:hint="cs"/>
          <w:b/>
          <w:rtl/>
        </w:rPr>
        <w:t xml:space="preserve">שכתב בעקבות </w:t>
      </w:r>
      <w:r w:rsidRPr="004A04C8">
        <w:rPr>
          <w:rFonts w:hint="cs"/>
          <w:bCs/>
          <w:rtl/>
        </w:rPr>
        <w:t>הטור</w:t>
      </w:r>
      <w:r>
        <w:rPr>
          <w:rFonts w:hint="cs"/>
          <w:b/>
          <w:rtl/>
        </w:rPr>
        <w:t xml:space="preserve">, שאם איחר לברך עד שגדלו הפירות - לא יברך עוד, וכן פסקו </w:t>
      </w:r>
      <w:r w:rsidRPr="0018227B">
        <w:rPr>
          <w:rFonts w:hint="cs"/>
          <w:bCs/>
          <w:rtl/>
        </w:rPr>
        <w:t>כף</w:t>
      </w:r>
      <w:r>
        <w:rPr>
          <w:rFonts w:hint="cs"/>
          <w:b/>
          <w:rtl/>
        </w:rPr>
        <w:t xml:space="preserve"> </w:t>
      </w:r>
      <w:r w:rsidRPr="0018227B">
        <w:rPr>
          <w:rFonts w:hint="cs"/>
          <w:bCs/>
          <w:rtl/>
        </w:rPr>
        <w:t>החיים</w:t>
      </w:r>
      <w:r>
        <w:rPr>
          <w:rFonts w:hint="cs"/>
          <w:b/>
          <w:rtl/>
        </w:rPr>
        <w:t xml:space="preserve"> </w:t>
      </w:r>
      <w:r>
        <w:rPr>
          <w:rFonts w:hint="cs"/>
          <w:b/>
          <w:sz w:val="18"/>
          <w:szCs w:val="18"/>
          <w:rtl/>
        </w:rPr>
        <w:t xml:space="preserve">(שם, ט) </w:t>
      </w:r>
      <w:r w:rsidRPr="0018227B">
        <w:rPr>
          <w:rFonts w:hint="cs"/>
          <w:bCs/>
          <w:rtl/>
        </w:rPr>
        <w:t>והרב</w:t>
      </w:r>
      <w:r>
        <w:rPr>
          <w:rFonts w:hint="cs"/>
          <w:b/>
          <w:rtl/>
        </w:rPr>
        <w:t xml:space="preserve"> </w:t>
      </w:r>
      <w:r w:rsidRPr="0018227B">
        <w:rPr>
          <w:rFonts w:hint="cs"/>
          <w:bCs/>
          <w:rtl/>
        </w:rPr>
        <w:t>עובדיה</w:t>
      </w:r>
      <w:r>
        <w:rPr>
          <w:rFonts w:hint="cs"/>
          <w:bCs/>
          <w:rtl/>
        </w:rPr>
        <w:t xml:space="preserve"> </w:t>
      </w:r>
      <w:r w:rsidRPr="0018227B">
        <w:rPr>
          <w:rFonts w:hint="cs"/>
          <w:b/>
          <w:sz w:val="18"/>
          <w:szCs w:val="18"/>
          <w:rtl/>
        </w:rPr>
        <w:t>(חזון עובדיה ברכת האילנות)</w:t>
      </w:r>
      <w:r>
        <w:rPr>
          <w:rFonts w:hint="cs"/>
          <w:bCs/>
          <w:rtl/>
        </w:rPr>
        <w:t>.</w:t>
      </w:r>
    </w:p>
    <w:p w14:paraId="6E75C752" w14:textId="3E44C66B" w:rsidR="004B0E46" w:rsidRDefault="009901FF" w:rsidP="00A945CD">
      <w:pPr>
        <w:rPr>
          <w:b/>
          <w:rtl/>
        </w:rPr>
      </w:pPr>
      <w:r>
        <w:rPr>
          <w:rFonts w:hint="cs"/>
          <w:b/>
          <w:rtl/>
        </w:rPr>
        <w:t xml:space="preserve">ב. </w:t>
      </w:r>
      <w:r w:rsidRPr="0060328A">
        <w:rPr>
          <w:rFonts w:hint="cs"/>
          <w:bCs/>
          <w:rtl/>
        </w:rPr>
        <w:t>המרדכי</w:t>
      </w:r>
      <w:r>
        <w:rPr>
          <w:rFonts w:hint="cs"/>
          <w:b/>
          <w:rtl/>
        </w:rPr>
        <w:t xml:space="preserve"> </w:t>
      </w:r>
      <w:r>
        <w:rPr>
          <w:rFonts w:hint="cs"/>
          <w:b/>
          <w:sz w:val="18"/>
          <w:szCs w:val="18"/>
          <w:rtl/>
        </w:rPr>
        <w:t xml:space="preserve">(ברכות תמח) </w:t>
      </w:r>
      <w:r w:rsidR="00A945CD" w:rsidRPr="00A945CD">
        <w:rPr>
          <w:rFonts w:hint="cs"/>
          <w:b/>
          <w:rtl/>
        </w:rPr>
        <w:t xml:space="preserve">ובעקבותיו </w:t>
      </w:r>
      <w:r w:rsidR="00A945CD" w:rsidRPr="0060328A">
        <w:rPr>
          <w:rFonts w:hint="cs"/>
          <w:bCs/>
          <w:rtl/>
        </w:rPr>
        <w:t xml:space="preserve">הב''ח </w:t>
      </w:r>
      <w:r w:rsidR="00A945CD" w:rsidRPr="0060328A">
        <w:rPr>
          <w:rFonts w:hint="cs"/>
          <w:b/>
          <w:sz w:val="18"/>
          <w:szCs w:val="18"/>
          <w:rtl/>
        </w:rPr>
        <w:t>(שם, ב)</w:t>
      </w:r>
      <w:r w:rsidR="00A945CD">
        <w:rPr>
          <w:rFonts w:hint="cs"/>
          <w:bCs/>
          <w:sz w:val="18"/>
          <w:szCs w:val="18"/>
          <w:rtl/>
        </w:rPr>
        <w:t xml:space="preserve"> </w:t>
      </w:r>
      <w:r w:rsidR="00A945CD" w:rsidRPr="0060328A">
        <w:rPr>
          <w:rFonts w:hint="cs"/>
          <w:bCs/>
          <w:rtl/>
        </w:rPr>
        <w:t>והגר''א</w:t>
      </w:r>
      <w:r w:rsidR="00A945CD">
        <w:rPr>
          <w:rFonts w:hint="cs"/>
          <w:b/>
          <w:rtl/>
        </w:rPr>
        <w:t xml:space="preserve"> </w:t>
      </w:r>
      <w:r w:rsidR="00A945CD">
        <w:rPr>
          <w:rFonts w:hint="cs"/>
          <w:b/>
          <w:sz w:val="18"/>
          <w:szCs w:val="18"/>
          <w:rtl/>
        </w:rPr>
        <w:t>(ד''ה ואם)</w:t>
      </w:r>
      <w:r>
        <w:rPr>
          <w:rFonts w:hint="cs"/>
          <w:b/>
          <w:rtl/>
        </w:rPr>
        <w:t xml:space="preserve">חלק וסבר, שלמרות שמעיקר הדין כאשר אדם פוגש אילנות המעלים פרחים עליו לברך עליהם כפי שכתב הרמב''ם, אבל אם האילן הראשון שראה היה אילן שעלו בו כבר פירות, אפשר לברך, שהרי אחרי הכל גם בעץ כזה רואים את התחדשות הבריאה. </w:t>
      </w:r>
    </w:p>
    <w:p w14:paraId="0121E538" w14:textId="2F3063EA" w:rsidR="00E855D0" w:rsidRPr="004B0E46" w:rsidRDefault="00BE5C01" w:rsidP="004B0E46">
      <w:pPr>
        <w:rPr>
          <w:b/>
          <w:rtl/>
        </w:rPr>
      </w:pPr>
      <w:r>
        <w:rPr>
          <w:rFonts w:asciiTheme="minorBidi" w:hAnsiTheme="minorBidi" w:hint="cs"/>
          <w:b/>
          <w:bCs/>
          <w:color w:val="000000"/>
          <w:rtl/>
        </w:rPr>
        <w:t>חודש טוב</w:t>
      </w:r>
      <w:r w:rsidR="006A5385">
        <w:rPr>
          <w:rStyle w:val="a9"/>
          <w:rFonts w:asciiTheme="minorBidi" w:hAnsiTheme="minorBidi"/>
          <w:b/>
          <w:bCs/>
          <w:color w:val="000000"/>
          <w:rtl/>
        </w:rPr>
        <w:footnoteReference w:id="3"/>
      </w:r>
      <w:r w:rsidR="006A5385">
        <w:rPr>
          <w:rFonts w:asciiTheme="minorBidi" w:hAnsiTheme="minorBidi"/>
          <w:b/>
          <w:bCs/>
          <w:color w:val="000000"/>
        </w:rPr>
        <w:t>…</w:t>
      </w:r>
    </w:p>
    <w:sectPr w:rsidR="00E855D0" w:rsidRPr="004B0E46" w:rsidSect="00E855D0">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26A15" w14:textId="77777777" w:rsidR="008D6FF3" w:rsidRDefault="008D6FF3" w:rsidP="00E855D0">
      <w:pPr>
        <w:spacing w:after="0" w:line="240" w:lineRule="auto"/>
      </w:pPr>
      <w:r>
        <w:separator/>
      </w:r>
    </w:p>
  </w:endnote>
  <w:endnote w:type="continuationSeparator" w:id="0">
    <w:p w14:paraId="37B167C5" w14:textId="77777777" w:rsidR="008D6FF3" w:rsidRDefault="008D6FF3" w:rsidP="00E855D0">
      <w:pPr>
        <w:spacing w:after="0" w:line="240" w:lineRule="auto"/>
      </w:pPr>
      <w:r>
        <w:continuationSeparator/>
      </w:r>
    </w:p>
  </w:endnote>
  <w:endnote w:type="continuationNotice" w:id="1">
    <w:p w14:paraId="4FAC3C74" w14:textId="77777777" w:rsidR="008D6FF3" w:rsidRDefault="008D6F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7F5F4" w14:textId="77777777" w:rsidR="008D6FF3" w:rsidRDefault="008D6FF3" w:rsidP="00E855D0">
      <w:pPr>
        <w:spacing w:after="0" w:line="240" w:lineRule="auto"/>
      </w:pPr>
      <w:r>
        <w:separator/>
      </w:r>
    </w:p>
  </w:footnote>
  <w:footnote w:type="continuationSeparator" w:id="0">
    <w:p w14:paraId="00018901" w14:textId="77777777" w:rsidR="008D6FF3" w:rsidRDefault="008D6FF3" w:rsidP="00E855D0">
      <w:pPr>
        <w:spacing w:after="0" w:line="240" w:lineRule="auto"/>
      </w:pPr>
      <w:r>
        <w:continuationSeparator/>
      </w:r>
    </w:p>
  </w:footnote>
  <w:footnote w:type="continuationNotice" w:id="1">
    <w:p w14:paraId="2EFA8BB7" w14:textId="77777777" w:rsidR="008D6FF3" w:rsidRDefault="008D6FF3">
      <w:pPr>
        <w:spacing w:after="0" w:line="240" w:lineRule="auto"/>
      </w:pPr>
    </w:p>
  </w:footnote>
  <w:footnote w:id="2">
    <w:p w14:paraId="627C0918" w14:textId="2921A120" w:rsidR="004916A6" w:rsidRDefault="004916A6">
      <w:pPr>
        <w:pStyle w:val="a7"/>
      </w:pPr>
      <w:r>
        <w:rPr>
          <w:rStyle w:val="a9"/>
        </w:rPr>
        <w:footnoteRef/>
      </w:r>
      <w:r>
        <w:rPr>
          <w:rtl/>
        </w:rPr>
        <w:t xml:space="preserve"> </w:t>
      </w:r>
      <w:r>
        <w:rPr>
          <w:rFonts w:hint="cs"/>
          <w:rtl/>
        </w:rPr>
        <w:t xml:space="preserve">לדעת הפוסקים האשכנזים בעקבות </w:t>
      </w:r>
      <w:r w:rsidRPr="004916A6">
        <w:rPr>
          <w:rFonts w:hint="cs"/>
          <w:b/>
          <w:bCs/>
          <w:rtl/>
        </w:rPr>
        <w:t>רבינו תם</w:t>
      </w:r>
      <w:r>
        <w:rPr>
          <w:rFonts w:hint="cs"/>
          <w:rtl/>
        </w:rPr>
        <w:t xml:space="preserve">, למרות שאשה פטורה ממצוות עשה שהזמן גרמא היא בכל זאת יכולה לחייב את עצמה ולברך. לעומת זאת לדעת הספרדים בעקבות </w:t>
      </w:r>
      <w:r w:rsidRPr="004916A6">
        <w:rPr>
          <w:rFonts w:hint="cs"/>
          <w:b/>
          <w:bCs/>
          <w:rtl/>
        </w:rPr>
        <w:t>הרמב''ם</w:t>
      </w:r>
      <w:r>
        <w:rPr>
          <w:rFonts w:hint="cs"/>
          <w:rtl/>
        </w:rPr>
        <w:t xml:space="preserve">, אסור לאשה לברך על מצוות עשה שהזמן גרמא </w:t>
      </w:r>
      <w:r>
        <w:rPr>
          <w:rFonts w:hint="cs"/>
          <w:sz w:val="16"/>
          <w:szCs w:val="16"/>
          <w:rtl/>
        </w:rPr>
        <w:t>(למעט לולב וכדומה שחלק סוברים שיכול</w:t>
      </w:r>
      <w:r w:rsidR="00147F85">
        <w:rPr>
          <w:rFonts w:hint="cs"/>
          <w:sz w:val="16"/>
          <w:szCs w:val="16"/>
          <w:rtl/>
        </w:rPr>
        <w:t>ות</w:t>
      </w:r>
      <w:r>
        <w:rPr>
          <w:rFonts w:hint="cs"/>
          <w:sz w:val="16"/>
          <w:szCs w:val="16"/>
          <w:rtl/>
        </w:rPr>
        <w:t xml:space="preserve"> לברך וכפי שראינו בעבר בדף לסוכות)</w:t>
      </w:r>
      <w:r>
        <w:rPr>
          <w:rFonts w:hint="cs"/>
          <w:rtl/>
        </w:rPr>
        <w:t xml:space="preserve">. משום כך לשיטת הרב אליהו הצועד בשיטת הספרדים, גם </w:t>
      </w:r>
      <w:r w:rsidR="008C611A">
        <w:rPr>
          <w:rFonts w:hint="cs"/>
          <w:rtl/>
        </w:rPr>
        <w:t xml:space="preserve">אם </w:t>
      </w:r>
      <w:r>
        <w:rPr>
          <w:rFonts w:hint="cs"/>
          <w:rtl/>
        </w:rPr>
        <w:t xml:space="preserve">היא רוצה לברך ברכת האילנות אסור לה.  </w:t>
      </w:r>
    </w:p>
  </w:footnote>
  <w:footnote w:id="3">
    <w:p w14:paraId="4B75CFC2" w14:textId="77777777" w:rsidR="006A5385" w:rsidRPr="008C7D92" w:rsidRDefault="006A5385" w:rsidP="006A5385">
      <w:pPr>
        <w:pStyle w:val="a7"/>
        <w:rPr>
          <w:rFonts w:asciiTheme="minorBidi" w:hAnsiTheme="minorBidi"/>
        </w:rPr>
      </w:pPr>
      <w:r w:rsidRPr="008C7D92">
        <w:rPr>
          <w:rStyle w:val="a9"/>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0"/>
    <w:rsid w:val="0000130A"/>
    <w:rsid w:val="00021A54"/>
    <w:rsid w:val="00044423"/>
    <w:rsid w:val="000973DF"/>
    <w:rsid w:val="000A3766"/>
    <w:rsid w:val="000C6E9C"/>
    <w:rsid w:val="000E0C50"/>
    <w:rsid w:val="000E1159"/>
    <w:rsid w:val="000E5548"/>
    <w:rsid w:val="00107374"/>
    <w:rsid w:val="00117E8A"/>
    <w:rsid w:val="00147F85"/>
    <w:rsid w:val="0017262C"/>
    <w:rsid w:val="0018227B"/>
    <w:rsid w:val="0018337D"/>
    <w:rsid w:val="001976D4"/>
    <w:rsid w:val="001F0337"/>
    <w:rsid w:val="001F1DA3"/>
    <w:rsid w:val="001F5D8F"/>
    <w:rsid w:val="00201B0D"/>
    <w:rsid w:val="00205992"/>
    <w:rsid w:val="00211763"/>
    <w:rsid w:val="00244B0A"/>
    <w:rsid w:val="00262C47"/>
    <w:rsid w:val="00295C03"/>
    <w:rsid w:val="002B1930"/>
    <w:rsid w:val="002B1EF5"/>
    <w:rsid w:val="002C4B47"/>
    <w:rsid w:val="002D1D27"/>
    <w:rsid w:val="002D2433"/>
    <w:rsid w:val="002D6532"/>
    <w:rsid w:val="002D78AA"/>
    <w:rsid w:val="002F344D"/>
    <w:rsid w:val="00311E5E"/>
    <w:rsid w:val="00313E62"/>
    <w:rsid w:val="003144FA"/>
    <w:rsid w:val="003145FF"/>
    <w:rsid w:val="0033175E"/>
    <w:rsid w:val="003549DF"/>
    <w:rsid w:val="00360389"/>
    <w:rsid w:val="00362AEE"/>
    <w:rsid w:val="00365327"/>
    <w:rsid w:val="0037055E"/>
    <w:rsid w:val="00387751"/>
    <w:rsid w:val="00391B2D"/>
    <w:rsid w:val="003945DD"/>
    <w:rsid w:val="003B0A00"/>
    <w:rsid w:val="003B31DF"/>
    <w:rsid w:val="003C327A"/>
    <w:rsid w:val="003E55A0"/>
    <w:rsid w:val="003F341A"/>
    <w:rsid w:val="003F6B53"/>
    <w:rsid w:val="00404F86"/>
    <w:rsid w:val="0040538A"/>
    <w:rsid w:val="004202B6"/>
    <w:rsid w:val="004273E4"/>
    <w:rsid w:val="00447589"/>
    <w:rsid w:val="00451FA8"/>
    <w:rsid w:val="00455FE2"/>
    <w:rsid w:val="00456816"/>
    <w:rsid w:val="00462C52"/>
    <w:rsid w:val="00470386"/>
    <w:rsid w:val="0047071C"/>
    <w:rsid w:val="00474D8E"/>
    <w:rsid w:val="00483900"/>
    <w:rsid w:val="004916A6"/>
    <w:rsid w:val="004A04C8"/>
    <w:rsid w:val="004B0E46"/>
    <w:rsid w:val="004C6729"/>
    <w:rsid w:val="004C7BE4"/>
    <w:rsid w:val="004D287B"/>
    <w:rsid w:val="004E3861"/>
    <w:rsid w:val="004F7596"/>
    <w:rsid w:val="00500DB3"/>
    <w:rsid w:val="0050743D"/>
    <w:rsid w:val="00512992"/>
    <w:rsid w:val="00517317"/>
    <w:rsid w:val="005650CF"/>
    <w:rsid w:val="00575420"/>
    <w:rsid w:val="005848BF"/>
    <w:rsid w:val="005A52EF"/>
    <w:rsid w:val="005B1D07"/>
    <w:rsid w:val="005C1706"/>
    <w:rsid w:val="005C1BA0"/>
    <w:rsid w:val="005C50A8"/>
    <w:rsid w:val="005D4A77"/>
    <w:rsid w:val="006017F3"/>
    <w:rsid w:val="0060328A"/>
    <w:rsid w:val="0062289A"/>
    <w:rsid w:val="00626A1E"/>
    <w:rsid w:val="006273D0"/>
    <w:rsid w:val="006447F4"/>
    <w:rsid w:val="00645772"/>
    <w:rsid w:val="006517D6"/>
    <w:rsid w:val="00654525"/>
    <w:rsid w:val="00657877"/>
    <w:rsid w:val="00682330"/>
    <w:rsid w:val="00682901"/>
    <w:rsid w:val="00685C53"/>
    <w:rsid w:val="006A45F2"/>
    <w:rsid w:val="006A5385"/>
    <w:rsid w:val="006B6E4A"/>
    <w:rsid w:val="006E4BE1"/>
    <w:rsid w:val="006E599D"/>
    <w:rsid w:val="00706DBF"/>
    <w:rsid w:val="007072B2"/>
    <w:rsid w:val="0071257C"/>
    <w:rsid w:val="00713902"/>
    <w:rsid w:val="00720B66"/>
    <w:rsid w:val="007240BC"/>
    <w:rsid w:val="00731E66"/>
    <w:rsid w:val="0073488D"/>
    <w:rsid w:val="007475ED"/>
    <w:rsid w:val="0075010B"/>
    <w:rsid w:val="007741A8"/>
    <w:rsid w:val="007741BF"/>
    <w:rsid w:val="00775FA7"/>
    <w:rsid w:val="00776A67"/>
    <w:rsid w:val="007906D3"/>
    <w:rsid w:val="007929D1"/>
    <w:rsid w:val="00793578"/>
    <w:rsid w:val="007D2687"/>
    <w:rsid w:val="007D5860"/>
    <w:rsid w:val="00815C15"/>
    <w:rsid w:val="008246F6"/>
    <w:rsid w:val="00830ADF"/>
    <w:rsid w:val="008313BF"/>
    <w:rsid w:val="0083761C"/>
    <w:rsid w:val="008528B0"/>
    <w:rsid w:val="008544C9"/>
    <w:rsid w:val="00854820"/>
    <w:rsid w:val="0085653A"/>
    <w:rsid w:val="00867D30"/>
    <w:rsid w:val="00871382"/>
    <w:rsid w:val="008803F7"/>
    <w:rsid w:val="00886BA2"/>
    <w:rsid w:val="00890043"/>
    <w:rsid w:val="00891388"/>
    <w:rsid w:val="00895129"/>
    <w:rsid w:val="008A01A6"/>
    <w:rsid w:val="008B7886"/>
    <w:rsid w:val="008C5C95"/>
    <w:rsid w:val="008C611A"/>
    <w:rsid w:val="008D409E"/>
    <w:rsid w:val="008D6AB5"/>
    <w:rsid w:val="008D6FF3"/>
    <w:rsid w:val="00911D1E"/>
    <w:rsid w:val="00926408"/>
    <w:rsid w:val="0093213C"/>
    <w:rsid w:val="00937944"/>
    <w:rsid w:val="0094675D"/>
    <w:rsid w:val="00954174"/>
    <w:rsid w:val="00983C3C"/>
    <w:rsid w:val="009901FF"/>
    <w:rsid w:val="00990B00"/>
    <w:rsid w:val="009B04D4"/>
    <w:rsid w:val="009B7227"/>
    <w:rsid w:val="009C2DA8"/>
    <w:rsid w:val="009C626B"/>
    <w:rsid w:val="009E0AA3"/>
    <w:rsid w:val="009F78E1"/>
    <w:rsid w:val="00A03268"/>
    <w:rsid w:val="00A10AFF"/>
    <w:rsid w:val="00A42ED0"/>
    <w:rsid w:val="00A52003"/>
    <w:rsid w:val="00A54B75"/>
    <w:rsid w:val="00A6653D"/>
    <w:rsid w:val="00A72790"/>
    <w:rsid w:val="00A945CD"/>
    <w:rsid w:val="00AC7BD9"/>
    <w:rsid w:val="00AD59F2"/>
    <w:rsid w:val="00B01A10"/>
    <w:rsid w:val="00B05BE7"/>
    <w:rsid w:val="00B069AE"/>
    <w:rsid w:val="00B15B3B"/>
    <w:rsid w:val="00B27911"/>
    <w:rsid w:val="00B37DC7"/>
    <w:rsid w:val="00B41B59"/>
    <w:rsid w:val="00B44C10"/>
    <w:rsid w:val="00B454B8"/>
    <w:rsid w:val="00B54F40"/>
    <w:rsid w:val="00B61158"/>
    <w:rsid w:val="00B83699"/>
    <w:rsid w:val="00B8500D"/>
    <w:rsid w:val="00BA04E2"/>
    <w:rsid w:val="00BA182D"/>
    <w:rsid w:val="00BC68F5"/>
    <w:rsid w:val="00BE5BC8"/>
    <w:rsid w:val="00BE5C01"/>
    <w:rsid w:val="00BE7799"/>
    <w:rsid w:val="00BF4094"/>
    <w:rsid w:val="00C16F1E"/>
    <w:rsid w:val="00C267DB"/>
    <w:rsid w:val="00C634A1"/>
    <w:rsid w:val="00C7302A"/>
    <w:rsid w:val="00C74D2E"/>
    <w:rsid w:val="00C979F1"/>
    <w:rsid w:val="00CA1A3E"/>
    <w:rsid w:val="00CA369B"/>
    <w:rsid w:val="00CE0F9D"/>
    <w:rsid w:val="00D20BC1"/>
    <w:rsid w:val="00D21DFA"/>
    <w:rsid w:val="00D571F1"/>
    <w:rsid w:val="00D66257"/>
    <w:rsid w:val="00D81514"/>
    <w:rsid w:val="00DA3211"/>
    <w:rsid w:val="00DC3B92"/>
    <w:rsid w:val="00DD2E9C"/>
    <w:rsid w:val="00DD4DE3"/>
    <w:rsid w:val="00DE2325"/>
    <w:rsid w:val="00DE2764"/>
    <w:rsid w:val="00DE51B0"/>
    <w:rsid w:val="00DF002E"/>
    <w:rsid w:val="00DF54EF"/>
    <w:rsid w:val="00E125CA"/>
    <w:rsid w:val="00E137E9"/>
    <w:rsid w:val="00E20A7B"/>
    <w:rsid w:val="00E27C7F"/>
    <w:rsid w:val="00E310BB"/>
    <w:rsid w:val="00E34020"/>
    <w:rsid w:val="00E4108E"/>
    <w:rsid w:val="00E4187C"/>
    <w:rsid w:val="00E55ABA"/>
    <w:rsid w:val="00E57424"/>
    <w:rsid w:val="00E62108"/>
    <w:rsid w:val="00E6577F"/>
    <w:rsid w:val="00E855D0"/>
    <w:rsid w:val="00E93F24"/>
    <w:rsid w:val="00EB2925"/>
    <w:rsid w:val="00F07701"/>
    <w:rsid w:val="00F07BEC"/>
    <w:rsid w:val="00F413CA"/>
    <w:rsid w:val="00F41FCC"/>
    <w:rsid w:val="00F75D7C"/>
    <w:rsid w:val="00F85E44"/>
    <w:rsid w:val="00F8669E"/>
    <w:rsid w:val="00F9050D"/>
    <w:rsid w:val="00F91966"/>
    <w:rsid w:val="00F95A69"/>
    <w:rsid w:val="00F96C0C"/>
    <w:rsid w:val="00FA0949"/>
    <w:rsid w:val="00FB6274"/>
    <w:rsid w:val="00FC0430"/>
    <w:rsid w:val="00FC75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BAE3"/>
  <w15:chartTrackingRefBased/>
  <w15:docId w15:val="{68797CB6-6536-428C-BC3A-764D39E68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5D0"/>
    <w:pPr>
      <w:tabs>
        <w:tab w:val="center" w:pos="4153"/>
        <w:tab w:val="right" w:pos="8306"/>
      </w:tabs>
      <w:spacing w:after="0" w:line="240" w:lineRule="auto"/>
    </w:pPr>
  </w:style>
  <w:style w:type="character" w:customStyle="1" w:styleId="a4">
    <w:name w:val="כותרת עליונה תו"/>
    <w:basedOn w:val="a0"/>
    <w:link w:val="a3"/>
    <w:uiPriority w:val="99"/>
    <w:rsid w:val="00E855D0"/>
  </w:style>
  <w:style w:type="paragraph" w:styleId="a5">
    <w:name w:val="footer"/>
    <w:basedOn w:val="a"/>
    <w:link w:val="a6"/>
    <w:uiPriority w:val="99"/>
    <w:unhideWhenUsed/>
    <w:rsid w:val="00E855D0"/>
    <w:pPr>
      <w:tabs>
        <w:tab w:val="center" w:pos="4153"/>
        <w:tab w:val="right" w:pos="8306"/>
      </w:tabs>
      <w:spacing w:after="0" w:line="240" w:lineRule="auto"/>
    </w:pPr>
  </w:style>
  <w:style w:type="character" w:customStyle="1" w:styleId="a6">
    <w:name w:val="כותרת תחתונה תו"/>
    <w:basedOn w:val="a0"/>
    <w:link w:val="a5"/>
    <w:uiPriority w:val="99"/>
    <w:rsid w:val="00E855D0"/>
  </w:style>
  <w:style w:type="paragraph" w:styleId="a7">
    <w:name w:val="footnote text"/>
    <w:basedOn w:val="a"/>
    <w:link w:val="a8"/>
    <w:uiPriority w:val="99"/>
    <w:semiHidden/>
    <w:unhideWhenUsed/>
    <w:rsid w:val="004916A6"/>
    <w:pPr>
      <w:spacing w:after="0" w:line="240" w:lineRule="auto"/>
    </w:pPr>
    <w:rPr>
      <w:sz w:val="20"/>
      <w:szCs w:val="20"/>
    </w:rPr>
  </w:style>
  <w:style w:type="character" w:customStyle="1" w:styleId="a8">
    <w:name w:val="טקסט הערת שוליים תו"/>
    <w:basedOn w:val="a0"/>
    <w:link w:val="a7"/>
    <w:uiPriority w:val="99"/>
    <w:semiHidden/>
    <w:rsid w:val="004916A6"/>
    <w:rPr>
      <w:sz w:val="20"/>
      <w:szCs w:val="20"/>
    </w:rPr>
  </w:style>
  <w:style w:type="character" w:styleId="a9">
    <w:name w:val="footnote reference"/>
    <w:basedOn w:val="a0"/>
    <w:uiPriority w:val="99"/>
    <w:semiHidden/>
    <w:unhideWhenUsed/>
    <w:rsid w:val="004916A6"/>
    <w:rPr>
      <w:vertAlign w:val="superscript"/>
    </w:rPr>
  </w:style>
  <w:style w:type="character" w:styleId="Hyperlink">
    <w:name w:val="Hyperlink"/>
    <w:basedOn w:val="a0"/>
    <w:uiPriority w:val="99"/>
    <w:semiHidden/>
    <w:unhideWhenUsed/>
    <w:rsid w:val="006A5385"/>
    <w:rPr>
      <w:color w:val="0000FF"/>
      <w:u w:val="single"/>
    </w:rPr>
  </w:style>
  <w:style w:type="paragraph" w:styleId="aa">
    <w:name w:val="Balloon Text"/>
    <w:basedOn w:val="a"/>
    <w:link w:val="ab"/>
    <w:uiPriority w:val="99"/>
    <w:semiHidden/>
    <w:unhideWhenUsed/>
    <w:rsid w:val="00470386"/>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470386"/>
    <w:rPr>
      <w:rFonts w:ascii="Tahoma" w:hAnsi="Tahoma" w:cs="Tahoma"/>
      <w:sz w:val="18"/>
      <w:szCs w:val="18"/>
    </w:rPr>
  </w:style>
  <w:style w:type="paragraph" w:styleId="ac">
    <w:name w:val="Revision"/>
    <w:hidden/>
    <w:uiPriority w:val="99"/>
    <w:semiHidden/>
    <w:rsid w:val="00470386"/>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1336</Words>
  <Characters>6685</Characters>
  <Application>Microsoft Office Word</Application>
  <DocSecurity>0</DocSecurity>
  <Lines>55</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68</cp:revision>
  <cp:lastPrinted>2021-03-14T07:12:00Z</cp:lastPrinted>
  <dcterms:created xsi:type="dcterms:W3CDTF">2022-03-30T15:46:00Z</dcterms:created>
  <dcterms:modified xsi:type="dcterms:W3CDTF">2023-03-23T15:59:00Z</dcterms:modified>
</cp:coreProperties>
</file>