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E9CD" w14:textId="768C88E2" w:rsidR="0041712A" w:rsidRDefault="0041712A" w:rsidP="00934CB9">
      <w:pPr>
        <w:spacing w:after="80"/>
        <w:jc w:val="both"/>
        <w:rPr>
          <w:b/>
          <w:bCs/>
          <w:sz w:val="36"/>
          <w:szCs w:val="36"/>
          <w:rtl/>
        </w:rPr>
      </w:pPr>
      <w:r>
        <w:rPr>
          <w:rtl/>
        </w:rPr>
        <w:t>בס''ד</w:t>
      </w:r>
      <w:r>
        <w:rPr>
          <w:rtl/>
        </w:rPr>
        <w:tab/>
      </w:r>
      <w:r>
        <w:rPr>
          <w:rtl/>
        </w:rPr>
        <w:tab/>
      </w:r>
      <w:r w:rsidR="00974CD3">
        <w:rPr>
          <w:rFonts w:hint="cs"/>
          <w:b/>
          <w:bCs/>
          <w:sz w:val="36"/>
          <w:szCs w:val="36"/>
          <w:rtl/>
        </w:rPr>
        <w:t xml:space="preserve">פרשת </w:t>
      </w:r>
      <w:r w:rsidRPr="00F203AF">
        <w:rPr>
          <w:b/>
          <w:bCs/>
          <w:sz w:val="36"/>
          <w:szCs w:val="36"/>
          <w:rtl/>
        </w:rPr>
        <w:t xml:space="preserve">בא: האם </w:t>
      </w:r>
      <w:r w:rsidR="007B40FD">
        <w:rPr>
          <w:rFonts w:hint="cs"/>
          <w:b/>
          <w:bCs/>
          <w:sz w:val="36"/>
          <w:szCs w:val="36"/>
          <w:rtl/>
        </w:rPr>
        <w:t>יש עניין</w:t>
      </w:r>
      <w:r w:rsidR="0045696E">
        <w:rPr>
          <w:rFonts w:hint="cs"/>
          <w:b/>
          <w:bCs/>
          <w:sz w:val="36"/>
          <w:szCs w:val="36"/>
          <w:rtl/>
        </w:rPr>
        <w:t xml:space="preserve"> </w:t>
      </w:r>
      <w:r w:rsidRPr="00F203AF">
        <w:rPr>
          <w:b/>
          <w:bCs/>
          <w:sz w:val="36"/>
          <w:szCs w:val="36"/>
          <w:rtl/>
        </w:rPr>
        <w:t>להניח תפילין של רבינו תם</w:t>
      </w:r>
    </w:p>
    <w:p w14:paraId="7B631225" w14:textId="77777777" w:rsidR="0041712A" w:rsidRPr="00521F37" w:rsidRDefault="0041712A" w:rsidP="00934CB9">
      <w:pPr>
        <w:spacing w:after="80"/>
        <w:jc w:val="both"/>
        <w:rPr>
          <w:b/>
          <w:bCs/>
          <w:u w:val="single"/>
          <w:rtl/>
        </w:rPr>
      </w:pPr>
      <w:r w:rsidRPr="00521F37">
        <w:rPr>
          <w:b/>
          <w:bCs/>
          <w:u w:val="single"/>
          <w:rtl/>
        </w:rPr>
        <w:t>פתיחה</w:t>
      </w:r>
    </w:p>
    <w:p w14:paraId="22BC09E2" w14:textId="24F2EE62" w:rsidR="0041712A" w:rsidRPr="00BB2EC9" w:rsidRDefault="00BB2EC9" w:rsidP="00934CB9">
      <w:pPr>
        <w:spacing w:after="80"/>
        <w:jc w:val="both"/>
        <w:rPr>
          <w:rtl/>
        </w:rPr>
      </w:pPr>
      <w:r>
        <w:rPr>
          <w:rFonts w:hint="cs"/>
          <w:rtl/>
        </w:rPr>
        <w:t xml:space="preserve">בפרשת השבוע כותבת התורה את מצוות התפילין, </w:t>
      </w:r>
      <w:r w:rsidR="00111003">
        <w:rPr>
          <w:rFonts w:hint="cs"/>
          <w:rtl/>
        </w:rPr>
        <w:t>החוזרת</w:t>
      </w:r>
      <w:r>
        <w:rPr>
          <w:rFonts w:hint="cs"/>
          <w:rtl/>
        </w:rPr>
        <w:t xml:space="preserve"> ארבע פעמים בתורה: ''</w:t>
      </w:r>
      <w:r w:rsidRPr="00BB2EC9">
        <w:rPr>
          <w:rtl/>
        </w:rPr>
        <w:t xml:space="preserve">וְהָיָ֤ה לְאוֹת֙ </w:t>
      </w:r>
      <w:proofErr w:type="spellStart"/>
      <w:r w:rsidRPr="00BB2EC9">
        <w:rPr>
          <w:rtl/>
        </w:rPr>
        <w:t>עַל־יָ֣דְכָ֔ה</w:t>
      </w:r>
      <w:proofErr w:type="spellEnd"/>
      <w:r w:rsidRPr="00BB2EC9">
        <w:rPr>
          <w:rtl/>
        </w:rPr>
        <w:t xml:space="preserve"> וּלְטוֹטָפֹ֖ת בֵּ֣ין עֵינֶ֑יךָ כִּ֚י בְּחֹ֣זֶק יָ֔ד הוֹצִיאָ֥נוּ יְקֹוָ֖ק מִמִּצְרָֽיִם</w:t>
      </w:r>
      <w:r>
        <w:rPr>
          <w:rFonts w:hint="cs"/>
          <w:rtl/>
        </w:rPr>
        <w:t xml:space="preserve">''. כפי שראינו במקום אחר </w:t>
      </w:r>
      <w:r>
        <w:rPr>
          <w:rFonts w:hint="cs"/>
          <w:sz w:val="18"/>
          <w:szCs w:val="18"/>
          <w:rtl/>
        </w:rPr>
        <w:t>(עקב שנה ה')</w:t>
      </w:r>
      <w:r>
        <w:rPr>
          <w:rFonts w:hint="cs"/>
          <w:rtl/>
        </w:rPr>
        <w:t>, נחלקו האחרונים האם כאשר עושים תפילין של ראש צריך שהתפילין יהיו חרוצות, דהיינו שיהיה בבתים רווח ניכר בין פרשה לפרשה</w:t>
      </w:r>
      <w:r w:rsidR="00A93001">
        <w:rPr>
          <w:rFonts w:hint="cs"/>
          <w:rtl/>
        </w:rPr>
        <w:t>, או שדי ברווח שאינו ניכר</w:t>
      </w:r>
      <w:r>
        <w:rPr>
          <w:rFonts w:hint="cs"/>
          <w:rtl/>
        </w:rPr>
        <w:t>:</w:t>
      </w:r>
    </w:p>
    <w:p w14:paraId="2113B773" w14:textId="3645979C" w:rsidR="00E17EAE" w:rsidRDefault="00E17EAE" w:rsidP="00934CB9">
      <w:pPr>
        <w:spacing w:after="80"/>
        <w:jc w:val="both"/>
      </w:pPr>
      <w:r w:rsidRPr="00E17EAE">
        <w:rPr>
          <w:rFonts w:hint="cs"/>
          <w:rtl/>
        </w:rPr>
        <w:t>א.</w:t>
      </w:r>
      <w:r>
        <w:rPr>
          <w:rFonts w:hint="cs"/>
          <w:b/>
          <w:bCs/>
          <w:rtl/>
        </w:rPr>
        <w:t xml:space="preserve"> </w:t>
      </w:r>
      <w:r>
        <w:rPr>
          <w:rFonts w:hint="cs"/>
          <w:rtl/>
        </w:rPr>
        <w:t>יש שסברו, שכאשר עושים תפילין חרוצות ניתן להימנע ממספר חששות. לדוגמא, נפסק שאין לשים דבק לאורך כל הרווח</w:t>
      </w:r>
      <w:r w:rsidR="00E549E4">
        <w:rPr>
          <w:rFonts w:hint="cs"/>
          <w:rtl/>
        </w:rPr>
        <w:t xml:space="preserve"> בין הפרשיות</w:t>
      </w:r>
      <w:r w:rsidR="00167790">
        <w:rPr>
          <w:rFonts w:hint="cs"/>
          <w:rtl/>
        </w:rPr>
        <w:t xml:space="preserve"> </w:t>
      </w:r>
      <w:r w:rsidR="009922DF">
        <w:rPr>
          <w:rFonts w:hint="cs"/>
          <w:rtl/>
        </w:rPr>
        <w:t>- ו</w:t>
      </w:r>
      <w:r w:rsidR="00654A5B">
        <w:rPr>
          <w:rFonts w:hint="cs"/>
          <w:rtl/>
        </w:rPr>
        <w:t>ב</w:t>
      </w:r>
      <w:r>
        <w:rPr>
          <w:rFonts w:hint="cs"/>
          <w:rtl/>
        </w:rPr>
        <w:t xml:space="preserve">תפילין מחורצות ברור שאין דבק בין הרווחים. </w:t>
      </w:r>
      <w:r w:rsidR="00296FB5">
        <w:rPr>
          <w:rFonts w:hint="cs"/>
          <w:rtl/>
        </w:rPr>
        <w:t xml:space="preserve">כמו כן, </w:t>
      </w:r>
      <w:r>
        <w:rPr>
          <w:rFonts w:hint="cs"/>
          <w:rtl/>
        </w:rPr>
        <w:t>לא די בכך שהתפילין יראו מחולקות מבחוץ באמצעות שרטוט, אלא צריך שיהיה חריץ בפועל בין כל רבע</w:t>
      </w:r>
      <w:r w:rsidR="009922DF">
        <w:rPr>
          <w:rFonts w:hint="cs"/>
          <w:rtl/>
        </w:rPr>
        <w:t xml:space="preserve"> - ורק כאשר יש תפילין מחרוצות, אדם מהשורה </w:t>
      </w:r>
      <w:r w:rsidR="009922DF">
        <w:rPr>
          <w:rFonts w:hint="cs"/>
          <w:sz w:val="18"/>
          <w:szCs w:val="18"/>
          <w:rtl/>
        </w:rPr>
        <w:t xml:space="preserve">(שאינו מומחה) </w:t>
      </w:r>
      <w:r w:rsidR="009922DF">
        <w:rPr>
          <w:rFonts w:hint="cs"/>
          <w:rtl/>
        </w:rPr>
        <w:t xml:space="preserve">יכול לוודא שכך הדבר. </w:t>
      </w:r>
    </w:p>
    <w:p w14:paraId="3C89BC0E" w14:textId="544FEC71" w:rsidR="00E17EAE" w:rsidRDefault="00E17EAE" w:rsidP="00934CB9">
      <w:pPr>
        <w:spacing w:after="80"/>
        <w:jc w:val="both"/>
        <w:rPr>
          <w:rtl/>
        </w:rPr>
      </w:pPr>
      <w:r>
        <w:rPr>
          <w:rFonts w:hint="cs"/>
          <w:rtl/>
        </w:rPr>
        <w:t xml:space="preserve">ב. יש שחלקו וסברו שאין צורך בתפילין מחורצות, וחלק אף התנגדו לכך וסברו שמדובר במעין הטעיה הנובעת מרצון בתי הייצור לתפילין להרוויח כסף. </w:t>
      </w:r>
      <w:r w:rsidR="00F0309C">
        <w:rPr>
          <w:rFonts w:hint="cs"/>
          <w:rtl/>
        </w:rPr>
        <w:t>הם</w:t>
      </w:r>
      <w:r>
        <w:rPr>
          <w:rFonts w:hint="cs"/>
          <w:rtl/>
        </w:rPr>
        <w:t xml:space="preserve"> טענו, שמעבר לכך שבמהלך הדורות לא מצינו תפילין מעין אלו, כאשר עושים רווחים בתפילין יש חשש סביר שבמהלך הזמן יתקלקל ריבוע התפילין ויפסלו</w:t>
      </w:r>
      <w:r w:rsidR="00B245F9">
        <w:rPr>
          <w:rFonts w:hint="cs"/>
          <w:rtl/>
        </w:rPr>
        <w:t xml:space="preserve">, וכפי שהעיר </w:t>
      </w:r>
      <w:r w:rsidR="00B245F9" w:rsidRPr="0004331B">
        <w:rPr>
          <w:rFonts w:hint="cs"/>
          <w:b/>
          <w:bCs/>
          <w:rtl/>
        </w:rPr>
        <w:t>הרב שטרנבוך</w:t>
      </w:r>
      <w:r w:rsidR="00B245F9">
        <w:rPr>
          <w:rFonts w:hint="cs"/>
          <w:rtl/>
        </w:rPr>
        <w:t xml:space="preserve"> </w:t>
      </w:r>
      <w:r w:rsidR="00B245F9">
        <w:rPr>
          <w:rFonts w:hint="cs"/>
          <w:sz w:val="18"/>
          <w:szCs w:val="18"/>
          <w:rtl/>
        </w:rPr>
        <w:t>(תשובות והנהגות ב, כא)</w:t>
      </w:r>
      <w:r w:rsidR="00B245F9">
        <w:rPr>
          <w:rFonts w:hint="cs"/>
          <w:rtl/>
        </w:rPr>
        <w:t>:</w:t>
      </w:r>
    </w:p>
    <w:p w14:paraId="0239A570" w14:textId="17FE34B6" w:rsidR="00B245F9" w:rsidRPr="00B245F9" w:rsidRDefault="00B245F9" w:rsidP="00934CB9">
      <w:pPr>
        <w:spacing w:after="80"/>
        <w:ind w:left="720"/>
        <w:jc w:val="both"/>
        <w:rPr>
          <w:rtl/>
        </w:rPr>
      </w:pPr>
      <w:r>
        <w:rPr>
          <w:rFonts w:hint="cs"/>
          <w:rtl/>
        </w:rPr>
        <w:t>''</w:t>
      </w:r>
      <w:r w:rsidRPr="00B245F9">
        <w:rPr>
          <w:rtl/>
        </w:rPr>
        <w:t>ומיהו מהנסיון למדתי שאם או</w:t>
      </w:r>
      <w:r>
        <w:rPr>
          <w:rFonts w:hint="cs"/>
          <w:rtl/>
        </w:rPr>
        <w:t>ו</w:t>
      </w:r>
      <w:r w:rsidRPr="00B245F9">
        <w:rPr>
          <w:rtl/>
        </w:rPr>
        <w:t>יר ב</w:t>
      </w:r>
      <w:r>
        <w:rPr>
          <w:rFonts w:hint="cs"/>
          <w:rtl/>
        </w:rPr>
        <w:t>י</w:t>
      </w:r>
      <w:r w:rsidRPr="00B245F9">
        <w:rPr>
          <w:rtl/>
        </w:rPr>
        <w:t>נתיים</w:t>
      </w:r>
      <w:r>
        <w:rPr>
          <w:rFonts w:hint="cs"/>
          <w:rtl/>
        </w:rPr>
        <w:t>,</w:t>
      </w:r>
      <w:r w:rsidRPr="00B245F9">
        <w:rPr>
          <w:rtl/>
        </w:rPr>
        <w:t xml:space="preserve"> עלול </w:t>
      </w:r>
      <w:r>
        <w:rPr>
          <w:rFonts w:hint="cs"/>
          <w:rtl/>
        </w:rPr>
        <w:t xml:space="preserve">אחר כך </w:t>
      </w:r>
      <w:proofErr w:type="spellStart"/>
      <w:r w:rsidRPr="00B245F9">
        <w:rPr>
          <w:rtl/>
        </w:rPr>
        <w:t>ליפרד</w:t>
      </w:r>
      <w:proofErr w:type="spellEnd"/>
      <w:r w:rsidRPr="00B245F9">
        <w:rPr>
          <w:rtl/>
        </w:rPr>
        <w:t xml:space="preserve"> יותר ויותר עד שניכר לעין היטב האויר ואינם מרובעים לשיטת </w:t>
      </w:r>
      <w:proofErr w:type="spellStart"/>
      <w:r w:rsidRPr="00B245F9">
        <w:rPr>
          <w:rtl/>
        </w:rPr>
        <w:t>הגה"ק</w:t>
      </w:r>
      <w:proofErr w:type="spellEnd"/>
      <w:r w:rsidRPr="00B245F9">
        <w:rPr>
          <w:rtl/>
        </w:rPr>
        <w:t xml:space="preserve"> ה"חתם סופר" בהסכמתו לקסת הסופר</w:t>
      </w:r>
      <w:r>
        <w:rPr>
          <w:rFonts w:hint="cs"/>
          <w:rtl/>
        </w:rPr>
        <w:t xml:space="preserve">. </w:t>
      </w:r>
      <w:r w:rsidRPr="00B245F9">
        <w:rPr>
          <w:rtl/>
        </w:rPr>
        <w:t>והעצה הנכונה שמחזיק התפילין אחר התפילה בבתים מהודקים מאד לבתים גופא</w:t>
      </w:r>
      <w:r>
        <w:rPr>
          <w:rFonts w:hint="cs"/>
          <w:rtl/>
        </w:rPr>
        <w:t>,</w:t>
      </w:r>
      <w:r w:rsidRPr="00B245F9">
        <w:rPr>
          <w:rtl/>
        </w:rPr>
        <w:t xml:space="preserve"> שזה מחזיק אותם שלא יתקלקל הריבוע, וכן עשיתי בבתים שלי</w:t>
      </w:r>
      <w:r w:rsidR="00F764D0">
        <w:rPr>
          <w:rFonts w:hint="cs"/>
          <w:rtl/>
        </w:rPr>
        <w:t>.''</w:t>
      </w:r>
    </w:p>
    <w:p w14:paraId="6711D12F" w14:textId="7787A3F8" w:rsidR="0041712A" w:rsidRDefault="0041712A" w:rsidP="000156BD">
      <w:pPr>
        <w:spacing w:after="80"/>
        <w:jc w:val="both"/>
        <w:rPr>
          <w:rtl/>
        </w:rPr>
      </w:pPr>
      <w:r>
        <w:rPr>
          <w:rtl/>
        </w:rPr>
        <w:t xml:space="preserve">בעקבות </w:t>
      </w:r>
      <w:r w:rsidR="00FD2875">
        <w:rPr>
          <w:rFonts w:hint="cs"/>
          <w:rtl/>
        </w:rPr>
        <w:t>מצוות</w:t>
      </w:r>
      <w:r>
        <w:rPr>
          <w:rtl/>
        </w:rPr>
        <w:t xml:space="preserve"> התפילין </w:t>
      </w:r>
      <w:r w:rsidR="00BB785D">
        <w:rPr>
          <w:rFonts w:hint="cs"/>
          <w:rtl/>
        </w:rPr>
        <w:t>המופיעה בפרשה</w:t>
      </w:r>
      <w:r>
        <w:rPr>
          <w:rtl/>
        </w:rPr>
        <w:t xml:space="preserve">, נעסוק </w:t>
      </w:r>
      <w:r w:rsidR="00FE3FF6">
        <w:rPr>
          <w:rFonts w:hint="cs"/>
          <w:rtl/>
        </w:rPr>
        <w:t xml:space="preserve">השבוע </w:t>
      </w:r>
      <w:r>
        <w:rPr>
          <w:rtl/>
        </w:rPr>
        <w:t>בהלכות תפילין</w:t>
      </w:r>
      <w:r w:rsidR="000156BD">
        <w:rPr>
          <w:rFonts w:hint="cs"/>
          <w:rtl/>
        </w:rPr>
        <w:t xml:space="preserve">. </w:t>
      </w:r>
      <w:r w:rsidR="0079201C">
        <w:rPr>
          <w:rFonts w:hint="cs"/>
          <w:rtl/>
        </w:rPr>
        <w:t xml:space="preserve">ראשית </w:t>
      </w:r>
      <w:r w:rsidR="000156BD">
        <w:rPr>
          <w:rFonts w:hint="cs"/>
          <w:rtl/>
        </w:rPr>
        <w:t>נראה את המחלוקת בין רש''י לרבינו תם</w:t>
      </w:r>
      <w:r w:rsidR="0079201C">
        <w:rPr>
          <w:rFonts w:hint="cs"/>
          <w:rtl/>
        </w:rPr>
        <w:t>,</w:t>
      </w:r>
      <w:r w:rsidR="000156BD">
        <w:rPr>
          <w:rFonts w:hint="cs"/>
          <w:rtl/>
        </w:rPr>
        <w:t xml:space="preserve"> בסדר הפרשיות שבתפילין. לאחר מכן נראה את המחלוקת בפסיקת ההלכה, </w:t>
      </w:r>
      <w:r w:rsidR="006F512C">
        <w:rPr>
          <w:rFonts w:hint="cs"/>
          <w:rtl/>
        </w:rPr>
        <w:t>ו</w:t>
      </w:r>
      <w:r w:rsidR="000156BD">
        <w:rPr>
          <w:rFonts w:hint="cs"/>
          <w:rtl/>
        </w:rPr>
        <w:t>את השינוי שנוצר ביחס להנחת תפילין של רבינו תם במהלך הדורות</w:t>
      </w:r>
      <w:r w:rsidR="006F512C">
        <w:rPr>
          <w:rFonts w:hint="cs"/>
          <w:rtl/>
        </w:rPr>
        <w:t xml:space="preserve">. לסיום נראה, </w:t>
      </w:r>
      <w:r w:rsidR="000156BD">
        <w:rPr>
          <w:rFonts w:hint="cs"/>
          <w:rtl/>
        </w:rPr>
        <w:t xml:space="preserve">האם יש להניח את שתי זוגות התפילין יחד או בנפרד. </w:t>
      </w:r>
    </w:p>
    <w:p w14:paraId="3192E2EC" w14:textId="7676C057" w:rsidR="0041712A" w:rsidRDefault="006E44FD" w:rsidP="00934CB9">
      <w:pPr>
        <w:spacing w:after="80"/>
        <w:jc w:val="both"/>
        <w:rPr>
          <w:b/>
          <w:bCs/>
          <w:u w:val="single"/>
          <w:rtl/>
        </w:rPr>
      </w:pPr>
      <w:r>
        <w:rPr>
          <w:rFonts w:hint="cs"/>
          <w:b/>
          <w:bCs/>
          <w:u w:val="single"/>
          <w:rtl/>
        </w:rPr>
        <w:t>ארבעת הפרשיות</w:t>
      </w:r>
    </w:p>
    <w:p w14:paraId="6B185252" w14:textId="07D310E6" w:rsidR="00374E81" w:rsidRDefault="0041712A" w:rsidP="00934CB9">
      <w:pPr>
        <w:spacing w:after="80"/>
        <w:jc w:val="both"/>
        <w:rPr>
          <w:rtl/>
        </w:rPr>
      </w:pPr>
      <w:r>
        <w:rPr>
          <w:rtl/>
        </w:rPr>
        <w:t xml:space="preserve">הגמרא מסכת מנחות </w:t>
      </w:r>
      <w:r>
        <w:rPr>
          <w:sz w:val="18"/>
          <w:szCs w:val="18"/>
          <w:rtl/>
        </w:rPr>
        <w:t xml:space="preserve">(לד ע''ב) </w:t>
      </w:r>
      <w:r>
        <w:rPr>
          <w:rtl/>
        </w:rPr>
        <w:t xml:space="preserve">כותבת, שבתוך </w:t>
      </w:r>
      <w:r w:rsidR="001E7C6E">
        <w:rPr>
          <w:rFonts w:hint="cs"/>
          <w:rtl/>
        </w:rPr>
        <w:t xml:space="preserve">בית </w:t>
      </w:r>
      <w:r>
        <w:rPr>
          <w:rtl/>
        </w:rPr>
        <w:t xml:space="preserve">התפילין יש להכניס ארבע פרשיות: 'קדש לי', 'והיה כי יביאך', 'שמע ישראל', 'והיה </w:t>
      </w:r>
      <w:r w:rsidR="003A3991">
        <w:rPr>
          <w:rFonts w:hint="cs"/>
          <w:rtl/>
        </w:rPr>
        <w:t>א</w:t>
      </w:r>
      <w:r>
        <w:rPr>
          <w:rtl/>
        </w:rPr>
        <w:t>ם שמוע'.</w:t>
      </w:r>
      <w:r w:rsidR="00374E81">
        <w:rPr>
          <w:rFonts w:hint="cs"/>
          <w:rtl/>
        </w:rPr>
        <w:t xml:space="preserve"> בתפילין של יד </w:t>
      </w:r>
      <w:r w:rsidR="006724F6">
        <w:rPr>
          <w:rFonts w:hint="cs"/>
          <w:rtl/>
        </w:rPr>
        <w:t>כותבים את כל</w:t>
      </w:r>
      <w:r w:rsidR="00374E81">
        <w:rPr>
          <w:rFonts w:hint="cs"/>
          <w:rtl/>
        </w:rPr>
        <w:t xml:space="preserve"> הפרשיות על קלף אחד ארוך, ובתפילין של ראש כל פרשייה כתובה בנפרד, כאשר בסוף התהליך מקפלים את ארבעת הקלפים ומכניסים אות</w:t>
      </w:r>
      <w:r w:rsidR="001C3511">
        <w:rPr>
          <w:rFonts w:hint="cs"/>
          <w:rtl/>
        </w:rPr>
        <w:t>ם</w:t>
      </w:r>
      <w:r w:rsidR="00374E81">
        <w:rPr>
          <w:rFonts w:hint="cs"/>
          <w:rtl/>
        </w:rPr>
        <w:t xml:space="preserve"> לבית על פי סדר מסוים.</w:t>
      </w:r>
    </w:p>
    <w:p w14:paraId="11399F74" w14:textId="443D8494" w:rsidR="00C02E14" w:rsidRDefault="00C02E14" w:rsidP="00C02E14">
      <w:pPr>
        <w:spacing w:after="80"/>
        <w:jc w:val="both"/>
        <w:rPr>
          <w:rtl/>
        </w:rPr>
      </w:pPr>
      <w:r>
        <w:rPr>
          <w:rFonts w:hint="cs"/>
          <w:rtl/>
        </w:rPr>
        <w:t xml:space="preserve">באיזה סדר יש </w:t>
      </w:r>
      <w:r w:rsidR="001349C6">
        <w:rPr>
          <w:rFonts w:hint="cs"/>
          <w:rtl/>
        </w:rPr>
        <w:t>להכניס</w:t>
      </w:r>
      <w:r>
        <w:rPr>
          <w:rFonts w:hint="cs"/>
          <w:rtl/>
        </w:rPr>
        <w:t xml:space="preserve"> את הפרשיות </w:t>
      </w:r>
      <w:r w:rsidR="001349C6">
        <w:rPr>
          <w:rFonts w:hint="cs"/>
          <w:rtl/>
        </w:rPr>
        <w:t>ל</w:t>
      </w:r>
      <w:r>
        <w:rPr>
          <w:rFonts w:hint="cs"/>
          <w:rtl/>
        </w:rPr>
        <w:t xml:space="preserve">תפילין? הגמרא במסכת מנחות הגמרא כותבת, </w:t>
      </w:r>
      <w:r>
        <w:rPr>
          <w:rtl/>
        </w:rPr>
        <w:t>שיש לסדר את התפילין כאשר פרשת 'קדש' ו'והיה כי יביאך'</w:t>
      </w:r>
      <w:r>
        <w:rPr>
          <w:rFonts w:hint="cs"/>
          <w:rtl/>
        </w:rPr>
        <w:t xml:space="preserve"> מימין המניח</w:t>
      </w:r>
      <w:r>
        <w:rPr>
          <w:rtl/>
        </w:rPr>
        <w:t xml:space="preserve">, 'ושמע ישראל' </w:t>
      </w:r>
      <w:r w:rsidR="008F59C8">
        <w:rPr>
          <w:rFonts w:hint="cs"/>
          <w:rtl/>
        </w:rPr>
        <w:t>ו</w:t>
      </w:r>
      <w:r>
        <w:rPr>
          <w:rtl/>
        </w:rPr>
        <w:t>'והיה עם שמוע'</w:t>
      </w:r>
      <w:r>
        <w:rPr>
          <w:rFonts w:hint="cs"/>
          <w:rtl/>
        </w:rPr>
        <w:t xml:space="preserve"> משמאלו. נחלקו רש''י ורבינו תם בביאור דברי הגמרא</w:t>
      </w:r>
      <w:r w:rsidR="008F59C8">
        <w:rPr>
          <w:rFonts w:hint="cs"/>
          <w:rtl/>
        </w:rPr>
        <w:t xml:space="preserve"> (</w:t>
      </w:r>
      <w:r>
        <w:rPr>
          <w:rFonts w:hint="cs"/>
          <w:rtl/>
        </w:rPr>
        <w:t xml:space="preserve">ולמרות שהמחלוקת מובאת כבר בגאונים </w:t>
      </w:r>
      <w:r w:rsidRPr="00C02E14">
        <w:rPr>
          <w:rFonts w:hint="cs"/>
          <w:sz w:val="18"/>
          <w:szCs w:val="18"/>
          <w:rtl/>
        </w:rPr>
        <w:t>(ואף נמצאו עדויות בארץ ישראל לשני סוגי התפילין מתקופות קדומות)</w:t>
      </w:r>
      <w:r>
        <w:rPr>
          <w:rFonts w:hint="cs"/>
          <w:rtl/>
        </w:rPr>
        <w:t>, נקבעה המחלוקת על שמם</w:t>
      </w:r>
      <w:r w:rsidR="008F59C8">
        <w:rPr>
          <w:rFonts w:hint="cs"/>
          <w:rtl/>
        </w:rPr>
        <w:t>)</w:t>
      </w:r>
      <w:r>
        <w:rPr>
          <w:rFonts w:hint="cs"/>
          <w:rtl/>
        </w:rPr>
        <w:t xml:space="preserve">. </w:t>
      </w:r>
    </w:p>
    <w:p w14:paraId="1B3AE680" w14:textId="4534AD6B" w:rsidR="00945037" w:rsidRDefault="00945037" w:rsidP="00C02E14">
      <w:pPr>
        <w:spacing w:after="80"/>
        <w:jc w:val="both"/>
        <w:rPr>
          <w:u w:val="single"/>
          <w:rtl/>
        </w:rPr>
      </w:pPr>
      <w:r>
        <w:rPr>
          <w:rFonts w:hint="cs"/>
          <w:u w:val="single"/>
          <w:rtl/>
        </w:rPr>
        <w:t xml:space="preserve">מחלוקת </w:t>
      </w:r>
      <w:r w:rsidR="00C02E14">
        <w:rPr>
          <w:rFonts w:hint="cs"/>
          <w:u w:val="single"/>
          <w:rtl/>
        </w:rPr>
        <w:t>רש''י ורבינו תם</w:t>
      </w:r>
    </w:p>
    <w:p w14:paraId="1539F226" w14:textId="6BC7094A" w:rsidR="00FB5308" w:rsidRDefault="00FB5308" w:rsidP="004D1D82">
      <w:pPr>
        <w:spacing w:after="60"/>
        <w:jc w:val="both"/>
        <w:rPr>
          <w:rtl/>
        </w:rPr>
      </w:pPr>
      <w:r>
        <w:rPr>
          <w:rFonts w:hint="cs"/>
          <w:rtl/>
        </w:rPr>
        <w:t xml:space="preserve">א. </w:t>
      </w:r>
      <w:r w:rsidRPr="007676D0">
        <w:rPr>
          <w:rFonts w:hint="cs"/>
          <w:b/>
          <w:bCs/>
          <w:rtl/>
        </w:rPr>
        <w:t>רש''י</w:t>
      </w:r>
      <w:r>
        <w:rPr>
          <w:rFonts w:hint="cs"/>
          <w:rtl/>
        </w:rPr>
        <w:t xml:space="preserve"> </w:t>
      </w:r>
      <w:r>
        <w:rPr>
          <w:rFonts w:hint="cs"/>
          <w:sz w:val="18"/>
          <w:szCs w:val="18"/>
          <w:rtl/>
        </w:rPr>
        <w:t xml:space="preserve">(ד''ה והקורא) </w:t>
      </w:r>
      <w:r>
        <w:rPr>
          <w:rFonts w:hint="cs"/>
          <w:rtl/>
        </w:rPr>
        <w:t xml:space="preserve">פירש, שסדר הפרשיות צריך להיות כסדר שהן כתובות בתורה, דהיינו: א. קדש לי. ב. והיה כי יביאך. ג. שמע. ד. והיה אם שמוע. כך פסק גם </w:t>
      </w:r>
      <w:r w:rsidRPr="00FB5308">
        <w:rPr>
          <w:rFonts w:hint="cs"/>
          <w:b/>
          <w:bCs/>
          <w:rtl/>
        </w:rPr>
        <w:t>הרמב''ם</w:t>
      </w:r>
      <w:r>
        <w:rPr>
          <w:rFonts w:hint="cs"/>
          <w:rtl/>
        </w:rPr>
        <w:t xml:space="preserve"> </w:t>
      </w:r>
      <w:r>
        <w:rPr>
          <w:rFonts w:hint="cs"/>
          <w:sz w:val="18"/>
          <w:szCs w:val="18"/>
          <w:rtl/>
        </w:rPr>
        <w:t>(תפילין ג, ה)</w:t>
      </w:r>
      <w:r>
        <w:rPr>
          <w:rFonts w:hint="cs"/>
          <w:rtl/>
        </w:rPr>
        <w:t xml:space="preserve">, וכתב </w:t>
      </w:r>
      <w:r>
        <w:rPr>
          <w:rFonts w:hint="cs"/>
          <w:sz w:val="18"/>
          <w:szCs w:val="18"/>
          <w:rtl/>
        </w:rPr>
        <w:t>(שו''ת סי' רפט)</w:t>
      </w:r>
      <w:r>
        <w:rPr>
          <w:rFonts w:hint="cs"/>
          <w:rtl/>
        </w:rPr>
        <w:t xml:space="preserve">, שסיפרו לו 'חכמים נאמנים' שפתחו את התפילין של רב האי גאון - ומצאו שהם כשיטתו. </w:t>
      </w:r>
    </w:p>
    <w:p w14:paraId="7162B2D8" w14:textId="3DB1C37C" w:rsidR="00C44AD4" w:rsidRDefault="00FB5308" w:rsidP="004D1D82">
      <w:pPr>
        <w:spacing w:after="60"/>
        <w:jc w:val="both"/>
        <w:rPr>
          <w:rtl/>
        </w:rPr>
      </w:pPr>
      <w:r>
        <w:rPr>
          <w:rFonts w:hint="cs"/>
          <w:rtl/>
        </w:rPr>
        <w:t xml:space="preserve">מדוע אם כן הגמרא בחרה להתנסח בלשון 'שתיים מימין המניח ושתיים משמאלו', ולא כתבה </w:t>
      </w:r>
      <w:r w:rsidR="00D51D03">
        <w:rPr>
          <w:rFonts w:hint="cs"/>
          <w:rtl/>
        </w:rPr>
        <w:t xml:space="preserve">בפשטות </w:t>
      </w:r>
      <w:r>
        <w:rPr>
          <w:rFonts w:hint="cs"/>
          <w:rtl/>
        </w:rPr>
        <w:t xml:space="preserve">שיש לכתוב את הפרשיות כסדר שהן בתורה? </w:t>
      </w:r>
      <w:r w:rsidRPr="00FB5308">
        <w:rPr>
          <w:rFonts w:hint="cs"/>
          <w:b/>
          <w:bCs/>
          <w:rtl/>
        </w:rPr>
        <w:t>הרא''ש</w:t>
      </w:r>
      <w:r>
        <w:rPr>
          <w:rFonts w:hint="cs"/>
          <w:rtl/>
        </w:rPr>
        <w:t xml:space="preserve"> </w:t>
      </w:r>
      <w:r>
        <w:rPr>
          <w:rFonts w:hint="cs"/>
          <w:sz w:val="18"/>
          <w:szCs w:val="18"/>
          <w:rtl/>
        </w:rPr>
        <w:t>(</w:t>
      </w:r>
      <w:r w:rsidRPr="004D4204">
        <w:rPr>
          <w:rFonts w:hint="cs"/>
          <w:sz w:val="18"/>
          <w:szCs w:val="18"/>
          <w:rtl/>
        </w:rPr>
        <w:t>תפילין סי' ה</w:t>
      </w:r>
      <w:r>
        <w:rPr>
          <w:rFonts w:hint="cs"/>
          <w:sz w:val="18"/>
          <w:szCs w:val="18"/>
          <w:rtl/>
        </w:rPr>
        <w:t xml:space="preserve">) </w:t>
      </w:r>
      <w:r>
        <w:rPr>
          <w:rFonts w:hint="cs"/>
          <w:rtl/>
        </w:rPr>
        <w:t xml:space="preserve">תירץ, שהתפילין צריכות להיות באמצע הראש בין העיניים, כאשר שתי פרשיות נמצאות </w:t>
      </w:r>
      <w:r w:rsidRPr="00F75D10">
        <w:rPr>
          <w:rFonts w:hint="cs"/>
          <w:rtl/>
        </w:rPr>
        <w:t xml:space="preserve">משמאל </w:t>
      </w:r>
      <w:r>
        <w:rPr>
          <w:rFonts w:hint="cs"/>
          <w:rtl/>
        </w:rPr>
        <w:t>לאזור שבין עיניים</w:t>
      </w:r>
      <w:r w:rsidRPr="00F75D10">
        <w:rPr>
          <w:rFonts w:hint="cs"/>
          <w:rtl/>
        </w:rPr>
        <w:t xml:space="preserve"> ושתיים </w:t>
      </w:r>
      <w:r>
        <w:rPr>
          <w:rFonts w:hint="cs"/>
          <w:rtl/>
        </w:rPr>
        <w:t xml:space="preserve">מימינן, </w:t>
      </w:r>
      <w:r w:rsidR="00C44AD4">
        <w:rPr>
          <w:rFonts w:hint="cs"/>
          <w:rtl/>
        </w:rPr>
        <w:t>ו</w:t>
      </w:r>
      <w:r>
        <w:rPr>
          <w:rFonts w:hint="cs"/>
          <w:rtl/>
        </w:rPr>
        <w:t xml:space="preserve">לכן התנסחה הגמרא בלשון </w:t>
      </w:r>
      <w:r w:rsidR="00C44AD4">
        <w:rPr>
          <w:rFonts w:hint="cs"/>
          <w:rtl/>
        </w:rPr>
        <w:t>זו. ובלשונו:</w:t>
      </w:r>
    </w:p>
    <w:p w14:paraId="0DB30006" w14:textId="6234D8C7" w:rsidR="00C44AD4" w:rsidRDefault="00C44AD4" w:rsidP="004D1D82">
      <w:pPr>
        <w:spacing w:after="60"/>
        <w:ind w:left="720"/>
        <w:jc w:val="both"/>
        <w:rPr>
          <w:rtl/>
        </w:rPr>
      </w:pPr>
      <w:r>
        <w:rPr>
          <w:rFonts w:hint="cs"/>
          <w:rtl/>
        </w:rPr>
        <w:t>''</w:t>
      </w:r>
      <w:r w:rsidRPr="00C44AD4">
        <w:rPr>
          <w:rtl/>
        </w:rPr>
        <w:t xml:space="preserve">וקשה </w:t>
      </w:r>
      <w:r>
        <w:rPr>
          <w:rFonts w:hint="cs"/>
          <w:rtl/>
        </w:rPr>
        <w:t xml:space="preserve">לרבינו תם, </w:t>
      </w:r>
      <w:proofErr w:type="spellStart"/>
      <w:r w:rsidRPr="00C44AD4">
        <w:rPr>
          <w:rtl/>
        </w:rPr>
        <w:t>אמאי</w:t>
      </w:r>
      <w:proofErr w:type="spellEnd"/>
      <w:r w:rsidRPr="00C44AD4">
        <w:rPr>
          <w:rtl/>
        </w:rPr>
        <w:t xml:space="preserve"> </w:t>
      </w:r>
      <w:proofErr w:type="spellStart"/>
      <w:r w:rsidRPr="00C44AD4">
        <w:rPr>
          <w:rtl/>
        </w:rPr>
        <w:t>פלגינהו</w:t>
      </w:r>
      <w:proofErr w:type="spellEnd"/>
      <w:r w:rsidRPr="00C44AD4">
        <w:rPr>
          <w:rtl/>
        </w:rPr>
        <w:t xml:space="preserve"> לקרות שתים הראשונות מימין ושתים האחרונות משמאל</w:t>
      </w:r>
      <w:r>
        <w:rPr>
          <w:rFonts w:hint="cs"/>
          <w:rtl/>
        </w:rPr>
        <w:t>?</w:t>
      </w:r>
      <w:r w:rsidRPr="00C44AD4">
        <w:rPr>
          <w:rtl/>
        </w:rPr>
        <w:t xml:space="preserve"> </w:t>
      </w:r>
      <w:r>
        <w:rPr>
          <w:rFonts w:hint="cs"/>
          <w:rtl/>
        </w:rPr>
        <w:t xml:space="preserve">הוי ליה לומר </w:t>
      </w:r>
      <w:r w:rsidRPr="00C44AD4">
        <w:rPr>
          <w:rtl/>
        </w:rPr>
        <w:t>הראשונות מימין וכל האחרונות משמאל או איפכא ג' ראשונות מימין ורביעי</w:t>
      </w:r>
      <w:r w:rsidR="00C64607">
        <w:rPr>
          <w:rFonts w:hint="cs"/>
          <w:rtl/>
        </w:rPr>
        <w:t>ת</w:t>
      </w:r>
      <w:r w:rsidRPr="00C44AD4">
        <w:rPr>
          <w:rtl/>
        </w:rPr>
        <w:t xml:space="preserve"> משמאל</w:t>
      </w:r>
      <w:r>
        <w:rPr>
          <w:rFonts w:hint="cs"/>
          <w:rtl/>
        </w:rPr>
        <w:t xml:space="preserve">. </w:t>
      </w:r>
      <w:r w:rsidRPr="00C44AD4">
        <w:rPr>
          <w:rtl/>
        </w:rPr>
        <w:t>ויש לדחות לפי שהתפילין מונחים באמצע הראש ושתי פרשיות מימין האדם ושתים משמאלו.</w:t>
      </w:r>
      <w:r w:rsidR="00AB3EFE">
        <w:rPr>
          <w:rFonts w:hint="cs"/>
          <w:rtl/>
        </w:rPr>
        <w:t>''</w:t>
      </w:r>
    </w:p>
    <w:p w14:paraId="21BB6087" w14:textId="5C2FAF04" w:rsidR="001E3795" w:rsidRDefault="00C44AD4" w:rsidP="004D1D82">
      <w:pPr>
        <w:spacing w:after="60"/>
        <w:jc w:val="both"/>
        <w:rPr>
          <w:rtl/>
        </w:rPr>
      </w:pPr>
      <w:r>
        <w:rPr>
          <w:rFonts w:hint="cs"/>
          <w:rtl/>
        </w:rPr>
        <w:t>ב.</w:t>
      </w:r>
      <w:r w:rsidR="00AB3EFE" w:rsidRPr="00AB3EFE">
        <w:rPr>
          <w:rFonts w:hint="cs"/>
          <w:b/>
          <w:bCs/>
          <w:rtl/>
        </w:rPr>
        <w:t xml:space="preserve"> </w:t>
      </w:r>
      <w:r w:rsidR="00AB3EFE" w:rsidRPr="00274EDD">
        <w:rPr>
          <w:rFonts w:hint="cs"/>
          <w:b/>
          <w:bCs/>
          <w:rtl/>
        </w:rPr>
        <w:t>רבינו תם</w:t>
      </w:r>
      <w:r w:rsidR="00AB3EFE">
        <w:rPr>
          <w:rFonts w:hint="cs"/>
          <w:rtl/>
        </w:rPr>
        <w:t xml:space="preserve"> </w:t>
      </w:r>
      <w:r w:rsidR="00AB3EFE">
        <w:rPr>
          <w:rFonts w:hint="cs"/>
          <w:sz w:val="18"/>
          <w:szCs w:val="18"/>
          <w:rtl/>
        </w:rPr>
        <w:t xml:space="preserve">(תוספות ד''ה הקורא) </w:t>
      </w:r>
      <w:r w:rsidR="00AB3EFE" w:rsidRPr="00AB3EFE">
        <w:rPr>
          <w:rFonts w:hint="cs"/>
          <w:rtl/>
        </w:rPr>
        <w:t>לא קיבל את שיטת רש''י,</w:t>
      </w:r>
      <w:r w:rsidR="00AB3EFE">
        <w:rPr>
          <w:rFonts w:hint="cs"/>
          <w:rtl/>
        </w:rPr>
        <w:t xml:space="preserve"> וטען שהעובדה שגמרא מתנסחת בלשון שתיים מימין ושתיים משמאל (ולא כותבת שסדרן כסדר הכתוב בתורה), ענייניה להורות </w:t>
      </w:r>
      <w:r w:rsidR="00375C6D">
        <w:rPr>
          <w:rFonts w:hint="cs"/>
          <w:rtl/>
        </w:rPr>
        <w:t>שיש לחלק את סדר הפרשיות לשתיים</w:t>
      </w:r>
      <w:r w:rsidR="005E6964">
        <w:rPr>
          <w:rFonts w:hint="cs"/>
          <w:rtl/>
        </w:rPr>
        <w:t xml:space="preserve"> - </w:t>
      </w:r>
      <w:r w:rsidR="00375C6D">
        <w:rPr>
          <w:rFonts w:hint="cs"/>
          <w:rtl/>
        </w:rPr>
        <w:t>פרשיות '</w:t>
      </w:r>
      <w:r w:rsidR="00AB3EFE">
        <w:rPr>
          <w:rFonts w:hint="cs"/>
          <w:rtl/>
        </w:rPr>
        <w:t>קדש</w:t>
      </w:r>
      <w:r w:rsidR="00375C6D">
        <w:rPr>
          <w:rFonts w:hint="cs"/>
          <w:rtl/>
        </w:rPr>
        <w:t>'</w:t>
      </w:r>
      <w:r w:rsidR="00AB3EFE">
        <w:rPr>
          <w:rFonts w:hint="cs"/>
          <w:rtl/>
        </w:rPr>
        <w:t xml:space="preserve"> </w:t>
      </w:r>
      <w:r w:rsidR="00375C6D">
        <w:rPr>
          <w:rFonts w:hint="cs"/>
          <w:rtl/>
        </w:rPr>
        <w:t>'</w:t>
      </w:r>
      <w:r w:rsidR="00AB3EFE">
        <w:rPr>
          <w:rFonts w:hint="cs"/>
          <w:rtl/>
        </w:rPr>
        <w:t>והיה כי יביאך</w:t>
      </w:r>
      <w:r w:rsidR="00375C6D">
        <w:rPr>
          <w:rFonts w:hint="cs"/>
          <w:rtl/>
        </w:rPr>
        <w:t>' מ</w:t>
      </w:r>
      <w:r w:rsidR="00525F03">
        <w:rPr>
          <w:rFonts w:hint="cs"/>
          <w:rtl/>
        </w:rPr>
        <w:t>תחילות מ</w:t>
      </w:r>
      <w:r w:rsidR="00375C6D">
        <w:rPr>
          <w:rFonts w:hint="cs"/>
          <w:rtl/>
        </w:rPr>
        <w:t xml:space="preserve">ימין המניח, </w:t>
      </w:r>
      <w:r w:rsidR="005E6964">
        <w:rPr>
          <w:rFonts w:hint="cs"/>
          <w:rtl/>
        </w:rPr>
        <w:t>ו</w:t>
      </w:r>
      <w:r w:rsidR="00375C6D">
        <w:rPr>
          <w:rFonts w:hint="cs"/>
          <w:rtl/>
        </w:rPr>
        <w:t>'</w:t>
      </w:r>
      <w:r w:rsidR="00AB3EFE">
        <w:rPr>
          <w:rFonts w:hint="cs"/>
          <w:rtl/>
        </w:rPr>
        <w:t>שמע</w:t>
      </w:r>
      <w:r w:rsidR="00375C6D">
        <w:rPr>
          <w:rFonts w:hint="cs"/>
          <w:rtl/>
        </w:rPr>
        <w:t>'</w:t>
      </w:r>
      <w:r w:rsidR="00525F03">
        <w:rPr>
          <w:rFonts w:hint="cs"/>
          <w:rtl/>
        </w:rPr>
        <w:t xml:space="preserve"> 'והיה עם שמוע'</w:t>
      </w:r>
      <w:r w:rsidR="005E6964">
        <w:rPr>
          <w:rFonts w:hint="cs"/>
          <w:rtl/>
        </w:rPr>
        <w:t xml:space="preserve"> מתחילות מצד שמאל, כאשר פרשת 'שמע' היא השמאלית ביותר</w:t>
      </w:r>
      <w:r w:rsidR="001E3795">
        <w:rPr>
          <w:rFonts w:hint="cs"/>
          <w:rtl/>
        </w:rPr>
        <w:t>.</w:t>
      </w:r>
    </w:p>
    <w:p w14:paraId="644B39B5" w14:textId="180FACDE" w:rsidR="00FB5308" w:rsidRDefault="001E3795" w:rsidP="004D1D82">
      <w:pPr>
        <w:spacing w:after="60"/>
        <w:jc w:val="both"/>
        <w:rPr>
          <w:rtl/>
        </w:rPr>
      </w:pPr>
      <w:r>
        <w:rPr>
          <w:rFonts w:hint="cs"/>
          <w:rtl/>
        </w:rPr>
        <w:t>נמצא שלפי שיטתו סדר הפרשיות הוא כך:</w:t>
      </w:r>
      <w:r>
        <w:rPr>
          <w:rFonts w:hint="cs"/>
        </w:rPr>
        <w:t xml:space="preserve"> </w:t>
      </w:r>
      <w:r w:rsidR="00525F03">
        <w:rPr>
          <w:rFonts w:hint="cs"/>
          <w:rtl/>
        </w:rPr>
        <w:t>א. קדש. ב. והיה כי יביאך. ג. 'והיה עם שמוע'. ד. 'שמע'</w:t>
      </w:r>
      <w:r>
        <w:rPr>
          <w:rFonts w:hint="cs"/>
          <w:rtl/>
        </w:rPr>
        <w:t xml:space="preserve">. שיטה זו נקראת גם 'הוויות באמצע', שכן בניגוד לפירוש רש''י בו פרשת </w:t>
      </w:r>
      <w:r w:rsidR="000B4258">
        <w:rPr>
          <w:rFonts w:hint="cs"/>
          <w:rtl/>
        </w:rPr>
        <w:t>'</w:t>
      </w:r>
      <w:r>
        <w:rPr>
          <w:rFonts w:hint="cs"/>
          <w:rtl/>
        </w:rPr>
        <w:t>והיה עם שמוע</w:t>
      </w:r>
      <w:r w:rsidR="000B4258">
        <w:rPr>
          <w:rFonts w:hint="cs"/>
          <w:rtl/>
        </w:rPr>
        <w:t>'</w:t>
      </w:r>
      <w:r>
        <w:rPr>
          <w:rFonts w:hint="cs"/>
          <w:rtl/>
        </w:rPr>
        <w:t xml:space="preserve"> אחרונה, לשיטת רבינו תם פרשת והיה עם שמוע סמוכה לפרשת והיה כי יביאך, והן בין פרשת קדש לשמע</w:t>
      </w:r>
      <w:r w:rsidR="00B17722">
        <w:rPr>
          <w:rFonts w:hint="cs"/>
          <w:rtl/>
        </w:rPr>
        <w:t xml:space="preserve"> </w:t>
      </w:r>
      <w:r w:rsidR="00B17722" w:rsidRPr="005871D5">
        <w:rPr>
          <w:rFonts w:hint="cs"/>
          <w:sz w:val="18"/>
          <w:szCs w:val="18"/>
          <w:rtl/>
        </w:rPr>
        <w:t>(ועיין הערה</w:t>
      </w:r>
      <w:r w:rsidR="00FB5308" w:rsidRPr="00AA5610">
        <w:rPr>
          <w:vertAlign w:val="superscript"/>
          <w:rtl/>
        </w:rPr>
        <w:footnoteReference w:id="2"/>
      </w:r>
      <w:r w:rsidR="00B17722" w:rsidRPr="005871D5">
        <w:rPr>
          <w:rFonts w:hint="cs"/>
          <w:sz w:val="18"/>
          <w:szCs w:val="18"/>
          <w:rtl/>
        </w:rPr>
        <w:t>)</w:t>
      </w:r>
      <w:r w:rsidR="00FB5308">
        <w:rPr>
          <w:rFonts w:hint="cs"/>
          <w:rtl/>
        </w:rPr>
        <w:t>.</w:t>
      </w:r>
    </w:p>
    <w:p w14:paraId="28DAD81A" w14:textId="77777777" w:rsidR="0041712A" w:rsidRPr="00885B9F" w:rsidRDefault="0041712A" w:rsidP="004D1D82">
      <w:pPr>
        <w:spacing w:after="60"/>
        <w:jc w:val="both"/>
        <w:rPr>
          <w:u w:val="single"/>
          <w:rtl/>
        </w:rPr>
      </w:pPr>
      <w:r>
        <w:rPr>
          <w:rFonts w:hint="cs"/>
          <w:u w:val="single"/>
          <w:rtl/>
        </w:rPr>
        <w:t>להלכה</w:t>
      </w:r>
    </w:p>
    <w:p w14:paraId="11C50249" w14:textId="057B185C" w:rsidR="00243C20" w:rsidRDefault="0041712A" w:rsidP="004D1D82">
      <w:pPr>
        <w:spacing w:after="60"/>
        <w:jc w:val="both"/>
        <w:rPr>
          <w:rtl/>
        </w:rPr>
      </w:pPr>
      <w:r>
        <w:rPr>
          <w:rFonts w:hint="cs"/>
          <w:rtl/>
        </w:rPr>
        <w:t>כיצד נפסק להלכה? בעניין זה מצאנו שלוש אפשרויות:</w:t>
      </w:r>
    </w:p>
    <w:p w14:paraId="24F75F2F" w14:textId="77777777" w:rsidR="00A659A4" w:rsidRDefault="00243C20" w:rsidP="00A659A4">
      <w:pPr>
        <w:spacing w:after="80"/>
        <w:jc w:val="both"/>
        <w:rPr>
          <w:rtl/>
        </w:rPr>
      </w:pPr>
      <w:r>
        <w:rPr>
          <w:rFonts w:hint="cs"/>
          <w:rtl/>
        </w:rPr>
        <w:t>א</w:t>
      </w:r>
      <w:r>
        <w:rPr>
          <w:rFonts w:hint="cs"/>
          <w:rtl/>
        </w:rPr>
        <w:t xml:space="preserve">. </w:t>
      </w:r>
      <w:r w:rsidRPr="00EE78AE">
        <w:rPr>
          <w:rFonts w:hint="cs"/>
          <w:rtl/>
        </w:rPr>
        <w:t>המקובלים</w:t>
      </w:r>
      <w:r>
        <w:rPr>
          <w:rFonts w:hint="cs"/>
          <w:rtl/>
        </w:rPr>
        <w:t xml:space="preserve"> בעקבות </w:t>
      </w:r>
      <w:r>
        <w:rPr>
          <w:rFonts w:hint="cs"/>
          <w:b/>
          <w:bCs/>
          <w:rtl/>
        </w:rPr>
        <w:t>האר''י</w:t>
      </w:r>
      <w:r>
        <w:rPr>
          <w:rFonts w:hint="cs"/>
          <w:rtl/>
        </w:rPr>
        <w:t xml:space="preserve"> </w:t>
      </w:r>
      <w:r>
        <w:rPr>
          <w:rFonts w:hint="cs"/>
          <w:sz w:val="18"/>
          <w:szCs w:val="18"/>
          <w:rtl/>
        </w:rPr>
        <w:t xml:space="preserve">(שער הכוונות, תפילין דרוש ד') </w:t>
      </w:r>
      <w:r>
        <w:rPr>
          <w:rFonts w:hint="cs"/>
          <w:rtl/>
        </w:rPr>
        <w:t xml:space="preserve">סברו, </w:t>
      </w:r>
      <w:r w:rsidR="00A659A4">
        <w:rPr>
          <w:rFonts w:hint="cs"/>
          <w:rtl/>
        </w:rPr>
        <w:t>ש</w:t>
      </w:r>
      <w:r>
        <w:rPr>
          <w:rFonts w:hint="cs"/>
          <w:rtl/>
        </w:rPr>
        <w:t xml:space="preserve">חובה להניח את שני זוגות התפילין. כלומר </w:t>
      </w:r>
      <w:r w:rsidRPr="00F75D10">
        <w:rPr>
          <w:rFonts w:hint="cs"/>
          <w:rtl/>
        </w:rPr>
        <w:t xml:space="preserve">בניגוד לשאר הראשונים </w:t>
      </w:r>
    </w:p>
    <w:p w14:paraId="1D1FFA36" w14:textId="26F4E606" w:rsidR="00243C20" w:rsidRPr="00A659A4" w:rsidRDefault="00243C20" w:rsidP="00A659A4">
      <w:pPr>
        <w:spacing w:after="80"/>
        <w:jc w:val="both"/>
        <w:rPr>
          <w:rtl/>
        </w:rPr>
      </w:pPr>
      <w:r w:rsidRPr="00F75D10">
        <w:rPr>
          <w:rFonts w:hint="cs"/>
          <w:rtl/>
        </w:rPr>
        <w:lastRenderedPageBreak/>
        <w:t>ולדרך הפשט בה יש מחלוקת בין השיטות, על פי דרך הקבלה יש עניין בשתי השיטות</w:t>
      </w:r>
      <w:r w:rsidR="00BD5481">
        <w:rPr>
          <w:rFonts w:hint="cs"/>
          <w:rtl/>
        </w:rPr>
        <w:t xml:space="preserve"> (</w:t>
      </w:r>
      <w:r w:rsidR="00A659A4">
        <w:rPr>
          <w:rFonts w:hint="cs"/>
          <w:rtl/>
        </w:rPr>
        <w:t xml:space="preserve">ואף מעלתן של </w:t>
      </w:r>
      <w:r>
        <w:rPr>
          <w:rFonts w:hint="cs"/>
          <w:rtl/>
        </w:rPr>
        <w:t>תפילין</w:t>
      </w:r>
      <w:r w:rsidRPr="00F75D10">
        <w:rPr>
          <w:rFonts w:hint="cs"/>
          <w:rtl/>
        </w:rPr>
        <w:t xml:space="preserve"> של רבינו תם גבוהים </w:t>
      </w:r>
      <w:r w:rsidR="00025D23">
        <w:rPr>
          <w:rFonts w:hint="cs"/>
          <w:rtl/>
        </w:rPr>
        <w:t xml:space="preserve">יותר </w:t>
      </w:r>
      <w:r>
        <w:rPr>
          <w:rFonts w:hint="cs"/>
          <w:rtl/>
        </w:rPr>
        <w:t>מתפילין של רש''י</w:t>
      </w:r>
      <w:r w:rsidR="00BD5481">
        <w:rPr>
          <w:rFonts w:hint="cs"/>
          <w:rtl/>
        </w:rPr>
        <w:t>)</w:t>
      </w:r>
      <w:r w:rsidR="00D17682">
        <w:rPr>
          <w:rFonts w:hint="cs"/>
          <w:rtl/>
        </w:rPr>
        <w:t>, ולכן יש להניח את שני הזוגות</w:t>
      </w:r>
      <w:r w:rsidR="00675A1A">
        <w:rPr>
          <w:rFonts w:hint="cs"/>
          <w:rtl/>
        </w:rPr>
        <w:t>.</w:t>
      </w:r>
      <w:r w:rsidRPr="00F75D10">
        <w:rPr>
          <w:rFonts w:hint="cs"/>
          <w:rtl/>
        </w:rPr>
        <w:t xml:space="preserve"> </w:t>
      </w:r>
      <w:r w:rsidR="00675A1A">
        <w:rPr>
          <w:rFonts w:hint="cs"/>
          <w:rtl/>
        </w:rPr>
        <w:t xml:space="preserve">ובלשונו של </w:t>
      </w:r>
      <w:r w:rsidRPr="00F75D10">
        <w:rPr>
          <w:rFonts w:hint="cs"/>
          <w:b/>
          <w:bCs/>
          <w:rtl/>
        </w:rPr>
        <w:t>הבן איש חי</w:t>
      </w:r>
      <w:r w:rsidRPr="00F75D10">
        <w:rPr>
          <w:rFonts w:hint="cs"/>
          <w:rtl/>
        </w:rPr>
        <w:t xml:space="preserve"> </w:t>
      </w:r>
      <w:r w:rsidRPr="00F75D10">
        <w:rPr>
          <w:rFonts w:hint="cs"/>
          <w:sz w:val="18"/>
          <w:szCs w:val="18"/>
          <w:rtl/>
        </w:rPr>
        <w:t>(וירא, כא</w:t>
      </w:r>
      <w:r>
        <w:rPr>
          <w:rFonts w:hint="cs"/>
          <w:sz w:val="18"/>
          <w:szCs w:val="18"/>
          <w:rtl/>
        </w:rPr>
        <w:t>)</w:t>
      </w:r>
      <w:r>
        <w:rPr>
          <w:rFonts w:hint="cs"/>
          <w:rtl/>
        </w:rPr>
        <w:t>:</w:t>
      </w:r>
    </w:p>
    <w:p w14:paraId="57CAE0D4" w14:textId="01483E79" w:rsidR="00243C20" w:rsidRDefault="00243C20" w:rsidP="000254B9">
      <w:pPr>
        <w:spacing w:after="60"/>
        <w:ind w:left="720"/>
        <w:jc w:val="both"/>
        <w:rPr>
          <w:rtl/>
        </w:rPr>
      </w:pPr>
      <w:r>
        <w:rPr>
          <w:rFonts w:hint="cs"/>
          <w:rtl/>
        </w:rPr>
        <w:t>''</w:t>
      </w:r>
      <w:r w:rsidRPr="00F63A1C">
        <w:rPr>
          <w:rtl/>
        </w:rPr>
        <w:t>והנה בתח</w:t>
      </w:r>
      <w:r>
        <w:rPr>
          <w:rFonts w:hint="cs"/>
          <w:rtl/>
        </w:rPr>
        <w:t>י</w:t>
      </w:r>
      <w:r w:rsidRPr="00F63A1C">
        <w:rPr>
          <w:rtl/>
        </w:rPr>
        <w:t xml:space="preserve">לה היו </w:t>
      </w:r>
      <w:proofErr w:type="spellStart"/>
      <w:r w:rsidRPr="00F63A1C">
        <w:rPr>
          <w:rtl/>
        </w:rPr>
        <w:t>חושבין</w:t>
      </w:r>
      <w:proofErr w:type="spellEnd"/>
      <w:r w:rsidRPr="00F63A1C">
        <w:rPr>
          <w:rtl/>
        </w:rPr>
        <w:t xml:space="preserve"> מחלוקת זו כשאר מחלוקת שסברה אחת בטלה, אך בא רבינו האר"י ז"ל והגיד בקבלה מפי אליהו זכור לטוב ששני הסברות אמת, וצריך למעבד </w:t>
      </w:r>
      <w:proofErr w:type="spellStart"/>
      <w:r w:rsidRPr="00F63A1C">
        <w:rPr>
          <w:rtl/>
        </w:rPr>
        <w:t>תרווייהו</w:t>
      </w:r>
      <w:proofErr w:type="spellEnd"/>
      <w:r>
        <w:rPr>
          <w:rFonts w:hint="cs"/>
          <w:rtl/>
        </w:rPr>
        <w:t xml:space="preserve"> </w:t>
      </w:r>
      <w:r>
        <w:rPr>
          <w:rFonts w:hint="cs"/>
          <w:sz w:val="18"/>
          <w:szCs w:val="18"/>
          <w:rtl/>
        </w:rPr>
        <w:t>(= שניהם)</w:t>
      </w:r>
      <w:r w:rsidRPr="00F63A1C">
        <w:rPr>
          <w:rtl/>
        </w:rPr>
        <w:t xml:space="preserve">, ומימות </w:t>
      </w:r>
      <w:r>
        <w:rPr>
          <w:rFonts w:hint="cs"/>
          <w:rtl/>
        </w:rPr>
        <w:t xml:space="preserve">משה רבינו עליו השלום </w:t>
      </w:r>
      <w:r w:rsidRPr="00F63A1C">
        <w:rPr>
          <w:rtl/>
        </w:rPr>
        <w:t xml:space="preserve">ועד הגאונים היו מניחים ב' זוגות, על כן יעשה ב' זוגות תפילין, </w:t>
      </w:r>
      <w:r>
        <w:rPr>
          <w:rFonts w:hint="cs"/>
          <w:rtl/>
        </w:rPr>
        <w:t xml:space="preserve">אחד </w:t>
      </w:r>
      <w:r w:rsidRPr="00F63A1C">
        <w:rPr>
          <w:rtl/>
        </w:rPr>
        <w:t xml:space="preserve">כסברת רש"י </w:t>
      </w:r>
      <w:r>
        <w:rPr>
          <w:rFonts w:hint="cs"/>
          <w:rtl/>
        </w:rPr>
        <w:t xml:space="preserve">ואחד </w:t>
      </w:r>
      <w:r w:rsidRPr="00F63A1C">
        <w:rPr>
          <w:rtl/>
        </w:rPr>
        <w:t xml:space="preserve">כסברת </w:t>
      </w:r>
      <w:r>
        <w:rPr>
          <w:rFonts w:hint="cs"/>
          <w:rtl/>
        </w:rPr>
        <w:t>רבינו תם.''</w:t>
      </w:r>
    </w:p>
    <w:p w14:paraId="3471DB24" w14:textId="07C3BE0E" w:rsidR="00C845A2" w:rsidRPr="00A0011C" w:rsidRDefault="00A2067E" w:rsidP="000254B9">
      <w:pPr>
        <w:spacing w:after="60"/>
        <w:jc w:val="both"/>
        <w:rPr>
          <w:rtl/>
        </w:rPr>
      </w:pPr>
      <w:r>
        <w:rPr>
          <w:rFonts w:hint="cs"/>
          <w:rtl/>
        </w:rPr>
        <w:t>ב</w:t>
      </w:r>
      <w:r w:rsidR="001449F3">
        <w:rPr>
          <w:rFonts w:hint="cs"/>
          <w:rtl/>
        </w:rPr>
        <w:t xml:space="preserve">. </w:t>
      </w:r>
      <w:r w:rsidR="001449F3" w:rsidRPr="001449F3">
        <w:rPr>
          <w:rFonts w:hint="cs"/>
          <w:b/>
          <w:bCs/>
          <w:rtl/>
        </w:rPr>
        <w:t>הגר''א</w:t>
      </w:r>
      <w:r w:rsidR="001449F3">
        <w:rPr>
          <w:rFonts w:hint="cs"/>
          <w:rtl/>
        </w:rPr>
        <w:t xml:space="preserve"> </w:t>
      </w:r>
      <w:r w:rsidR="001449F3">
        <w:rPr>
          <w:rFonts w:hint="cs"/>
          <w:sz w:val="18"/>
          <w:szCs w:val="18"/>
          <w:rtl/>
        </w:rPr>
        <w:t xml:space="preserve">(לד, א) </w:t>
      </w:r>
      <w:r w:rsidR="001449F3">
        <w:rPr>
          <w:rFonts w:hint="cs"/>
          <w:rtl/>
        </w:rPr>
        <w:t>פסק להלכה כדעת רש''י</w:t>
      </w:r>
      <w:r>
        <w:rPr>
          <w:rFonts w:hint="cs"/>
          <w:rtl/>
        </w:rPr>
        <w:t xml:space="preserve"> </w:t>
      </w:r>
      <w:r w:rsidR="00A858DA">
        <w:rPr>
          <w:rFonts w:hint="cs"/>
          <w:rtl/>
        </w:rPr>
        <w:t>והרמב''ם</w:t>
      </w:r>
      <w:r w:rsidR="0076144F">
        <w:rPr>
          <w:rFonts w:hint="cs"/>
          <w:rtl/>
        </w:rPr>
        <w:t>,</w:t>
      </w:r>
      <w:r>
        <w:rPr>
          <w:rFonts w:hint="cs"/>
          <w:rtl/>
        </w:rPr>
        <w:t xml:space="preserve"> ו</w:t>
      </w:r>
      <w:r w:rsidR="0076144F">
        <w:rPr>
          <w:rFonts w:hint="cs"/>
          <w:rtl/>
        </w:rPr>
        <w:t xml:space="preserve">הוסיף </w:t>
      </w:r>
      <w:r>
        <w:rPr>
          <w:rFonts w:hint="cs"/>
          <w:rtl/>
        </w:rPr>
        <w:t>ש</w:t>
      </w:r>
      <w:r w:rsidR="00362960">
        <w:rPr>
          <w:rFonts w:hint="cs"/>
          <w:rtl/>
        </w:rPr>
        <w:t xml:space="preserve">אפילו </w:t>
      </w:r>
      <w:r>
        <w:rPr>
          <w:rFonts w:hint="cs"/>
          <w:rtl/>
        </w:rPr>
        <w:t xml:space="preserve">אין </w:t>
      </w:r>
      <w:r w:rsidR="0076144F">
        <w:rPr>
          <w:rFonts w:hint="cs"/>
          <w:rtl/>
        </w:rPr>
        <w:t xml:space="preserve">עניין </w:t>
      </w:r>
      <w:r>
        <w:rPr>
          <w:rFonts w:hint="cs"/>
          <w:rtl/>
        </w:rPr>
        <w:t xml:space="preserve">לחוש </w:t>
      </w:r>
      <w:r w:rsidR="0076144F">
        <w:rPr>
          <w:rFonts w:hint="cs"/>
          <w:rtl/>
        </w:rPr>
        <w:t>לשיטת רבינו תם</w:t>
      </w:r>
      <w:r w:rsidR="009C79DF">
        <w:rPr>
          <w:rFonts w:hint="cs"/>
          <w:rtl/>
        </w:rPr>
        <w:t xml:space="preserve"> ולהניחה מספק</w:t>
      </w:r>
      <w:r>
        <w:rPr>
          <w:rFonts w:hint="cs"/>
          <w:rtl/>
        </w:rPr>
        <w:t xml:space="preserve">. </w:t>
      </w:r>
      <w:r w:rsidR="0076144F">
        <w:rPr>
          <w:rFonts w:hint="cs"/>
          <w:rtl/>
        </w:rPr>
        <w:t xml:space="preserve">בטעם הדבר </w:t>
      </w:r>
      <w:r w:rsidR="00F14F19">
        <w:rPr>
          <w:rFonts w:hint="cs"/>
          <w:rtl/>
        </w:rPr>
        <w:t xml:space="preserve">נימק, </w:t>
      </w:r>
      <w:r w:rsidR="00271F7E">
        <w:rPr>
          <w:rFonts w:hint="cs"/>
          <w:rtl/>
        </w:rPr>
        <w:t xml:space="preserve">שהרוצה לחוש לכל השיטות, יגלה שיש להניח עשרות זוגות תפילין, שכן מעבר למחלוקת בין השיטות </w:t>
      </w:r>
      <w:r w:rsidR="00271F7E">
        <w:rPr>
          <w:rFonts w:hint="cs"/>
          <w:sz w:val="18"/>
          <w:szCs w:val="18"/>
          <w:rtl/>
        </w:rPr>
        <w:t>(עיין הערה 1)</w:t>
      </w:r>
      <w:r w:rsidR="00271F7E">
        <w:rPr>
          <w:rFonts w:hint="cs"/>
          <w:rtl/>
        </w:rPr>
        <w:t xml:space="preserve"> </w:t>
      </w:r>
      <w:r w:rsidR="00C845A2" w:rsidRPr="00271F7E">
        <w:rPr>
          <w:rFonts w:hint="cs"/>
          <w:rtl/>
        </w:rPr>
        <w:t xml:space="preserve">יש מחלוקת </w:t>
      </w:r>
      <w:r w:rsidR="00721104">
        <w:rPr>
          <w:rFonts w:hint="cs"/>
          <w:rtl/>
        </w:rPr>
        <w:t xml:space="preserve">האם </w:t>
      </w:r>
      <w:r w:rsidR="00C845A2" w:rsidRPr="00271F7E">
        <w:rPr>
          <w:rFonts w:hint="cs"/>
          <w:rtl/>
        </w:rPr>
        <w:t>לשים את הקלף</w:t>
      </w:r>
      <w:r w:rsidR="00D93113" w:rsidRPr="00271F7E">
        <w:rPr>
          <w:rFonts w:hint="cs"/>
          <w:rtl/>
        </w:rPr>
        <w:t xml:space="preserve"> שוכב או עומד</w:t>
      </w:r>
      <w:r w:rsidR="007918D9">
        <w:rPr>
          <w:rFonts w:hint="cs"/>
          <w:sz w:val="18"/>
          <w:szCs w:val="18"/>
          <w:rtl/>
        </w:rPr>
        <w:t xml:space="preserve">, </w:t>
      </w:r>
      <w:r w:rsidR="00271F7E">
        <w:rPr>
          <w:rFonts w:hint="cs"/>
          <w:rtl/>
        </w:rPr>
        <w:t xml:space="preserve">האם </w:t>
      </w:r>
      <w:r w:rsidR="007918D9" w:rsidRPr="00271F7E">
        <w:rPr>
          <w:rFonts w:hint="cs"/>
          <w:rtl/>
        </w:rPr>
        <w:t>פרשיות סתומות או פתוחות</w:t>
      </w:r>
      <w:r w:rsidR="00B92F18" w:rsidRPr="00271F7E">
        <w:rPr>
          <w:rFonts w:hint="cs"/>
          <w:rtl/>
        </w:rPr>
        <w:t xml:space="preserve"> ועוד</w:t>
      </w:r>
      <w:r w:rsidR="000E2996">
        <w:rPr>
          <w:rFonts w:hint="cs"/>
          <w:rtl/>
        </w:rPr>
        <w:t xml:space="preserve"> - ואם כן לא מתסבר לחוש דווקא לשיטת רבינו תם</w:t>
      </w:r>
      <w:r w:rsidR="00A0011C">
        <w:rPr>
          <w:rFonts w:hint="cs"/>
          <w:rtl/>
        </w:rPr>
        <w:t>.</w:t>
      </w:r>
    </w:p>
    <w:p w14:paraId="542957A9" w14:textId="77777777" w:rsidR="001D290E" w:rsidRDefault="00292603" w:rsidP="000254B9">
      <w:pPr>
        <w:spacing w:after="60"/>
        <w:jc w:val="both"/>
        <w:rPr>
          <w:rtl/>
        </w:rPr>
      </w:pPr>
      <w:r>
        <w:rPr>
          <w:rFonts w:hint="cs"/>
          <w:rtl/>
        </w:rPr>
        <w:t>ג</w:t>
      </w:r>
      <w:r w:rsidR="0041712A">
        <w:rPr>
          <w:rFonts w:hint="cs"/>
          <w:rtl/>
        </w:rPr>
        <w:t xml:space="preserve">. </w:t>
      </w:r>
      <w:r w:rsidR="001449F3">
        <w:rPr>
          <w:rFonts w:hint="cs"/>
          <w:b/>
          <w:bCs/>
          <w:rtl/>
        </w:rPr>
        <w:t xml:space="preserve">השולחן ערוך </w:t>
      </w:r>
      <w:r w:rsidR="001449F3" w:rsidRPr="001449F3">
        <w:rPr>
          <w:rFonts w:hint="cs"/>
          <w:sz w:val="18"/>
          <w:szCs w:val="18"/>
          <w:rtl/>
        </w:rPr>
        <w:t>(לד, א)</w:t>
      </w:r>
      <w:r w:rsidR="0041712A">
        <w:rPr>
          <w:rFonts w:hint="cs"/>
          <w:rtl/>
        </w:rPr>
        <w:t xml:space="preserve"> </w:t>
      </w:r>
      <w:r w:rsidR="00A858DA">
        <w:rPr>
          <w:rFonts w:hint="cs"/>
          <w:rtl/>
        </w:rPr>
        <w:t xml:space="preserve">בדעת ביניים, </w:t>
      </w:r>
      <w:r w:rsidR="001449F3">
        <w:rPr>
          <w:rFonts w:hint="cs"/>
          <w:rtl/>
        </w:rPr>
        <w:t xml:space="preserve">פסק מעיקר הדין כדעת </w:t>
      </w:r>
      <w:r w:rsidR="00D93113">
        <w:rPr>
          <w:rFonts w:hint="cs"/>
          <w:rtl/>
        </w:rPr>
        <w:t xml:space="preserve">רש''י </w:t>
      </w:r>
      <w:r w:rsidR="004B7FD5">
        <w:rPr>
          <w:rFonts w:hint="cs"/>
          <w:rtl/>
        </w:rPr>
        <w:t>וה</w:t>
      </w:r>
      <w:r w:rsidR="00D93113">
        <w:rPr>
          <w:rFonts w:hint="cs"/>
          <w:rtl/>
        </w:rPr>
        <w:t>רמב''ם</w:t>
      </w:r>
      <w:r w:rsidR="001D290E">
        <w:rPr>
          <w:rFonts w:hint="cs"/>
          <w:rtl/>
        </w:rPr>
        <w:t xml:space="preserve">, אך </w:t>
      </w:r>
      <w:r w:rsidR="00926680">
        <w:rPr>
          <w:rFonts w:hint="cs"/>
          <w:rtl/>
        </w:rPr>
        <w:t xml:space="preserve">הוסיף </w:t>
      </w:r>
      <w:r w:rsidR="001170A1">
        <w:rPr>
          <w:rFonts w:hint="cs"/>
          <w:rtl/>
        </w:rPr>
        <w:t xml:space="preserve">בעקבות </w:t>
      </w:r>
      <w:r w:rsidR="001170A1" w:rsidRPr="001170A1">
        <w:rPr>
          <w:rFonts w:hint="cs"/>
          <w:b/>
          <w:bCs/>
          <w:rtl/>
        </w:rPr>
        <w:t>המהרי''ל</w:t>
      </w:r>
      <w:r>
        <w:rPr>
          <w:rFonts w:hint="cs"/>
          <w:rtl/>
        </w:rPr>
        <w:t xml:space="preserve">, </w:t>
      </w:r>
      <w:r w:rsidR="00926680">
        <w:rPr>
          <w:rFonts w:hint="cs"/>
          <w:rtl/>
        </w:rPr>
        <w:t>ש</w:t>
      </w:r>
      <w:r>
        <w:rPr>
          <w:rFonts w:hint="cs"/>
          <w:rtl/>
        </w:rPr>
        <w:t>מי שמוחזק בחסידות יכול להניחם.</w:t>
      </w:r>
      <w:r w:rsidR="00926680">
        <w:rPr>
          <w:rFonts w:hint="cs"/>
          <w:rtl/>
        </w:rPr>
        <w:t xml:space="preserve"> </w:t>
      </w:r>
      <w:r w:rsidR="00EC3C52">
        <w:rPr>
          <w:rFonts w:hint="cs"/>
          <w:rtl/>
        </w:rPr>
        <w:t xml:space="preserve">מדוע דווקא במחלוקת זו יש עניין לחוש </w:t>
      </w:r>
      <w:r w:rsidR="00E46CEF">
        <w:rPr>
          <w:rFonts w:hint="cs"/>
          <w:rtl/>
        </w:rPr>
        <w:t>ל</w:t>
      </w:r>
      <w:r w:rsidR="00EC3C52">
        <w:rPr>
          <w:rFonts w:hint="cs"/>
          <w:rtl/>
        </w:rPr>
        <w:t xml:space="preserve">חולקים? </w:t>
      </w:r>
      <w:r w:rsidR="00F913E5">
        <w:rPr>
          <w:rFonts w:hint="cs"/>
          <w:b/>
          <w:bCs/>
          <w:rtl/>
        </w:rPr>
        <w:t xml:space="preserve">הלבוש </w:t>
      </w:r>
      <w:r w:rsidR="00E46CEF">
        <w:rPr>
          <w:rFonts w:hint="cs"/>
          <w:sz w:val="18"/>
          <w:szCs w:val="18"/>
          <w:rtl/>
        </w:rPr>
        <w:t xml:space="preserve">(לב, סז) </w:t>
      </w:r>
      <w:r w:rsidR="007B0661">
        <w:rPr>
          <w:rFonts w:hint="cs"/>
          <w:rtl/>
        </w:rPr>
        <w:t>תירץ, ש</w:t>
      </w:r>
      <w:r w:rsidR="00EE24F3">
        <w:rPr>
          <w:rFonts w:hint="cs"/>
          <w:rtl/>
        </w:rPr>
        <w:t>כיוון ששיטת רבינו תם</w:t>
      </w:r>
      <w:r w:rsidR="00344CB7">
        <w:rPr>
          <w:rFonts w:hint="cs"/>
          <w:rtl/>
        </w:rPr>
        <w:t xml:space="preserve"> היא שיטת ראשונים רבים, </w:t>
      </w:r>
      <w:r w:rsidR="001D290E">
        <w:rPr>
          <w:rFonts w:hint="cs"/>
          <w:rtl/>
        </w:rPr>
        <w:t>לא יוצאים ידי חובה אם מניחים תפילין שסדר הפרשיות הפוך</w:t>
      </w:r>
      <w:r w:rsidR="00344CB7">
        <w:rPr>
          <w:rFonts w:hint="cs"/>
          <w:rtl/>
        </w:rPr>
        <w:t xml:space="preserve">, </w:t>
      </w:r>
      <w:r w:rsidR="001D290E">
        <w:rPr>
          <w:rFonts w:hint="cs"/>
          <w:rtl/>
        </w:rPr>
        <w:t xml:space="preserve">ויש מקום ביד ובראש להניח שתי תפילין - </w:t>
      </w:r>
      <w:r w:rsidR="00344CB7">
        <w:rPr>
          <w:rFonts w:hint="cs"/>
          <w:rtl/>
        </w:rPr>
        <w:t>נכון לחוש.</w:t>
      </w:r>
      <w:r w:rsidR="005A2426">
        <w:rPr>
          <w:rFonts w:hint="cs"/>
          <w:rtl/>
        </w:rPr>
        <w:t xml:space="preserve"> ובלשונו:</w:t>
      </w:r>
    </w:p>
    <w:p w14:paraId="55C8DF9A" w14:textId="35DA505E" w:rsidR="00EC3C52" w:rsidRDefault="001D290E" w:rsidP="000254B9">
      <w:pPr>
        <w:spacing w:after="60"/>
        <w:ind w:left="720"/>
        <w:jc w:val="both"/>
        <w:rPr>
          <w:rtl/>
        </w:rPr>
      </w:pPr>
      <w:r>
        <w:rPr>
          <w:rFonts w:hint="cs"/>
          <w:rtl/>
        </w:rPr>
        <w:t>''</w:t>
      </w:r>
      <w:r w:rsidRPr="001D290E">
        <w:rPr>
          <w:rtl/>
        </w:rPr>
        <w:t xml:space="preserve">ולפי שנחלקו בזה גאוני עולם ותפילין של אלו </w:t>
      </w:r>
      <w:proofErr w:type="spellStart"/>
      <w:r w:rsidRPr="001D290E">
        <w:rPr>
          <w:rtl/>
        </w:rPr>
        <w:t>פסולין</w:t>
      </w:r>
      <w:proofErr w:type="spellEnd"/>
      <w:r w:rsidRPr="001D290E">
        <w:rPr>
          <w:rtl/>
        </w:rPr>
        <w:t xml:space="preserve"> לאלו, ואמרו חכמים ז"ל מקום יש בראש להניח בוא שני תפילין וכן בזרוע, לכן נהגו קצת הרוצים לנהוג מדת חסידות ויראת אלהים ומנהגם כך בשאר </w:t>
      </w:r>
      <w:proofErr w:type="spellStart"/>
      <w:r w:rsidRPr="001D290E">
        <w:rPr>
          <w:rtl/>
        </w:rPr>
        <w:t>ענינים</w:t>
      </w:r>
      <w:proofErr w:type="spellEnd"/>
      <w:r w:rsidRPr="001D290E">
        <w:rPr>
          <w:rtl/>
        </w:rPr>
        <w:t xml:space="preserve">, נוהגים לצאת ידי שניהם ועושין להם שתי זוגות תפילין כשתי </w:t>
      </w:r>
      <w:proofErr w:type="spellStart"/>
      <w:r w:rsidRPr="001D290E">
        <w:rPr>
          <w:rtl/>
        </w:rPr>
        <w:t>הדיעות</w:t>
      </w:r>
      <w:proofErr w:type="spellEnd"/>
      <w:r w:rsidRPr="001D290E">
        <w:rPr>
          <w:rtl/>
        </w:rPr>
        <w:t xml:space="preserve"> </w:t>
      </w:r>
      <w:proofErr w:type="spellStart"/>
      <w:r w:rsidRPr="001D290E">
        <w:rPr>
          <w:rtl/>
        </w:rPr>
        <w:t>ומניחין</w:t>
      </w:r>
      <w:proofErr w:type="spellEnd"/>
      <w:r w:rsidRPr="001D290E">
        <w:rPr>
          <w:rtl/>
        </w:rPr>
        <w:t xml:space="preserve"> שניהם.</w:t>
      </w:r>
      <w:r>
        <w:rPr>
          <w:rFonts w:hint="cs"/>
          <w:rtl/>
        </w:rPr>
        <w:t>''</w:t>
      </w:r>
      <w:r w:rsidRPr="001D290E">
        <w:rPr>
          <w:rtl/>
        </w:rPr>
        <w:t xml:space="preserve"> </w:t>
      </w:r>
      <w:r w:rsidR="00344CB7">
        <w:rPr>
          <w:rFonts w:hint="cs"/>
          <w:rtl/>
        </w:rPr>
        <w:t xml:space="preserve"> </w:t>
      </w:r>
    </w:p>
    <w:p w14:paraId="49219B62" w14:textId="05088F29" w:rsidR="00066645" w:rsidRDefault="007B0661" w:rsidP="000254B9">
      <w:pPr>
        <w:spacing w:after="60"/>
        <w:jc w:val="both"/>
        <w:rPr>
          <w:rtl/>
        </w:rPr>
      </w:pPr>
      <w:r>
        <w:rPr>
          <w:rFonts w:hint="cs"/>
          <w:rtl/>
        </w:rPr>
        <w:t xml:space="preserve">למרות שהשולחן ערוך כתב שדווקא מי שמוחזק בחסידות יכול להניחם, </w:t>
      </w:r>
      <w:r w:rsidR="00842D6F">
        <w:rPr>
          <w:rFonts w:hint="cs"/>
          <w:rtl/>
        </w:rPr>
        <w:t xml:space="preserve">בפועל </w:t>
      </w:r>
      <w:r w:rsidR="00292603">
        <w:rPr>
          <w:rFonts w:hint="cs"/>
          <w:rtl/>
        </w:rPr>
        <w:t xml:space="preserve">כתבו </w:t>
      </w:r>
      <w:r w:rsidR="00533C1A">
        <w:rPr>
          <w:rFonts w:hint="cs"/>
          <w:rtl/>
        </w:rPr>
        <w:t>האחרונים</w:t>
      </w:r>
      <w:r>
        <w:rPr>
          <w:rFonts w:hint="cs"/>
          <w:rtl/>
        </w:rPr>
        <w:t xml:space="preserve"> </w:t>
      </w:r>
      <w:r w:rsidR="00FC6219">
        <w:rPr>
          <w:rFonts w:hint="cs"/>
          <w:rtl/>
        </w:rPr>
        <w:t xml:space="preserve">שבזמן הזה גם מי שאינו מוחזק בחסידות יכול </w:t>
      </w:r>
      <w:r>
        <w:rPr>
          <w:rFonts w:hint="cs"/>
          <w:rtl/>
        </w:rPr>
        <w:t>להניח</w:t>
      </w:r>
      <w:r w:rsidR="00292603">
        <w:rPr>
          <w:rFonts w:hint="cs"/>
          <w:rtl/>
        </w:rPr>
        <w:t>,</w:t>
      </w:r>
      <w:r w:rsidR="0035047C">
        <w:rPr>
          <w:rFonts w:hint="cs"/>
          <w:rtl/>
        </w:rPr>
        <w:t xml:space="preserve"> ואין בכך יוהר</w:t>
      </w:r>
      <w:r w:rsidR="009937D1">
        <w:rPr>
          <w:rFonts w:hint="cs"/>
          <w:rtl/>
        </w:rPr>
        <w:t>ה</w:t>
      </w:r>
      <w:r>
        <w:rPr>
          <w:rFonts w:hint="cs"/>
          <w:rtl/>
        </w:rPr>
        <w:t>. הסיבה לכך</w:t>
      </w:r>
      <w:r w:rsidR="007052D2">
        <w:rPr>
          <w:rFonts w:hint="cs"/>
          <w:rtl/>
        </w:rPr>
        <w:t xml:space="preserve"> היא</w:t>
      </w:r>
      <w:r>
        <w:rPr>
          <w:rFonts w:hint="cs"/>
          <w:rtl/>
        </w:rPr>
        <w:t xml:space="preserve">, שבעקבות תורת החסידות שצעדה אחרי </w:t>
      </w:r>
      <w:r w:rsidR="007052D2">
        <w:rPr>
          <w:rFonts w:hint="cs"/>
          <w:rtl/>
        </w:rPr>
        <w:t xml:space="preserve">הקבלה אנשים </w:t>
      </w:r>
      <w:r w:rsidR="004E0466">
        <w:rPr>
          <w:rFonts w:hint="cs"/>
          <w:rtl/>
        </w:rPr>
        <w:t xml:space="preserve">רבים </w:t>
      </w:r>
      <w:r w:rsidR="007052D2">
        <w:rPr>
          <w:rFonts w:hint="cs"/>
          <w:rtl/>
        </w:rPr>
        <w:t>שלא בהכרח מוחזקים בחסידות הניח</w:t>
      </w:r>
      <w:r w:rsidR="000623F4">
        <w:rPr>
          <w:rFonts w:hint="cs"/>
          <w:rtl/>
        </w:rPr>
        <w:t>ו</w:t>
      </w:r>
      <w:r w:rsidR="007052D2">
        <w:rPr>
          <w:rFonts w:hint="cs"/>
          <w:rtl/>
        </w:rPr>
        <w:t xml:space="preserve"> שני זוגות תפילין,</w:t>
      </w:r>
      <w:r w:rsidR="000623F4">
        <w:rPr>
          <w:rFonts w:hint="cs"/>
          <w:rtl/>
        </w:rPr>
        <w:t xml:space="preserve"> ולכן </w:t>
      </w:r>
      <w:r w:rsidR="005E0346">
        <w:rPr>
          <w:rFonts w:hint="cs"/>
          <w:rtl/>
        </w:rPr>
        <w:t>נפתח הפתח גם לשאר הציבור</w:t>
      </w:r>
      <w:r w:rsidR="00BC267F">
        <w:rPr>
          <w:rFonts w:hint="cs"/>
          <w:rtl/>
        </w:rPr>
        <w:t>.</w:t>
      </w:r>
    </w:p>
    <w:p w14:paraId="50AB6E4F" w14:textId="6B6991BD" w:rsidR="000156BD" w:rsidRDefault="00066645" w:rsidP="000254B9">
      <w:pPr>
        <w:spacing w:after="60"/>
        <w:jc w:val="both"/>
        <w:rPr>
          <w:rtl/>
        </w:rPr>
      </w:pPr>
      <w:r>
        <w:rPr>
          <w:rFonts w:hint="cs"/>
          <w:rtl/>
        </w:rPr>
        <w:t xml:space="preserve">עם זאת, כיוון </w:t>
      </w:r>
      <w:r w:rsidR="00493F12">
        <w:rPr>
          <w:rFonts w:hint="cs"/>
          <w:rtl/>
        </w:rPr>
        <w:t>ש</w:t>
      </w:r>
      <w:r>
        <w:rPr>
          <w:rFonts w:hint="cs"/>
          <w:rtl/>
        </w:rPr>
        <w:t>תפילין של רש''י הן העיקר</w:t>
      </w:r>
      <w:r w:rsidR="00493F12">
        <w:rPr>
          <w:rFonts w:hint="cs"/>
          <w:rtl/>
        </w:rPr>
        <w:t xml:space="preserve"> והנחת תפילין של רבינו תם היא רק ממידת חסידות</w:t>
      </w:r>
      <w:r>
        <w:rPr>
          <w:rFonts w:hint="cs"/>
          <w:rtl/>
        </w:rPr>
        <w:t xml:space="preserve">, </w:t>
      </w:r>
      <w:r w:rsidR="00E30B99">
        <w:rPr>
          <w:rFonts w:hint="cs"/>
          <w:rtl/>
        </w:rPr>
        <w:t xml:space="preserve">יש לברך </w:t>
      </w:r>
      <w:r w:rsidR="00327D18">
        <w:rPr>
          <w:rFonts w:hint="cs"/>
          <w:rtl/>
        </w:rPr>
        <w:t xml:space="preserve">על הנחת תפילין של </w:t>
      </w:r>
      <w:r>
        <w:rPr>
          <w:rFonts w:hint="cs"/>
          <w:rtl/>
        </w:rPr>
        <w:t xml:space="preserve">רש''י. כמו כן, </w:t>
      </w:r>
      <w:r w:rsidR="00E30B99">
        <w:rPr>
          <w:rFonts w:hint="cs"/>
          <w:rtl/>
        </w:rPr>
        <w:t xml:space="preserve">בניגוד לדעת המקובלים שכאשר מניחים תפילין של רש''י ורבינו תם יש לכוון לצאת ידי חובה בשתיהן, לשיטה זו כדי להימנע מהאיסור 'בל תוסיף' יש לכוון שיוצאים ידי חובה רק בזוג האחד, והזוג </w:t>
      </w:r>
      <w:r w:rsidR="00E26EF7">
        <w:rPr>
          <w:rFonts w:hint="cs"/>
          <w:rtl/>
        </w:rPr>
        <w:t xml:space="preserve">השני הוא </w:t>
      </w:r>
      <w:r w:rsidRPr="00F75D10">
        <w:rPr>
          <w:rFonts w:hint="cs"/>
          <w:rtl/>
        </w:rPr>
        <w:t>רק בגדר רצועות בעלמא</w:t>
      </w:r>
      <w:r w:rsidR="00E26EF7">
        <w:rPr>
          <w:rFonts w:hint="cs"/>
          <w:rtl/>
        </w:rPr>
        <w:t>.</w:t>
      </w:r>
      <w:r w:rsidR="00BC267F">
        <w:rPr>
          <w:rFonts w:hint="cs"/>
          <w:rtl/>
        </w:rPr>
        <w:t xml:space="preserve"> </w:t>
      </w:r>
    </w:p>
    <w:p w14:paraId="3658C086" w14:textId="273F4C04" w:rsidR="00833695" w:rsidRPr="00A65687" w:rsidRDefault="001001B3" w:rsidP="000254B9">
      <w:pPr>
        <w:spacing w:after="60"/>
        <w:jc w:val="both"/>
        <w:rPr>
          <w:b/>
          <w:bCs/>
          <w:u w:val="single"/>
          <w:rtl/>
        </w:rPr>
      </w:pPr>
      <w:r>
        <w:rPr>
          <w:rFonts w:hint="cs"/>
          <w:b/>
          <w:bCs/>
          <w:u w:val="single"/>
          <w:rtl/>
        </w:rPr>
        <w:t>מקום ההנחה</w:t>
      </w:r>
    </w:p>
    <w:p w14:paraId="2EFE0BF0" w14:textId="6270D54C" w:rsidR="005A2426" w:rsidRDefault="00B60416" w:rsidP="000254B9">
      <w:pPr>
        <w:spacing w:after="60"/>
        <w:jc w:val="both"/>
        <w:rPr>
          <w:rtl/>
        </w:rPr>
      </w:pPr>
      <w:r>
        <w:rPr>
          <w:rFonts w:hint="cs"/>
          <w:rtl/>
        </w:rPr>
        <w:t>ייתכן ש</w:t>
      </w:r>
      <w:r w:rsidR="005A2426">
        <w:rPr>
          <w:rFonts w:hint="cs"/>
          <w:rtl/>
        </w:rPr>
        <w:t xml:space="preserve">למחלוקת בין השולחן ערוך ולבין דרך הקבלה, </w:t>
      </w:r>
      <w:r>
        <w:rPr>
          <w:rFonts w:hint="cs"/>
          <w:rtl/>
        </w:rPr>
        <w:t>ישנה השלכה נוספת:</w:t>
      </w:r>
    </w:p>
    <w:p w14:paraId="1D1801FF" w14:textId="38EED16C" w:rsidR="00B60416" w:rsidRPr="00B60416" w:rsidRDefault="00B60416" w:rsidP="000254B9">
      <w:pPr>
        <w:spacing w:after="60"/>
        <w:jc w:val="both"/>
        <w:rPr>
          <w:rtl/>
        </w:rPr>
      </w:pPr>
      <w:r>
        <w:rPr>
          <w:rFonts w:hint="cs"/>
          <w:rtl/>
        </w:rPr>
        <w:t xml:space="preserve">הגמרא במסכת </w:t>
      </w:r>
      <w:r>
        <w:rPr>
          <w:rFonts w:hint="cs"/>
          <w:rtl/>
        </w:rPr>
        <w:t xml:space="preserve">עירובין </w:t>
      </w:r>
      <w:r>
        <w:rPr>
          <w:rFonts w:hint="cs"/>
          <w:sz w:val="18"/>
          <w:szCs w:val="18"/>
          <w:rtl/>
        </w:rPr>
        <w:t>(</w:t>
      </w:r>
      <w:proofErr w:type="spellStart"/>
      <w:r>
        <w:rPr>
          <w:rFonts w:hint="cs"/>
          <w:sz w:val="18"/>
          <w:szCs w:val="18"/>
          <w:rtl/>
        </w:rPr>
        <w:t>צה</w:t>
      </w:r>
      <w:proofErr w:type="spellEnd"/>
      <w:r>
        <w:rPr>
          <w:rFonts w:hint="cs"/>
          <w:sz w:val="18"/>
          <w:szCs w:val="18"/>
          <w:rtl/>
        </w:rPr>
        <w:t xml:space="preserve"> ע''ב)</w:t>
      </w:r>
      <w:r w:rsidR="00BF0BAD">
        <w:rPr>
          <w:rFonts w:hint="cs"/>
          <w:rtl/>
        </w:rPr>
        <w:t xml:space="preserve"> כותבת</w:t>
      </w:r>
      <w:r>
        <w:rPr>
          <w:rFonts w:hint="cs"/>
          <w:rtl/>
        </w:rPr>
        <w:t xml:space="preserve">, שיש מקום ביד ובראש להניח שני זוגות </w:t>
      </w:r>
      <w:r>
        <w:rPr>
          <w:rFonts w:hint="cs"/>
          <w:rtl/>
        </w:rPr>
        <w:t>תפילין</w:t>
      </w:r>
      <w:r w:rsidR="00BF0BAD">
        <w:rPr>
          <w:rFonts w:hint="cs"/>
          <w:rtl/>
        </w:rPr>
        <w:t xml:space="preserve">, </w:t>
      </w:r>
      <w:r w:rsidR="007A5BC9">
        <w:rPr>
          <w:rFonts w:hint="cs"/>
          <w:rtl/>
        </w:rPr>
        <w:t xml:space="preserve">וכפי שכותבת הגמרא במנחות </w:t>
      </w:r>
      <w:r w:rsidR="007A5BC9">
        <w:rPr>
          <w:rFonts w:hint="cs"/>
          <w:sz w:val="18"/>
          <w:szCs w:val="18"/>
          <w:rtl/>
        </w:rPr>
        <w:t>(לז ע''א)</w:t>
      </w:r>
      <w:r w:rsidR="007A5BC9">
        <w:rPr>
          <w:rFonts w:hint="cs"/>
          <w:rtl/>
        </w:rPr>
        <w:t xml:space="preserve">, </w:t>
      </w:r>
      <w:r w:rsidR="00BF0BAD">
        <w:rPr>
          <w:rFonts w:hint="cs"/>
          <w:rtl/>
        </w:rPr>
        <w:t xml:space="preserve">בראש </w:t>
      </w:r>
      <w:r w:rsidR="007A5BC9">
        <w:rPr>
          <w:rFonts w:hint="cs"/>
          <w:rtl/>
        </w:rPr>
        <w:t>אזור זה הוא ה</w:t>
      </w:r>
      <w:r w:rsidR="00BF0BAD">
        <w:rPr>
          <w:rFonts w:hint="cs"/>
          <w:rtl/>
        </w:rPr>
        <w:t xml:space="preserve">מקום שמוחו של תינוק רופס, וביד </w:t>
      </w:r>
      <w:r w:rsidR="007A5BC9">
        <w:rPr>
          <w:rFonts w:hint="cs"/>
          <w:rtl/>
        </w:rPr>
        <w:t xml:space="preserve">אזור זה הוא מהמרפק </w:t>
      </w:r>
      <w:r w:rsidR="00BF0BAD">
        <w:rPr>
          <w:rFonts w:hint="cs"/>
          <w:rtl/>
        </w:rPr>
        <w:t>עד הקיבורת</w:t>
      </w:r>
      <w:r>
        <w:rPr>
          <w:rFonts w:hint="cs"/>
          <w:rtl/>
        </w:rPr>
        <w:t xml:space="preserve">. </w:t>
      </w:r>
      <w:r w:rsidR="00253F74">
        <w:rPr>
          <w:rFonts w:hint="cs"/>
          <w:rtl/>
        </w:rPr>
        <w:t xml:space="preserve">אין מחלוקת בפוסקים היכן נמצא האזור שמוחו של תינוק רופס </w:t>
      </w:r>
      <w:r w:rsidR="00253F74">
        <w:rPr>
          <w:rFonts w:hint="cs"/>
          <w:sz w:val="18"/>
          <w:szCs w:val="18"/>
          <w:rtl/>
        </w:rPr>
        <w:t>(עיין בית יוסף או''ח כז</w:t>
      </w:r>
      <w:r w:rsidR="00CC4D18">
        <w:rPr>
          <w:rFonts w:hint="cs"/>
          <w:sz w:val="18"/>
          <w:szCs w:val="18"/>
          <w:rtl/>
        </w:rPr>
        <w:t>, ט</w:t>
      </w:r>
      <w:r w:rsidR="00253F74">
        <w:rPr>
          <w:rFonts w:hint="cs"/>
          <w:sz w:val="18"/>
          <w:szCs w:val="18"/>
          <w:rtl/>
        </w:rPr>
        <w:t>)</w:t>
      </w:r>
      <w:r w:rsidR="00253F74">
        <w:rPr>
          <w:rFonts w:hint="cs"/>
          <w:rtl/>
        </w:rPr>
        <w:t xml:space="preserve">, אך התעוררה מחלוקת </w:t>
      </w:r>
      <w:r w:rsidR="00155C75">
        <w:rPr>
          <w:rFonts w:hint="cs"/>
          <w:rtl/>
        </w:rPr>
        <w:t>מה נחשב מקום הקיבורת:</w:t>
      </w:r>
    </w:p>
    <w:p w14:paraId="224F7BA9" w14:textId="1EBCC02D" w:rsidR="004E11DE" w:rsidRDefault="00155C75" w:rsidP="000254B9">
      <w:pPr>
        <w:spacing w:after="60"/>
        <w:jc w:val="both"/>
        <w:rPr>
          <w:rtl/>
        </w:rPr>
      </w:pPr>
      <w:r>
        <w:rPr>
          <w:rFonts w:hint="cs"/>
          <w:rtl/>
        </w:rPr>
        <w:t xml:space="preserve">א. </w:t>
      </w:r>
      <w:r w:rsidR="006E7641">
        <w:rPr>
          <w:rFonts w:hint="cs"/>
          <w:rtl/>
        </w:rPr>
        <w:t xml:space="preserve">מפשט לשון הגמרא משמע שניתן להניח </w:t>
      </w:r>
      <w:r>
        <w:rPr>
          <w:rFonts w:hint="cs"/>
          <w:rtl/>
        </w:rPr>
        <w:t>מהמרפק עד הכתף, וכן פסק</w:t>
      </w:r>
      <w:r w:rsidR="00BF0BAD">
        <w:rPr>
          <w:rFonts w:hint="cs"/>
          <w:rtl/>
        </w:rPr>
        <w:t xml:space="preserve"> </w:t>
      </w:r>
      <w:r w:rsidR="00BF0BAD" w:rsidRPr="00D66C8B">
        <w:rPr>
          <w:rFonts w:hint="cs"/>
          <w:b/>
          <w:bCs/>
          <w:rtl/>
        </w:rPr>
        <w:t>ה</w:t>
      </w:r>
      <w:r w:rsidR="00BF0BAD">
        <w:rPr>
          <w:rFonts w:hint="cs"/>
          <w:b/>
          <w:bCs/>
          <w:rtl/>
        </w:rPr>
        <w:t xml:space="preserve">גר''א </w:t>
      </w:r>
      <w:r w:rsidR="00BF0BAD" w:rsidRPr="00D66C8B">
        <w:rPr>
          <w:rFonts w:hint="cs"/>
          <w:sz w:val="18"/>
          <w:szCs w:val="18"/>
          <w:rtl/>
        </w:rPr>
        <w:t>(שם, א</w:t>
      </w:r>
      <w:r w:rsidR="006E7641">
        <w:rPr>
          <w:rFonts w:hint="cs"/>
          <w:sz w:val="18"/>
          <w:szCs w:val="18"/>
          <w:rtl/>
        </w:rPr>
        <w:t xml:space="preserve"> ד''ה בראש</w:t>
      </w:r>
      <w:r w:rsidR="00BF0BAD" w:rsidRPr="00D66C8B">
        <w:rPr>
          <w:rFonts w:hint="cs"/>
          <w:sz w:val="18"/>
          <w:szCs w:val="18"/>
          <w:rtl/>
        </w:rPr>
        <w:t>)</w:t>
      </w:r>
      <w:r w:rsidR="00BF0BAD" w:rsidRPr="00D66C8B">
        <w:rPr>
          <w:rFonts w:hint="cs"/>
          <w:rtl/>
        </w:rPr>
        <w:t>.</w:t>
      </w:r>
      <w:r w:rsidR="00BF0BAD">
        <w:rPr>
          <w:rFonts w:hint="cs"/>
          <w:rtl/>
        </w:rPr>
        <w:t xml:space="preserve"> </w:t>
      </w:r>
      <w:r>
        <w:rPr>
          <w:rFonts w:hint="cs"/>
          <w:rtl/>
        </w:rPr>
        <w:t xml:space="preserve">ב. </w:t>
      </w:r>
      <w:r w:rsidR="00BF0BAD" w:rsidRPr="00D66C8B">
        <w:rPr>
          <w:rFonts w:hint="cs"/>
          <w:b/>
          <w:bCs/>
          <w:rtl/>
        </w:rPr>
        <w:t>רבינו פרץ</w:t>
      </w:r>
      <w:r w:rsidR="00BF0BAD">
        <w:rPr>
          <w:rFonts w:hint="cs"/>
          <w:rtl/>
        </w:rPr>
        <w:t xml:space="preserve"> </w:t>
      </w:r>
      <w:r w:rsidR="00BF0BAD">
        <w:rPr>
          <w:rFonts w:hint="cs"/>
          <w:sz w:val="18"/>
          <w:szCs w:val="18"/>
          <w:rtl/>
        </w:rPr>
        <w:t>(</w:t>
      </w:r>
      <w:proofErr w:type="spellStart"/>
      <w:r w:rsidR="00BF0BAD">
        <w:rPr>
          <w:rFonts w:hint="cs"/>
          <w:sz w:val="18"/>
          <w:szCs w:val="18"/>
          <w:rtl/>
        </w:rPr>
        <w:t>סמ</w:t>
      </w:r>
      <w:proofErr w:type="spellEnd"/>
      <w:r w:rsidR="00BF0BAD">
        <w:rPr>
          <w:rFonts w:hint="cs"/>
          <w:sz w:val="18"/>
          <w:szCs w:val="18"/>
          <w:rtl/>
        </w:rPr>
        <w:t xml:space="preserve">''ק קנג) </w:t>
      </w:r>
      <w:r w:rsidR="0023469A">
        <w:rPr>
          <w:rFonts w:hint="cs"/>
          <w:rtl/>
        </w:rPr>
        <w:t>לעומת זאת הבין</w:t>
      </w:r>
      <w:r w:rsidR="00BF0BAD">
        <w:rPr>
          <w:rFonts w:hint="cs"/>
          <w:rtl/>
        </w:rPr>
        <w:t xml:space="preserve">, שרק החצי </w:t>
      </w:r>
      <w:r w:rsidR="0023469A">
        <w:rPr>
          <w:rFonts w:hint="cs"/>
          <w:rtl/>
        </w:rPr>
        <w:t xml:space="preserve">התפוח </w:t>
      </w:r>
      <w:r w:rsidR="00BF0BAD">
        <w:rPr>
          <w:rFonts w:hint="cs"/>
          <w:rtl/>
        </w:rPr>
        <w:t xml:space="preserve">לכיוון המרפק כשר להנחה </w:t>
      </w:r>
      <w:r w:rsidR="00BF0BAD" w:rsidRPr="00A7562C">
        <w:rPr>
          <w:rFonts w:hint="cs"/>
          <w:rtl/>
        </w:rPr>
        <w:t>(במרחק שני אצבעות מהמרפק כלפי מעלה)</w:t>
      </w:r>
      <w:r w:rsidR="00BF0BAD">
        <w:rPr>
          <w:rFonts w:hint="cs"/>
          <w:rtl/>
        </w:rPr>
        <w:t xml:space="preserve">, וכדבריו פסקו להלכה </w:t>
      </w:r>
      <w:r w:rsidR="00BF0BAD" w:rsidRPr="001D18A2">
        <w:rPr>
          <w:rFonts w:hint="cs"/>
          <w:b/>
          <w:bCs/>
          <w:rtl/>
        </w:rPr>
        <w:t xml:space="preserve">השולחן ערוך </w:t>
      </w:r>
      <w:r w:rsidR="00BF0BAD" w:rsidRPr="001D18A2">
        <w:rPr>
          <w:rFonts w:hint="cs"/>
          <w:sz w:val="18"/>
          <w:szCs w:val="18"/>
          <w:rtl/>
        </w:rPr>
        <w:t>(כז, ז)</w:t>
      </w:r>
      <w:r w:rsidR="00BF0BAD">
        <w:rPr>
          <w:rFonts w:hint="cs"/>
          <w:b/>
          <w:bCs/>
          <w:sz w:val="18"/>
          <w:szCs w:val="18"/>
          <w:rtl/>
        </w:rPr>
        <w:t xml:space="preserve"> </w:t>
      </w:r>
      <w:r w:rsidR="00BF0BAD" w:rsidRPr="001D18A2">
        <w:rPr>
          <w:rFonts w:hint="cs"/>
          <w:b/>
          <w:bCs/>
          <w:rtl/>
        </w:rPr>
        <w:t>והרמ''א</w:t>
      </w:r>
      <w:r w:rsidR="00BF0BAD">
        <w:rPr>
          <w:rFonts w:hint="cs"/>
          <w:rtl/>
        </w:rPr>
        <w:t xml:space="preserve"> </w:t>
      </w:r>
      <w:r w:rsidR="00BF0BAD">
        <w:rPr>
          <w:rFonts w:hint="cs"/>
          <w:sz w:val="18"/>
          <w:szCs w:val="18"/>
          <w:rtl/>
        </w:rPr>
        <w:t>(כז, א)</w:t>
      </w:r>
      <w:r w:rsidR="00BF0BAD">
        <w:rPr>
          <w:rFonts w:hint="cs"/>
          <w:rtl/>
        </w:rPr>
        <w:t xml:space="preserve">. </w:t>
      </w:r>
    </w:p>
    <w:p w14:paraId="2B859CD2" w14:textId="4A254BD3" w:rsidR="001001B3" w:rsidRDefault="001001B3" w:rsidP="000254B9">
      <w:pPr>
        <w:spacing w:after="60"/>
        <w:jc w:val="both"/>
        <w:rPr>
          <w:u w:val="single"/>
          <w:rtl/>
        </w:rPr>
      </w:pPr>
      <w:r>
        <w:rPr>
          <w:rFonts w:hint="cs"/>
          <w:u w:val="single"/>
          <w:rtl/>
        </w:rPr>
        <w:t>מחלוקת האחרונים</w:t>
      </w:r>
    </w:p>
    <w:p w14:paraId="13DAB073" w14:textId="10A23306" w:rsidR="00F90398" w:rsidRPr="00F90398" w:rsidRDefault="00F90398" w:rsidP="000254B9">
      <w:pPr>
        <w:spacing w:after="60"/>
        <w:jc w:val="both"/>
        <w:rPr>
          <w:rtl/>
        </w:rPr>
      </w:pPr>
      <w:r>
        <w:rPr>
          <w:rFonts w:hint="cs"/>
          <w:rtl/>
        </w:rPr>
        <w:t>כיוון ש</w:t>
      </w:r>
      <w:r w:rsidR="00DE71BC">
        <w:rPr>
          <w:rFonts w:hint="cs"/>
          <w:rtl/>
        </w:rPr>
        <w:t xml:space="preserve">כאמור </w:t>
      </w:r>
      <w:r>
        <w:rPr>
          <w:rFonts w:hint="cs"/>
          <w:rtl/>
        </w:rPr>
        <w:t xml:space="preserve">הגמרא כותבת שיש מקום להניח שני זוגות תפילין, פסק </w:t>
      </w:r>
      <w:r w:rsidRPr="00F13B3F">
        <w:rPr>
          <w:rFonts w:hint="cs"/>
          <w:b/>
          <w:bCs/>
          <w:rtl/>
        </w:rPr>
        <w:t>השולחן ערוך</w:t>
      </w:r>
      <w:r>
        <w:rPr>
          <w:rFonts w:hint="cs"/>
          <w:rtl/>
        </w:rPr>
        <w:t xml:space="preserve"> </w:t>
      </w:r>
      <w:r w:rsidR="00D87B8E">
        <w:rPr>
          <w:rFonts w:hint="cs"/>
          <w:sz w:val="18"/>
          <w:szCs w:val="18"/>
          <w:rtl/>
        </w:rPr>
        <w:t xml:space="preserve">(לד, ב) </w:t>
      </w:r>
      <w:r w:rsidR="007E20EC">
        <w:rPr>
          <w:rFonts w:hint="cs"/>
          <w:rtl/>
        </w:rPr>
        <w:t xml:space="preserve">שבמקרה בו אדם מניח </w:t>
      </w:r>
      <w:r w:rsidR="00F13B3F">
        <w:rPr>
          <w:rFonts w:hint="cs"/>
          <w:rtl/>
        </w:rPr>
        <w:t>תפילין של רש''י ושל רבינו תם</w:t>
      </w:r>
      <w:r w:rsidR="007E20EC">
        <w:rPr>
          <w:rFonts w:hint="cs"/>
          <w:rtl/>
        </w:rPr>
        <w:t xml:space="preserve">, עליו לכתחילה להניחם יחד, כדי שיהיה ניתן לקרוא קריאת שמע ולהתפלל עם שניהם. </w:t>
      </w:r>
      <w:r>
        <w:rPr>
          <w:rFonts w:hint="cs"/>
          <w:rtl/>
        </w:rPr>
        <w:t>נחלקו האחרונים</w:t>
      </w:r>
      <w:r w:rsidR="00687BB6">
        <w:rPr>
          <w:rFonts w:hint="cs"/>
          <w:rtl/>
        </w:rPr>
        <w:t xml:space="preserve">, </w:t>
      </w:r>
      <w:r w:rsidR="005F3C3A">
        <w:rPr>
          <w:rFonts w:hint="cs"/>
          <w:rtl/>
        </w:rPr>
        <w:t xml:space="preserve">האם יש להניח את שני הזוגות </w:t>
      </w:r>
      <w:r w:rsidR="00687BB6">
        <w:rPr>
          <w:rFonts w:hint="cs"/>
          <w:rtl/>
        </w:rPr>
        <w:t>יחד</w:t>
      </w:r>
      <w:r w:rsidR="00910864">
        <w:rPr>
          <w:rFonts w:hint="cs"/>
          <w:rtl/>
        </w:rPr>
        <w:t>,</w:t>
      </w:r>
      <w:r w:rsidR="00687BB6">
        <w:rPr>
          <w:rFonts w:hint="cs"/>
          <w:rtl/>
        </w:rPr>
        <w:t xml:space="preserve"> במקרה בו </w:t>
      </w:r>
      <w:r>
        <w:rPr>
          <w:rFonts w:hint="cs"/>
          <w:rtl/>
        </w:rPr>
        <w:t xml:space="preserve">יש חשש שמא </w:t>
      </w:r>
      <w:r w:rsidR="001E20C1">
        <w:rPr>
          <w:rFonts w:hint="cs"/>
          <w:rtl/>
        </w:rPr>
        <w:t>זוג אחד</w:t>
      </w:r>
      <w:r w:rsidR="002A14CE">
        <w:rPr>
          <w:rFonts w:hint="cs"/>
          <w:rtl/>
        </w:rPr>
        <w:t xml:space="preserve"> יהיו על היד במקום </w:t>
      </w:r>
      <w:r w:rsidR="00B702F2">
        <w:rPr>
          <w:rFonts w:hint="cs"/>
          <w:rtl/>
        </w:rPr>
        <w:t>ה</w:t>
      </w:r>
      <w:r w:rsidR="002A14CE">
        <w:rPr>
          <w:rFonts w:hint="cs"/>
          <w:rtl/>
        </w:rPr>
        <w:t xml:space="preserve">כשר לדעת הגר''א, </w:t>
      </w:r>
      <w:r w:rsidR="003A273C">
        <w:rPr>
          <w:rFonts w:hint="cs"/>
          <w:rtl/>
        </w:rPr>
        <w:t xml:space="preserve">ופסול </w:t>
      </w:r>
      <w:r w:rsidR="002A14CE">
        <w:rPr>
          <w:rFonts w:hint="cs"/>
          <w:rtl/>
        </w:rPr>
        <w:t>לדעת השולחן ערוך:</w:t>
      </w:r>
      <w:r w:rsidR="001E20C1">
        <w:rPr>
          <w:rFonts w:hint="cs"/>
          <w:rtl/>
        </w:rPr>
        <w:t xml:space="preserve"> </w:t>
      </w:r>
      <w:r>
        <w:rPr>
          <w:rFonts w:hint="cs"/>
          <w:rtl/>
        </w:rPr>
        <w:t xml:space="preserve"> </w:t>
      </w:r>
    </w:p>
    <w:p w14:paraId="277300D0" w14:textId="34E85CF1" w:rsidR="007A33DC" w:rsidRDefault="007A33DC" w:rsidP="000254B9">
      <w:pPr>
        <w:spacing w:after="60"/>
        <w:jc w:val="both"/>
        <w:rPr>
          <w:rtl/>
        </w:rPr>
      </w:pPr>
      <w:r>
        <w:rPr>
          <w:rFonts w:hint="cs"/>
          <w:rtl/>
        </w:rPr>
        <w:t xml:space="preserve">א. </w:t>
      </w:r>
      <w:r w:rsidRPr="007A33DC">
        <w:rPr>
          <w:rFonts w:hint="cs"/>
          <w:b/>
          <w:bCs/>
          <w:rtl/>
        </w:rPr>
        <w:t>הבן איש חי</w:t>
      </w:r>
      <w:r>
        <w:rPr>
          <w:rFonts w:hint="cs"/>
          <w:rtl/>
        </w:rPr>
        <w:t xml:space="preserve"> </w:t>
      </w:r>
      <w:r w:rsidRPr="00DE0386">
        <w:rPr>
          <w:rFonts w:hint="cs"/>
          <w:sz w:val="18"/>
          <w:szCs w:val="18"/>
          <w:rtl/>
        </w:rPr>
        <w:t>(</w:t>
      </w:r>
      <w:r w:rsidR="00F75266">
        <w:rPr>
          <w:rFonts w:hint="cs"/>
          <w:sz w:val="18"/>
          <w:szCs w:val="18"/>
          <w:rtl/>
        </w:rPr>
        <w:t>חיי שרה</w:t>
      </w:r>
      <w:r w:rsidRPr="00DE0386">
        <w:rPr>
          <w:rFonts w:hint="cs"/>
          <w:sz w:val="18"/>
          <w:szCs w:val="18"/>
          <w:rtl/>
        </w:rPr>
        <w:t xml:space="preserve">, </w:t>
      </w:r>
      <w:r w:rsidR="00F75266">
        <w:rPr>
          <w:rFonts w:hint="cs"/>
          <w:sz w:val="18"/>
          <w:szCs w:val="18"/>
          <w:rtl/>
        </w:rPr>
        <w:t>ו</w:t>
      </w:r>
      <w:r w:rsidRPr="00DE0386">
        <w:rPr>
          <w:rFonts w:hint="cs"/>
          <w:sz w:val="18"/>
          <w:szCs w:val="18"/>
          <w:rtl/>
        </w:rPr>
        <w:t>)</w:t>
      </w:r>
      <w:r>
        <w:rPr>
          <w:rFonts w:hint="cs"/>
          <w:sz w:val="18"/>
          <w:szCs w:val="18"/>
          <w:rtl/>
        </w:rPr>
        <w:t xml:space="preserve"> </w:t>
      </w:r>
      <w:r>
        <w:rPr>
          <w:rFonts w:hint="cs"/>
          <w:rtl/>
        </w:rPr>
        <w:t>סבר, ש</w:t>
      </w:r>
      <w:r w:rsidR="00687BB6">
        <w:rPr>
          <w:rFonts w:hint="cs"/>
          <w:rtl/>
        </w:rPr>
        <w:t>למרות שלכתחילה יש לחוש לדעת השולחן ערוך</w:t>
      </w:r>
      <w:r w:rsidR="00910864">
        <w:rPr>
          <w:rFonts w:hint="cs"/>
          <w:rtl/>
        </w:rPr>
        <w:t xml:space="preserve"> ולעשות תפילין קטנות אותן ניתן להניח בחצי הסמוך למרפק</w:t>
      </w:r>
      <w:r w:rsidR="00D57502">
        <w:rPr>
          <w:rFonts w:hint="cs"/>
          <w:rtl/>
        </w:rPr>
        <w:t>,</w:t>
      </w:r>
      <w:r w:rsidR="00687BB6">
        <w:rPr>
          <w:rFonts w:hint="cs"/>
          <w:rtl/>
        </w:rPr>
        <w:t xml:space="preserve"> מכל מקום במקרה בו התפילין גדולות, </w:t>
      </w:r>
      <w:r w:rsidR="00910864">
        <w:rPr>
          <w:rFonts w:hint="cs"/>
          <w:rtl/>
        </w:rPr>
        <w:t xml:space="preserve">כיוון שעל פי הקבלה שני זוגות התפילין ויש להניחם יחד כדי שהברכה תחול על שניהם - </w:t>
      </w:r>
      <w:r w:rsidR="00687BB6">
        <w:rPr>
          <w:rFonts w:hint="cs"/>
          <w:rtl/>
        </w:rPr>
        <w:t xml:space="preserve">יש לסמוך על שיטת הגר''א ולהניח את שתי התפילין במקום הכשר לשיטתו. </w:t>
      </w:r>
      <w:r w:rsidR="00910864">
        <w:rPr>
          <w:rFonts w:hint="cs"/>
          <w:rtl/>
        </w:rPr>
        <w:t>ובלשונו:</w:t>
      </w:r>
    </w:p>
    <w:p w14:paraId="62E994AD" w14:textId="6087EF06" w:rsidR="007A33DC" w:rsidRDefault="00910864" w:rsidP="000254B9">
      <w:pPr>
        <w:spacing w:after="60"/>
        <w:ind w:left="720"/>
        <w:jc w:val="both"/>
        <w:rPr>
          <w:rtl/>
        </w:rPr>
      </w:pPr>
      <w:r>
        <w:rPr>
          <w:rFonts w:hint="cs"/>
          <w:rtl/>
        </w:rPr>
        <w:t>''</w:t>
      </w:r>
      <w:r w:rsidR="00687BB6" w:rsidRPr="00687BB6">
        <w:rPr>
          <w:rtl/>
        </w:rPr>
        <w:t xml:space="preserve">ולדעת הגאון רבינו אליהו </w:t>
      </w:r>
      <w:proofErr w:type="spellStart"/>
      <w:r w:rsidR="00687BB6" w:rsidRPr="00687BB6">
        <w:rPr>
          <w:rtl/>
        </w:rPr>
        <w:t>מווילנא</w:t>
      </w:r>
      <w:proofErr w:type="spellEnd"/>
      <w:r w:rsidR="00687BB6" w:rsidRPr="00687BB6">
        <w:rPr>
          <w:rtl/>
        </w:rPr>
        <w:t xml:space="preserve"> ז"ל כל מקום בשר הגבוה כשר, גם אותו החלק הנמשך בחצי הסמוך לבית השחי, </w:t>
      </w:r>
      <w:r>
        <w:rPr>
          <w:rFonts w:hint="cs"/>
          <w:rtl/>
        </w:rPr>
        <w:t xml:space="preserve">ובספרי </w:t>
      </w:r>
      <w:proofErr w:type="spellStart"/>
      <w:r w:rsidR="00687BB6" w:rsidRPr="00687BB6">
        <w:rPr>
          <w:rtl/>
        </w:rPr>
        <w:t>מקבציאל</w:t>
      </w:r>
      <w:proofErr w:type="spellEnd"/>
      <w:r w:rsidR="00687BB6" w:rsidRPr="00687BB6">
        <w:rPr>
          <w:rtl/>
        </w:rPr>
        <w:t xml:space="preserve"> העליתי דלכתח</w:t>
      </w:r>
      <w:r w:rsidR="00F60598">
        <w:rPr>
          <w:rFonts w:hint="cs"/>
          <w:rtl/>
        </w:rPr>
        <w:t>י</w:t>
      </w:r>
      <w:r w:rsidR="00687BB6" w:rsidRPr="00687BB6">
        <w:rPr>
          <w:rtl/>
        </w:rPr>
        <w:t xml:space="preserve">לה צריך לחוש לסברת הפוסקים </w:t>
      </w:r>
      <w:proofErr w:type="spellStart"/>
      <w:r w:rsidR="00672E3D">
        <w:rPr>
          <w:rFonts w:hint="cs"/>
          <w:rtl/>
        </w:rPr>
        <w:t>דסבירא</w:t>
      </w:r>
      <w:proofErr w:type="spellEnd"/>
      <w:r w:rsidR="00672E3D">
        <w:rPr>
          <w:rFonts w:hint="cs"/>
          <w:rtl/>
        </w:rPr>
        <w:t xml:space="preserve"> </w:t>
      </w:r>
      <w:proofErr w:type="spellStart"/>
      <w:r w:rsidR="00672E3D">
        <w:rPr>
          <w:rFonts w:hint="cs"/>
          <w:rtl/>
        </w:rPr>
        <w:t>ד</w:t>
      </w:r>
      <w:r w:rsidR="00687BB6" w:rsidRPr="00687BB6">
        <w:rPr>
          <w:rtl/>
        </w:rPr>
        <w:t>בחצי</w:t>
      </w:r>
      <w:proofErr w:type="spellEnd"/>
      <w:r w:rsidR="00687BB6" w:rsidRPr="00687BB6">
        <w:rPr>
          <w:rtl/>
        </w:rPr>
        <w:t xml:space="preserve"> השני לא יניח תפילין, ולכן הלובש רש"י ור"ת ביחד יזהר לעשותם קטנים כדי שיוכל להניחם על בשר תפוח שבחצי הראשון של הפרק</w:t>
      </w:r>
      <w:r w:rsidR="00D93BF6">
        <w:rPr>
          <w:rFonts w:hint="cs"/>
          <w:rtl/>
        </w:rPr>
        <w:t>.</w:t>
      </w:r>
      <w:r w:rsidR="00687BB6" w:rsidRPr="00687BB6">
        <w:rPr>
          <w:rtl/>
        </w:rPr>
        <w:t xml:space="preserve"> והיכא דלא אפשר בהכי יש לסמוך על סברת הגאון </w:t>
      </w:r>
      <w:r>
        <w:rPr>
          <w:rFonts w:hint="cs"/>
          <w:rtl/>
        </w:rPr>
        <w:t xml:space="preserve">רבי אליהו </w:t>
      </w:r>
      <w:proofErr w:type="spellStart"/>
      <w:r>
        <w:rPr>
          <w:rFonts w:hint="cs"/>
          <w:rtl/>
        </w:rPr>
        <w:t>מ</w:t>
      </w:r>
      <w:r w:rsidR="00F60598">
        <w:rPr>
          <w:rFonts w:hint="cs"/>
          <w:rtl/>
        </w:rPr>
        <w:t>ו</w:t>
      </w:r>
      <w:r>
        <w:rPr>
          <w:rFonts w:hint="cs"/>
          <w:rtl/>
        </w:rPr>
        <w:t>וילנא</w:t>
      </w:r>
      <w:proofErr w:type="spellEnd"/>
      <w:r>
        <w:rPr>
          <w:rFonts w:hint="cs"/>
          <w:rtl/>
        </w:rPr>
        <w:t xml:space="preserve"> </w:t>
      </w:r>
      <w:r w:rsidR="00687BB6" w:rsidRPr="00687BB6">
        <w:rPr>
          <w:rtl/>
        </w:rPr>
        <w:t xml:space="preserve">ז"ל </w:t>
      </w:r>
      <w:r>
        <w:rPr>
          <w:rFonts w:hint="cs"/>
          <w:rtl/>
        </w:rPr>
        <w:t>הנזכר</w:t>
      </w:r>
      <w:r w:rsidR="00F60598">
        <w:rPr>
          <w:rFonts w:hint="cs"/>
          <w:rtl/>
        </w:rPr>
        <w:t>,</w:t>
      </w:r>
      <w:r>
        <w:rPr>
          <w:rFonts w:hint="cs"/>
          <w:rtl/>
        </w:rPr>
        <w:t xml:space="preserve"> </w:t>
      </w:r>
      <w:proofErr w:type="spellStart"/>
      <w:r w:rsidR="00687BB6" w:rsidRPr="00687BB6">
        <w:rPr>
          <w:rtl/>
        </w:rPr>
        <w:t>דס</w:t>
      </w:r>
      <w:r w:rsidR="00125E32">
        <w:rPr>
          <w:rFonts w:hint="cs"/>
          <w:rtl/>
        </w:rPr>
        <w:t>בירא</w:t>
      </w:r>
      <w:proofErr w:type="spellEnd"/>
      <w:r w:rsidR="00125E32">
        <w:rPr>
          <w:rFonts w:hint="cs"/>
          <w:rtl/>
        </w:rPr>
        <w:t xml:space="preserve"> ליה </w:t>
      </w:r>
      <w:r w:rsidR="00DA49F5">
        <w:rPr>
          <w:rFonts w:hint="cs"/>
          <w:rtl/>
        </w:rPr>
        <w:t>ד</w:t>
      </w:r>
      <w:r w:rsidR="00687BB6" w:rsidRPr="00687BB6">
        <w:rPr>
          <w:rtl/>
        </w:rPr>
        <w:t>כל בשר הקיבורת ראוי להניח בו תפילין</w:t>
      </w:r>
      <w:r w:rsidR="0071774A">
        <w:rPr>
          <w:rFonts w:hint="cs"/>
          <w:rtl/>
        </w:rPr>
        <w:t>.''</w:t>
      </w:r>
    </w:p>
    <w:p w14:paraId="5D867345" w14:textId="47BDB429" w:rsidR="00D94A7E" w:rsidRDefault="007A33DC" w:rsidP="000254B9">
      <w:pPr>
        <w:spacing w:after="60"/>
        <w:jc w:val="both"/>
        <w:rPr>
          <w:rtl/>
        </w:rPr>
      </w:pPr>
      <w:r>
        <w:rPr>
          <w:rFonts w:hint="cs"/>
          <w:rtl/>
        </w:rPr>
        <w:t xml:space="preserve">ב. </w:t>
      </w:r>
      <w:r w:rsidRPr="007A33DC">
        <w:rPr>
          <w:rFonts w:hint="cs"/>
          <w:b/>
          <w:bCs/>
          <w:rtl/>
        </w:rPr>
        <w:t>הרב עובדיה</w:t>
      </w:r>
      <w:r>
        <w:rPr>
          <w:rFonts w:hint="cs"/>
          <w:rtl/>
        </w:rPr>
        <w:t xml:space="preserve"> </w:t>
      </w:r>
      <w:r>
        <w:rPr>
          <w:rFonts w:hint="cs"/>
          <w:sz w:val="18"/>
          <w:szCs w:val="18"/>
          <w:rtl/>
        </w:rPr>
        <w:t xml:space="preserve">(יחוה דעת ה, ג) </w:t>
      </w:r>
      <w:r w:rsidR="00672E3D">
        <w:rPr>
          <w:rFonts w:hint="cs"/>
          <w:rtl/>
        </w:rPr>
        <w:t>חלק וסבר, שבמקרה מעין זה יש להניח תפילין של רש''י ושל רבינו תם בנפרד.</w:t>
      </w:r>
      <w:r w:rsidR="006917B3">
        <w:rPr>
          <w:rFonts w:hint="cs"/>
          <w:rtl/>
        </w:rPr>
        <w:t xml:space="preserve"> בטעם הדבר נימק, שכיוון ש</w:t>
      </w:r>
      <w:r w:rsidR="0013650A">
        <w:rPr>
          <w:rFonts w:hint="cs"/>
          <w:rtl/>
        </w:rPr>
        <w:t xml:space="preserve">לדעת השולחן ערוך הנחת תפילין של רבינו תם היא רק ממידת חסידות, לא ייתכן שבשביל מידת חסידות </w:t>
      </w:r>
      <w:r w:rsidR="006917B3">
        <w:rPr>
          <w:rFonts w:hint="cs"/>
          <w:rtl/>
        </w:rPr>
        <w:t>יסמכו על שיטת הגר''א</w:t>
      </w:r>
      <w:r w:rsidR="00D94A7E">
        <w:rPr>
          <w:rFonts w:hint="cs"/>
          <w:rtl/>
        </w:rPr>
        <w:t xml:space="preserve"> ויזנחו את פסק השולחן ערוך והרמ''א האוסרים להניח תפילין בחצי הסמוך לכתף.</w:t>
      </w:r>
      <w:r w:rsidR="006917B3">
        <w:rPr>
          <w:rFonts w:hint="cs"/>
          <w:rtl/>
        </w:rPr>
        <w:t xml:space="preserve"> </w:t>
      </w:r>
    </w:p>
    <w:p w14:paraId="642D3A31" w14:textId="604C7AA6" w:rsidR="00D94A7E" w:rsidRDefault="00D94A7E" w:rsidP="000254B9">
      <w:pPr>
        <w:spacing w:after="60"/>
        <w:jc w:val="both"/>
        <w:rPr>
          <w:rtl/>
        </w:rPr>
      </w:pPr>
      <w:r>
        <w:rPr>
          <w:rFonts w:hint="cs"/>
          <w:rtl/>
        </w:rPr>
        <w:t xml:space="preserve">לא זו בלבד, </w:t>
      </w:r>
      <w:r w:rsidR="0094129E">
        <w:rPr>
          <w:rFonts w:hint="cs"/>
          <w:rtl/>
        </w:rPr>
        <w:t xml:space="preserve">במעשה זה </w:t>
      </w:r>
      <w:r w:rsidR="00E116D3">
        <w:rPr>
          <w:rFonts w:hint="cs"/>
          <w:rtl/>
        </w:rPr>
        <w:t xml:space="preserve">של הנחת שני הזוגות יחד </w:t>
      </w:r>
      <w:r>
        <w:rPr>
          <w:rFonts w:hint="cs"/>
          <w:rtl/>
        </w:rPr>
        <w:t xml:space="preserve">יש חומרא מיוחדת. שכן כאשר מניחים </w:t>
      </w:r>
      <w:r w:rsidR="00773DF2">
        <w:rPr>
          <w:rFonts w:hint="cs"/>
          <w:rtl/>
        </w:rPr>
        <w:t xml:space="preserve">את שני זוגות התפילין </w:t>
      </w:r>
      <w:r>
        <w:rPr>
          <w:rFonts w:hint="cs"/>
          <w:rtl/>
        </w:rPr>
        <w:t>יחד, התפילין הקרובות לכתף הן התפילין של רש''</w:t>
      </w:r>
      <w:r w:rsidR="00E8734D">
        <w:rPr>
          <w:rFonts w:hint="cs"/>
          <w:rtl/>
        </w:rPr>
        <w:t xml:space="preserve">י, כך שאם חלק מהתפילין ייכנסו לחלק האסור בהנחה לדעת השולחן ערוך, </w:t>
      </w:r>
      <w:r w:rsidR="00986270">
        <w:rPr>
          <w:rFonts w:hint="cs"/>
          <w:rtl/>
        </w:rPr>
        <w:t>התפילין של רש''י ייכנסו, ו</w:t>
      </w:r>
      <w:r w:rsidR="00E8734D">
        <w:rPr>
          <w:rFonts w:hint="cs"/>
          <w:rtl/>
        </w:rPr>
        <w:t>לא ייצאו ידי חובת הנחת</w:t>
      </w:r>
      <w:r w:rsidR="00986270">
        <w:rPr>
          <w:rFonts w:hint="cs"/>
          <w:rtl/>
        </w:rPr>
        <w:t>ם</w:t>
      </w:r>
      <w:r w:rsidR="00E8734D">
        <w:rPr>
          <w:rFonts w:hint="cs"/>
          <w:rtl/>
        </w:rPr>
        <w:t>.</w:t>
      </w:r>
      <w:r>
        <w:rPr>
          <w:rFonts w:hint="cs"/>
          <w:rtl/>
        </w:rPr>
        <w:t xml:space="preserve"> </w:t>
      </w:r>
    </w:p>
    <w:p w14:paraId="6648027D" w14:textId="0A010519" w:rsidR="00246531" w:rsidRPr="00121905" w:rsidRDefault="00246531" w:rsidP="00D94A7E">
      <w:pPr>
        <w:spacing w:after="60"/>
        <w:jc w:val="both"/>
        <w:rPr>
          <w:b/>
          <w:bCs/>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246531" w:rsidRPr="00121905" w:rsidSect="00F203AF">
      <w:pgSz w:w="12240" w:h="15840"/>
      <w:pgMar w:top="720" w:right="737" w:bottom="822" w:left="73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D6F13" w14:textId="77777777" w:rsidR="007F4C80" w:rsidRDefault="007F4C80" w:rsidP="0041712A">
      <w:pPr>
        <w:spacing w:after="0" w:line="240" w:lineRule="auto"/>
      </w:pPr>
      <w:r>
        <w:separator/>
      </w:r>
    </w:p>
  </w:endnote>
  <w:endnote w:type="continuationSeparator" w:id="0">
    <w:p w14:paraId="6A73F686" w14:textId="77777777" w:rsidR="007F4C80" w:rsidRDefault="007F4C80" w:rsidP="0041712A">
      <w:pPr>
        <w:spacing w:after="0" w:line="240" w:lineRule="auto"/>
      </w:pPr>
      <w:r>
        <w:continuationSeparator/>
      </w:r>
    </w:p>
  </w:endnote>
  <w:endnote w:type="continuationNotice" w:id="1">
    <w:p w14:paraId="166B6C9A" w14:textId="77777777" w:rsidR="007F4C80" w:rsidRDefault="007F4C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6C371" w14:textId="77777777" w:rsidR="007F4C80" w:rsidRDefault="007F4C80" w:rsidP="0041712A">
      <w:pPr>
        <w:spacing w:after="0" w:line="240" w:lineRule="auto"/>
      </w:pPr>
      <w:r>
        <w:separator/>
      </w:r>
    </w:p>
  </w:footnote>
  <w:footnote w:type="continuationSeparator" w:id="0">
    <w:p w14:paraId="2E2D22E2" w14:textId="77777777" w:rsidR="007F4C80" w:rsidRDefault="007F4C80" w:rsidP="0041712A">
      <w:pPr>
        <w:spacing w:after="0" w:line="240" w:lineRule="auto"/>
      </w:pPr>
      <w:r>
        <w:continuationSeparator/>
      </w:r>
    </w:p>
  </w:footnote>
  <w:footnote w:type="continuationNotice" w:id="1">
    <w:p w14:paraId="594DB9B5" w14:textId="77777777" w:rsidR="007F4C80" w:rsidRDefault="007F4C80">
      <w:pPr>
        <w:spacing w:after="0" w:line="240" w:lineRule="auto"/>
      </w:pPr>
    </w:p>
  </w:footnote>
  <w:footnote w:id="2">
    <w:p w14:paraId="5C1371C4" w14:textId="2B8D2F78" w:rsidR="00FB5308" w:rsidRPr="00372647" w:rsidRDefault="00FB5308" w:rsidP="00FB5308">
      <w:pPr>
        <w:pStyle w:val="a3"/>
        <w:spacing w:after="0" w:line="240" w:lineRule="auto"/>
        <w:jc w:val="both"/>
      </w:pPr>
      <w:r>
        <w:rPr>
          <w:rStyle w:val="a5"/>
        </w:rPr>
        <w:footnoteRef/>
      </w:r>
      <w:r>
        <w:rPr>
          <w:rtl/>
        </w:rPr>
        <w:t xml:space="preserve"> </w:t>
      </w:r>
      <w:r>
        <w:rPr>
          <w:rFonts w:hint="cs"/>
          <w:rtl/>
        </w:rPr>
        <w:t>בראשונים</w:t>
      </w:r>
      <w:r w:rsidR="00B17722">
        <w:rPr>
          <w:rFonts w:hint="cs"/>
          <w:rtl/>
        </w:rPr>
        <w:t xml:space="preserve"> הובאו שתי שיטות נוספות</w:t>
      </w:r>
      <w:r>
        <w:rPr>
          <w:rFonts w:hint="cs"/>
          <w:rtl/>
        </w:rPr>
        <w:t xml:space="preserve">: א. </w:t>
      </w:r>
      <w:r w:rsidRPr="00B93116">
        <w:rPr>
          <w:rFonts w:hint="cs"/>
          <w:b/>
          <w:bCs/>
          <w:rtl/>
        </w:rPr>
        <w:t>הראב''ד</w:t>
      </w:r>
      <w:r>
        <w:rPr>
          <w:rFonts w:hint="cs"/>
          <w:rtl/>
        </w:rPr>
        <w:t xml:space="preserve"> </w:t>
      </w:r>
      <w:r>
        <w:rPr>
          <w:rFonts w:hint="cs"/>
          <w:sz w:val="16"/>
          <w:szCs w:val="16"/>
          <w:rtl/>
        </w:rPr>
        <w:t xml:space="preserve">(תפילין ג, ה) </w:t>
      </w:r>
      <w:r>
        <w:rPr>
          <w:rFonts w:hint="cs"/>
          <w:rtl/>
        </w:rPr>
        <w:t xml:space="preserve">שמפרש כמו רבינו תם, שהוויות באמצע, אלא שמחליף את פרשיות קדש ושמע, דהיינו קדש הפרשייה השמאלית ביותר, ושמע הימנית ביותר. ב. </w:t>
      </w:r>
      <w:r w:rsidRPr="00E4761D">
        <w:rPr>
          <w:rFonts w:hint="cs"/>
          <w:b/>
          <w:bCs/>
          <w:rtl/>
        </w:rPr>
        <w:t>העיטור</w:t>
      </w:r>
      <w:r>
        <w:rPr>
          <w:rFonts w:hint="cs"/>
          <w:rtl/>
        </w:rPr>
        <w:t xml:space="preserve"> </w:t>
      </w:r>
      <w:r>
        <w:rPr>
          <w:rFonts w:hint="cs"/>
          <w:sz w:val="16"/>
          <w:szCs w:val="16"/>
          <w:rtl/>
        </w:rPr>
        <w:t>(תפילין נז)</w:t>
      </w:r>
      <w:r>
        <w:rPr>
          <w:rFonts w:hint="cs"/>
          <w:rtl/>
        </w:rPr>
        <w:t>, שהבין כדעת רש''י, רק הפך את סדר הפרשיות, דהיינו פרשיית קדש הימנית ביותר, אחר כך והיה כי יביאך משמאלה וכ</w:t>
      </w:r>
      <w:r w:rsidR="001E40E2">
        <w:rPr>
          <w:rFonts w:hint="cs"/>
          <w:rtl/>
        </w:rPr>
        <w:t>ו'</w:t>
      </w:r>
      <w:r>
        <w:rPr>
          <w:rFonts w:hint="cs"/>
          <w:rtl/>
        </w:rPr>
        <w:t>.</w:t>
      </w:r>
    </w:p>
  </w:footnote>
  <w:footnote w:id="3">
    <w:p w14:paraId="0B65EB6B" w14:textId="77777777" w:rsidR="00246531" w:rsidRDefault="00246531" w:rsidP="006A4F55">
      <w:pPr>
        <w:pStyle w:val="a3"/>
        <w:spacing w:after="0"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12A"/>
    <w:rsid w:val="0001079F"/>
    <w:rsid w:val="0001249C"/>
    <w:rsid w:val="000156BD"/>
    <w:rsid w:val="000254B9"/>
    <w:rsid w:val="00025D23"/>
    <w:rsid w:val="0004331B"/>
    <w:rsid w:val="00043952"/>
    <w:rsid w:val="000623F4"/>
    <w:rsid w:val="00066645"/>
    <w:rsid w:val="00071DC8"/>
    <w:rsid w:val="00087A7A"/>
    <w:rsid w:val="000A747B"/>
    <w:rsid w:val="000B4258"/>
    <w:rsid w:val="000C14A5"/>
    <w:rsid w:val="000C379B"/>
    <w:rsid w:val="000E2996"/>
    <w:rsid w:val="000E3E05"/>
    <w:rsid w:val="000E7D71"/>
    <w:rsid w:val="001001B3"/>
    <w:rsid w:val="00111003"/>
    <w:rsid w:val="001170A1"/>
    <w:rsid w:val="00121905"/>
    <w:rsid w:val="00125E32"/>
    <w:rsid w:val="00126217"/>
    <w:rsid w:val="001349C6"/>
    <w:rsid w:val="00135F3E"/>
    <w:rsid w:val="0013650A"/>
    <w:rsid w:val="00141CEA"/>
    <w:rsid w:val="001449F3"/>
    <w:rsid w:val="00155C75"/>
    <w:rsid w:val="0016138B"/>
    <w:rsid w:val="001641E5"/>
    <w:rsid w:val="00167790"/>
    <w:rsid w:val="00170127"/>
    <w:rsid w:val="00170584"/>
    <w:rsid w:val="00173667"/>
    <w:rsid w:val="001775D4"/>
    <w:rsid w:val="00177E90"/>
    <w:rsid w:val="001873D5"/>
    <w:rsid w:val="00193BEB"/>
    <w:rsid w:val="00193C9F"/>
    <w:rsid w:val="001A5CB4"/>
    <w:rsid w:val="001C3511"/>
    <w:rsid w:val="001D18A2"/>
    <w:rsid w:val="001D290E"/>
    <w:rsid w:val="001E20C1"/>
    <w:rsid w:val="001E3795"/>
    <w:rsid w:val="001E40E2"/>
    <w:rsid w:val="001E7C6E"/>
    <w:rsid w:val="001F2916"/>
    <w:rsid w:val="002074C0"/>
    <w:rsid w:val="002132E0"/>
    <w:rsid w:val="00233831"/>
    <w:rsid w:val="00233BF4"/>
    <w:rsid w:val="0023469A"/>
    <w:rsid w:val="00236E89"/>
    <w:rsid w:val="00237BBC"/>
    <w:rsid w:val="002407D7"/>
    <w:rsid w:val="00240BFA"/>
    <w:rsid w:val="00240EB0"/>
    <w:rsid w:val="00243C20"/>
    <w:rsid w:val="00246531"/>
    <w:rsid w:val="00253F74"/>
    <w:rsid w:val="002665A0"/>
    <w:rsid w:val="00271F7E"/>
    <w:rsid w:val="00276AEC"/>
    <w:rsid w:val="00292603"/>
    <w:rsid w:val="00294009"/>
    <w:rsid w:val="00296FB5"/>
    <w:rsid w:val="002A0257"/>
    <w:rsid w:val="002A14CE"/>
    <w:rsid w:val="002A5715"/>
    <w:rsid w:val="002A600B"/>
    <w:rsid w:val="002B1FA6"/>
    <w:rsid w:val="002B734A"/>
    <w:rsid w:val="002E553A"/>
    <w:rsid w:val="002F654C"/>
    <w:rsid w:val="003070FF"/>
    <w:rsid w:val="00327D18"/>
    <w:rsid w:val="00332B6D"/>
    <w:rsid w:val="003413CF"/>
    <w:rsid w:val="00344B56"/>
    <w:rsid w:val="00344CB7"/>
    <w:rsid w:val="00346691"/>
    <w:rsid w:val="0035047C"/>
    <w:rsid w:val="003536BB"/>
    <w:rsid w:val="00362960"/>
    <w:rsid w:val="003710C0"/>
    <w:rsid w:val="00374E81"/>
    <w:rsid w:val="00375C6D"/>
    <w:rsid w:val="003768C4"/>
    <w:rsid w:val="00381B17"/>
    <w:rsid w:val="00391EB4"/>
    <w:rsid w:val="00393548"/>
    <w:rsid w:val="00395A4F"/>
    <w:rsid w:val="003A182D"/>
    <w:rsid w:val="003A273C"/>
    <w:rsid w:val="003A37EF"/>
    <w:rsid w:val="003A3991"/>
    <w:rsid w:val="003B0846"/>
    <w:rsid w:val="003C5085"/>
    <w:rsid w:val="003D0248"/>
    <w:rsid w:val="003D237F"/>
    <w:rsid w:val="003D64C4"/>
    <w:rsid w:val="003D7534"/>
    <w:rsid w:val="003F6226"/>
    <w:rsid w:val="00403D11"/>
    <w:rsid w:val="004123E2"/>
    <w:rsid w:val="00413E68"/>
    <w:rsid w:val="0041712A"/>
    <w:rsid w:val="00423009"/>
    <w:rsid w:val="004326FE"/>
    <w:rsid w:val="00433748"/>
    <w:rsid w:val="00451F63"/>
    <w:rsid w:val="0045696E"/>
    <w:rsid w:val="0046790A"/>
    <w:rsid w:val="00490B07"/>
    <w:rsid w:val="00493F12"/>
    <w:rsid w:val="004A2E04"/>
    <w:rsid w:val="004B56D2"/>
    <w:rsid w:val="004B7FD5"/>
    <w:rsid w:val="004C027F"/>
    <w:rsid w:val="004C1306"/>
    <w:rsid w:val="004D1D82"/>
    <w:rsid w:val="004E0466"/>
    <w:rsid w:val="004E11DE"/>
    <w:rsid w:val="0050743D"/>
    <w:rsid w:val="00512E34"/>
    <w:rsid w:val="0052513F"/>
    <w:rsid w:val="00525AAC"/>
    <w:rsid w:val="00525F03"/>
    <w:rsid w:val="00533C1A"/>
    <w:rsid w:val="00546BB0"/>
    <w:rsid w:val="00550CD8"/>
    <w:rsid w:val="005535ED"/>
    <w:rsid w:val="00560348"/>
    <w:rsid w:val="00567A1D"/>
    <w:rsid w:val="0057481E"/>
    <w:rsid w:val="0057725C"/>
    <w:rsid w:val="00581B49"/>
    <w:rsid w:val="005871D5"/>
    <w:rsid w:val="005875C2"/>
    <w:rsid w:val="005954C7"/>
    <w:rsid w:val="005971E9"/>
    <w:rsid w:val="005A16C4"/>
    <w:rsid w:val="005A2426"/>
    <w:rsid w:val="005B02B9"/>
    <w:rsid w:val="005B147A"/>
    <w:rsid w:val="005B1D07"/>
    <w:rsid w:val="005B4540"/>
    <w:rsid w:val="005D0A7A"/>
    <w:rsid w:val="005E0346"/>
    <w:rsid w:val="005E0FB0"/>
    <w:rsid w:val="005E6964"/>
    <w:rsid w:val="005E751D"/>
    <w:rsid w:val="005F3C3A"/>
    <w:rsid w:val="005F5DDF"/>
    <w:rsid w:val="00610D61"/>
    <w:rsid w:val="00617695"/>
    <w:rsid w:val="00621C20"/>
    <w:rsid w:val="00634460"/>
    <w:rsid w:val="00635F76"/>
    <w:rsid w:val="00647D19"/>
    <w:rsid w:val="00650A0E"/>
    <w:rsid w:val="00654A5B"/>
    <w:rsid w:val="00663A20"/>
    <w:rsid w:val="00663F1A"/>
    <w:rsid w:val="00664F6E"/>
    <w:rsid w:val="006724F6"/>
    <w:rsid w:val="00672E3D"/>
    <w:rsid w:val="00675A1A"/>
    <w:rsid w:val="00676CF5"/>
    <w:rsid w:val="00687BB6"/>
    <w:rsid w:val="006917B3"/>
    <w:rsid w:val="006925D7"/>
    <w:rsid w:val="006A4B5B"/>
    <w:rsid w:val="006A4F55"/>
    <w:rsid w:val="006B04E3"/>
    <w:rsid w:val="006B097E"/>
    <w:rsid w:val="006B53F9"/>
    <w:rsid w:val="006B79C4"/>
    <w:rsid w:val="006D1317"/>
    <w:rsid w:val="006D40F5"/>
    <w:rsid w:val="006D7A74"/>
    <w:rsid w:val="006E44FD"/>
    <w:rsid w:val="006E6064"/>
    <w:rsid w:val="006E7641"/>
    <w:rsid w:val="006F512C"/>
    <w:rsid w:val="007052D2"/>
    <w:rsid w:val="0071774A"/>
    <w:rsid w:val="00721104"/>
    <w:rsid w:val="007239E9"/>
    <w:rsid w:val="00723C91"/>
    <w:rsid w:val="00726B8F"/>
    <w:rsid w:val="007419F6"/>
    <w:rsid w:val="00744B85"/>
    <w:rsid w:val="00751A86"/>
    <w:rsid w:val="00754E54"/>
    <w:rsid w:val="0075530C"/>
    <w:rsid w:val="0076144F"/>
    <w:rsid w:val="007673AE"/>
    <w:rsid w:val="007676D0"/>
    <w:rsid w:val="00773DF2"/>
    <w:rsid w:val="00774728"/>
    <w:rsid w:val="007812BB"/>
    <w:rsid w:val="007918D9"/>
    <w:rsid w:val="0079201C"/>
    <w:rsid w:val="00793F3D"/>
    <w:rsid w:val="0079573E"/>
    <w:rsid w:val="007A0E55"/>
    <w:rsid w:val="007A33DC"/>
    <w:rsid w:val="007A5BC9"/>
    <w:rsid w:val="007A7912"/>
    <w:rsid w:val="007B0661"/>
    <w:rsid w:val="007B40FD"/>
    <w:rsid w:val="007D4B3F"/>
    <w:rsid w:val="007E12BB"/>
    <w:rsid w:val="007E20EC"/>
    <w:rsid w:val="007E69C4"/>
    <w:rsid w:val="007F25C7"/>
    <w:rsid w:val="007F2E58"/>
    <w:rsid w:val="007F3DCE"/>
    <w:rsid w:val="007F4C80"/>
    <w:rsid w:val="0080450E"/>
    <w:rsid w:val="00812362"/>
    <w:rsid w:val="0081242E"/>
    <w:rsid w:val="00833695"/>
    <w:rsid w:val="00841AC1"/>
    <w:rsid w:val="00842D6F"/>
    <w:rsid w:val="00843AE6"/>
    <w:rsid w:val="00846DF3"/>
    <w:rsid w:val="008518E9"/>
    <w:rsid w:val="00857415"/>
    <w:rsid w:val="00864649"/>
    <w:rsid w:val="008829D0"/>
    <w:rsid w:val="00883A31"/>
    <w:rsid w:val="008867A4"/>
    <w:rsid w:val="0089169C"/>
    <w:rsid w:val="00897ED6"/>
    <w:rsid w:val="008A1982"/>
    <w:rsid w:val="008A75F4"/>
    <w:rsid w:val="008B0920"/>
    <w:rsid w:val="008B18CB"/>
    <w:rsid w:val="008D05A6"/>
    <w:rsid w:val="008E015F"/>
    <w:rsid w:val="008E3FE2"/>
    <w:rsid w:val="008F59C8"/>
    <w:rsid w:val="008F6E0A"/>
    <w:rsid w:val="00905A55"/>
    <w:rsid w:val="00910864"/>
    <w:rsid w:val="00926680"/>
    <w:rsid w:val="00934CB9"/>
    <w:rsid w:val="00937BE0"/>
    <w:rsid w:val="0094129E"/>
    <w:rsid w:val="009449EB"/>
    <w:rsid w:val="00945037"/>
    <w:rsid w:val="009471BE"/>
    <w:rsid w:val="00951BCB"/>
    <w:rsid w:val="0095596A"/>
    <w:rsid w:val="00964B6E"/>
    <w:rsid w:val="00973E3C"/>
    <w:rsid w:val="00974CD3"/>
    <w:rsid w:val="00986270"/>
    <w:rsid w:val="009922DF"/>
    <w:rsid w:val="009937D1"/>
    <w:rsid w:val="0099669F"/>
    <w:rsid w:val="009A2EC0"/>
    <w:rsid w:val="009B30A7"/>
    <w:rsid w:val="009B34E1"/>
    <w:rsid w:val="009B43F3"/>
    <w:rsid w:val="009C79DF"/>
    <w:rsid w:val="009D0AD4"/>
    <w:rsid w:val="009D0E62"/>
    <w:rsid w:val="009E0168"/>
    <w:rsid w:val="009E2A83"/>
    <w:rsid w:val="009F191E"/>
    <w:rsid w:val="009F5525"/>
    <w:rsid w:val="009F7A64"/>
    <w:rsid w:val="00A0011C"/>
    <w:rsid w:val="00A025B1"/>
    <w:rsid w:val="00A114FC"/>
    <w:rsid w:val="00A2067E"/>
    <w:rsid w:val="00A2666F"/>
    <w:rsid w:val="00A30B8E"/>
    <w:rsid w:val="00A41470"/>
    <w:rsid w:val="00A452A7"/>
    <w:rsid w:val="00A65687"/>
    <w:rsid w:val="00A659A4"/>
    <w:rsid w:val="00A73329"/>
    <w:rsid w:val="00A7562C"/>
    <w:rsid w:val="00A858DA"/>
    <w:rsid w:val="00A93001"/>
    <w:rsid w:val="00AA2A84"/>
    <w:rsid w:val="00AB3921"/>
    <w:rsid w:val="00AB3EFE"/>
    <w:rsid w:val="00AB54A0"/>
    <w:rsid w:val="00AC1840"/>
    <w:rsid w:val="00AC363F"/>
    <w:rsid w:val="00AC548A"/>
    <w:rsid w:val="00AD29E7"/>
    <w:rsid w:val="00AD4E71"/>
    <w:rsid w:val="00AE5BA9"/>
    <w:rsid w:val="00B024A8"/>
    <w:rsid w:val="00B0296C"/>
    <w:rsid w:val="00B17722"/>
    <w:rsid w:val="00B245F9"/>
    <w:rsid w:val="00B263D2"/>
    <w:rsid w:val="00B3783E"/>
    <w:rsid w:val="00B4013D"/>
    <w:rsid w:val="00B52CF4"/>
    <w:rsid w:val="00B52DDE"/>
    <w:rsid w:val="00B60416"/>
    <w:rsid w:val="00B702F2"/>
    <w:rsid w:val="00B92F18"/>
    <w:rsid w:val="00B94334"/>
    <w:rsid w:val="00BA31D0"/>
    <w:rsid w:val="00BA322A"/>
    <w:rsid w:val="00BA4605"/>
    <w:rsid w:val="00BB0CC5"/>
    <w:rsid w:val="00BB26AE"/>
    <w:rsid w:val="00BB2EC9"/>
    <w:rsid w:val="00BB785D"/>
    <w:rsid w:val="00BC2511"/>
    <w:rsid w:val="00BC267F"/>
    <w:rsid w:val="00BC5FD9"/>
    <w:rsid w:val="00BD5481"/>
    <w:rsid w:val="00BE0F54"/>
    <w:rsid w:val="00BE75C4"/>
    <w:rsid w:val="00BF0BAD"/>
    <w:rsid w:val="00BF2FF2"/>
    <w:rsid w:val="00C02E14"/>
    <w:rsid w:val="00C02E23"/>
    <w:rsid w:val="00C057FE"/>
    <w:rsid w:val="00C104F4"/>
    <w:rsid w:val="00C21510"/>
    <w:rsid w:val="00C256A9"/>
    <w:rsid w:val="00C35CB6"/>
    <w:rsid w:val="00C360B0"/>
    <w:rsid w:val="00C37BDA"/>
    <w:rsid w:val="00C43886"/>
    <w:rsid w:val="00C44621"/>
    <w:rsid w:val="00C44AD4"/>
    <w:rsid w:val="00C525D8"/>
    <w:rsid w:val="00C64607"/>
    <w:rsid w:val="00C65FDD"/>
    <w:rsid w:val="00C81FA0"/>
    <w:rsid w:val="00C82606"/>
    <w:rsid w:val="00C845A2"/>
    <w:rsid w:val="00C96799"/>
    <w:rsid w:val="00CA2B6B"/>
    <w:rsid w:val="00CC36F6"/>
    <w:rsid w:val="00CC4C70"/>
    <w:rsid w:val="00CC4D18"/>
    <w:rsid w:val="00CE63A5"/>
    <w:rsid w:val="00CF1061"/>
    <w:rsid w:val="00D0132B"/>
    <w:rsid w:val="00D17682"/>
    <w:rsid w:val="00D25DAC"/>
    <w:rsid w:val="00D45E15"/>
    <w:rsid w:val="00D501B6"/>
    <w:rsid w:val="00D51D03"/>
    <w:rsid w:val="00D55078"/>
    <w:rsid w:val="00D57502"/>
    <w:rsid w:val="00D66C8B"/>
    <w:rsid w:val="00D67AEE"/>
    <w:rsid w:val="00D721A7"/>
    <w:rsid w:val="00D87B8E"/>
    <w:rsid w:val="00D93113"/>
    <w:rsid w:val="00D93BF6"/>
    <w:rsid w:val="00D94A7E"/>
    <w:rsid w:val="00D9500C"/>
    <w:rsid w:val="00DA49F5"/>
    <w:rsid w:val="00DE0386"/>
    <w:rsid w:val="00DE1380"/>
    <w:rsid w:val="00DE71BC"/>
    <w:rsid w:val="00DF3526"/>
    <w:rsid w:val="00E01803"/>
    <w:rsid w:val="00E04420"/>
    <w:rsid w:val="00E116D3"/>
    <w:rsid w:val="00E1396F"/>
    <w:rsid w:val="00E17EAE"/>
    <w:rsid w:val="00E26EF7"/>
    <w:rsid w:val="00E30B99"/>
    <w:rsid w:val="00E43CF0"/>
    <w:rsid w:val="00E46CEF"/>
    <w:rsid w:val="00E549E4"/>
    <w:rsid w:val="00E5791A"/>
    <w:rsid w:val="00E64629"/>
    <w:rsid w:val="00E64FD9"/>
    <w:rsid w:val="00E76AEA"/>
    <w:rsid w:val="00E8734D"/>
    <w:rsid w:val="00E9440C"/>
    <w:rsid w:val="00EA12AD"/>
    <w:rsid w:val="00EC3C52"/>
    <w:rsid w:val="00EC4F9A"/>
    <w:rsid w:val="00EC6931"/>
    <w:rsid w:val="00ED23FA"/>
    <w:rsid w:val="00ED625D"/>
    <w:rsid w:val="00EE24F3"/>
    <w:rsid w:val="00EE78AE"/>
    <w:rsid w:val="00EF1E14"/>
    <w:rsid w:val="00F0309C"/>
    <w:rsid w:val="00F05F72"/>
    <w:rsid w:val="00F07EA7"/>
    <w:rsid w:val="00F13B3F"/>
    <w:rsid w:val="00F14F19"/>
    <w:rsid w:val="00F17279"/>
    <w:rsid w:val="00F26E7A"/>
    <w:rsid w:val="00F32EE1"/>
    <w:rsid w:val="00F53081"/>
    <w:rsid w:val="00F60598"/>
    <w:rsid w:val="00F63A1C"/>
    <w:rsid w:val="00F75266"/>
    <w:rsid w:val="00F75D10"/>
    <w:rsid w:val="00F764D0"/>
    <w:rsid w:val="00F90398"/>
    <w:rsid w:val="00F913E5"/>
    <w:rsid w:val="00F92985"/>
    <w:rsid w:val="00F94D4D"/>
    <w:rsid w:val="00F961D5"/>
    <w:rsid w:val="00FB00C6"/>
    <w:rsid w:val="00FB5308"/>
    <w:rsid w:val="00FC6219"/>
    <w:rsid w:val="00FD0CA4"/>
    <w:rsid w:val="00FD1F88"/>
    <w:rsid w:val="00FD2875"/>
    <w:rsid w:val="00FD4845"/>
    <w:rsid w:val="00FE3F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DB60"/>
  <w15:chartTrackingRefBased/>
  <w15:docId w15:val="{6466182D-A506-433B-AE86-4ECB6AB6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12A"/>
    <w:pPr>
      <w:spacing w:after="160"/>
      <w:jc w:val="left"/>
    </w:pPr>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41712A"/>
    <w:rPr>
      <w:sz w:val="20"/>
      <w:szCs w:val="20"/>
    </w:rPr>
  </w:style>
  <w:style w:type="character" w:customStyle="1" w:styleId="a4">
    <w:name w:val="טקסט הערת שוליים תו"/>
    <w:basedOn w:val="a0"/>
    <w:link w:val="a3"/>
    <w:uiPriority w:val="99"/>
    <w:rsid w:val="0041712A"/>
    <w:rPr>
      <w:rFonts w:eastAsiaTheme="minorEastAsia" w:cs="Arial"/>
      <w:sz w:val="20"/>
      <w:szCs w:val="20"/>
    </w:rPr>
  </w:style>
  <w:style w:type="character" w:styleId="a5">
    <w:name w:val="footnote reference"/>
    <w:basedOn w:val="a0"/>
    <w:uiPriority w:val="99"/>
    <w:semiHidden/>
    <w:unhideWhenUsed/>
    <w:rsid w:val="0041712A"/>
    <w:rPr>
      <w:vertAlign w:val="superscript"/>
    </w:rPr>
  </w:style>
  <w:style w:type="character" w:styleId="Hyperlink">
    <w:name w:val="Hyperlink"/>
    <w:basedOn w:val="a0"/>
    <w:uiPriority w:val="99"/>
    <w:unhideWhenUsed/>
    <w:rsid w:val="00246531"/>
    <w:rPr>
      <w:color w:val="0000FF"/>
      <w:u w:val="single"/>
    </w:rPr>
  </w:style>
  <w:style w:type="paragraph" w:styleId="a6">
    <w:name w:val="header"/>
    <w:basedOn w:val="a"/>
    <w:link w:val="a7"/>
    <w:uiPriority w:val="99"/>
    <w:unhideWhenUsed/>
    <w:rsid w:val="00F75D10"/>
    <w:pPr>
      <w:tabs>
        <w:tab w:val="center" w:pos="4153"/>
        <w:tab w:val="right" w:pos="8306"/>
      </w:tabs>
      <w:spacing w:after="0" w:line="240" w:lineRule="auto"/>
    </w:pPr>
  </w:style>
  <w:style w:type="character" w:customStyle="1" w:styleId="a7">
    <w:name w:val="כותרת עליונה תו"/>
    <w:basedOn w:val="a0"/>
    <w:link w:val="a6"/>
    <w:uiPriority w:val="99"/>
    <w:rsid w:val="00F75D10"/>
    <w:rPr>
      <w:rFonts w:eastAsiaTheme="minorEastAsia" w:cs="Arial"/>
    </w:rPr>
  </w:style>
  <w:style w:type="paragraph" w:styleId="a8">
    <w:name w:val="footer"/>
    <w:basedOn w:val="a"/>
    <w:link w:val="a9"/>
    <w:uiPriority w:val="99"/>
    <w:unhideWhenUsed/>
    <w:rsid w:val="00F75D10"/>
    <w:pPr>
      <w:tabs>
        <w:tab w:val="center" w:pos="4153"/>
        <w:tab w:val="right" w:pos="8306"/>
      </w:tabs>
      <w:spacing w:after="0" w:line="240" w:lineRule="auto"/>
    </w:pPr>
  </w:style>
  <w:style w:type="character" w:customStyle="1" w:styleId="a9">
    <w:name w:val="כותרת תחתונה תו"/>
    <w:basedOn w:val="a0"/>
    <w:link w:val="a8"/>
    <w:uiPriority w:val="99"/>
    <w:rsid w:val="00F75D10"/>
    <w:rPr>
      <w:rFonts w:eastAsiaTheme="minorEastAsia" w:cs="Arial"/>
    </w:rPr>
  </w:style>
  <w:style w:type="paragraph" w:styleId="aa">
    <w:name w:val="Revision"/>
    <w:hidden/>
    <w:uiPriority w:val="99"/>
    <w:semiHidden/>
    <w:rsid w:val="00F75D10"/>
    <w:pPr>
      <w:bidi w:val="0"/>
      <w:spacing w:after="0" w:line="240" w:lineRule="auto"/>
      <w:jc w:val="left"/>
    </w:pPr>
    <w:rPr>
      <w:rFonts w:eastAsiaTheme="minorEastAsia" w:cs="Arial"/>
    </w:rPr>
  </w:style>
  <w:style w:type="paragraph" w:styleId="ab">
    <w:name w:val="Balloon Text"/>
    <w:basedOn w:val="a"/>
    <w:link w:val="ac"/>
    <w:uiPriority w:val="99"/>
    <w:semiHidden/>
    <w:unhideWhenUsed/>
    <w:rsid w:val="00F75D10"/>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F75D10"/>
    <w:rPr>
      <w:rFonts w:ascii="Tahoma" w:eastAsiaTheme="minorEastAsi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B916C-0418-481C-9029-FB1A7F7F8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2</Pages>
  <Words>1397</Words>
  <Characters>6989</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188</cp:revision>
  <dcterms:created xsi:type="dcterms:W3CDTF">2020-01-27T16:12:00Z</dcterms:created>
  <dcterms:modified xsi:type="dcterms:W3CDTF">2023-01-25T15:31:00Z</dcterms:modified>
</cp:coreProperties>
</file>