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B83B" w14:textId="6050228D" w:rsidR="0050743D" w:rsidRDefault="00770F9F" w:rsidP="005879B0">
      <w:pPr>
        <w:spacing w:after="80"/>
        <w:rPr>
          <w:b/>
          <w:bCs/>
          <w:sz w:val="36"/>
          <w:szCs w:val="36"/>
          <w:rtl/>
        </w:rPr>
      </w:pPr>
      <w:r>
        <w:rPr>
          <w:rFonts w:hint="cs"/>
          <w:rtl/>
        </w:rPr>
        <w:t xml:space="preserve">בס''ד    </w:t>
      </w:r>
      <w:r>
        <w:rPr>
          <w:rFonts w:hint="cs"/>
          <w:b/>
          <w:bCs/>
          <w:sz w:val="36"/>
          <w:szCs w:val="36"/>
          <w:rtl/>
        </w:rPr>
        <w:t xml:space="preserve">   </w:t>
      </w:r>
      <w:r w:rsidR="003D41FA">
        <w:rPr>
          <w:rFonts w:hint="cs"/>
          <w:b/>
          <w:bCs/>
          <w:sz w:val="36"/>
          <w:szCs w:val="36"/>
          <w:rtl/>
        </w:rPr>
        <w:t xml:space="preserve"> </w:t>
      </w:r>
      <w:r w:rsidRPr="00770F9F">
        <w:rPr>
          <w:rFonts w:hint="cs"/>
          <w:b/>
          <w:bCs/>
          <w:sz w:val="36"/>
          <w:szCs w:val="36"/>
          <w:rtl/>
        </w:rPr>
        <w:t>פרשת במדבר: האם יש משמעות הלכתית לנישואין אזרחיים</w:t>
      </w:r>
    </w:p>
    <w:p w14:paraId="0854E108" w14:textId="672B109E" w:rsidR="00EE5F4D" w:rsidRDefault="00EE5F4D" w:rsidP="005879B0">
      <w:pPr>
        <w:spacing w:after="80"/>
        <w:rPr>
          <w:b/>
          <w:bCs/>
          <w:u w:val="single"/>
          <w:rtl/>
        </w:rPr>
      </w:pPr>
      <w:r w:rsidRPr="00EE5F4D">
        <w:rPr>
          <w:rFonts w:hint="cs"/>
          <w:b/>
          <w:bCs/>
          <w:u w:val="single"/>
          <w:rtl/>
        </w:rPr>
        <w:t>פתיחה</w:t>
      </w:r>
    </w:p>
    <w:p w14:paraId="7A2963C0" w14:textId="0BFB7F50" w:rsidR="00E81996" w:rsidRDefault="00E81996" w:rsidP="005879B0">
      <w:pPr>
        <w:spacing w:after="80"/>
        <w:rPr>
          <w:rtl/>
        </w:rPr>
      </w:pPr>
      <w:r>
        <w:rPr>
          <w:rFonts w:hint="cs"/>
          <w:rtl/>
        </w:rPr>
        <w:t xml:space="preserve">בפרשת השבוע כותבת התורה את שמות בני ישראל, </w:t>
      </w:r>
      <w:r w:rsidR="00E34CFD">
        <w:rPr>
          <w:rFonts w:hint="cs"/>
          <w:rtl/>
        </w:rPr>
        <w:t xml:space="preserve">ומספרת </w:t>
      </w:r>
      <w:r w:rsidR="00E34CFD">
        <w:rPr>
          <w:rFonts w:hint="cs"/>
          <w:sz w:val="18"/>
          <w:szCs w:val="18"/>
          <w:rtl/>
        </w:rPr>
        <w:t xml:space="preserve">(א, יח) </w:t>
      </w:r>
      <w:r w:rsidR="00E34CFD">
        <w:rPr>
          <w:rFonts w:hint="cs"/>
          <w:rtl/>
        </w:rPr>
        <w:t xml:space="preserve">שכולם ''התילדו על משפחותם לבית אבותם''. </w:t>
      </w:r>
      <w:r w:rsidR="00D66088">
        <w:rPr>
          <w:rFonts w:hint="cs"/>
          <w:rtl/>
        </w:rPr>
        <w:t>נחלקו הראשונים בביאור הפסוק:</w:t>
      </w:r>
      <w:r w:rsidR="00D66088">
        <w:rPr>
          <w:rFonts w:hint="cs"/>
        </w:rPr>
        <w:t xml:space="preserve"> </w:t>
      </w:r>
      <w:r w:rsidR="00E34CFD" w:rsidRPr="00E34CFD">
        <w:rPr>
          <w:rFonts w:hint="cs"/>
          <w:b/>
          <w:bCs/>
          <w:rtl/>
        </w:rPr>
        <w:t>רש''י</w:t>
      </w:r>
      <w:r w:rsidR="00E34CFD">
        <w:rPr>
          <w:rFonts w:hint="cs"/>
          <w:rtl/>
        </w:rPr>
        <w:t xml:space="preserve"> </w:t>
      </w:r>
      <w:r w:rsidR="00D66088">
        <w:rPr>
          <w:rFonts w:hint="cs"/>
          <w:sz w:val="18"/>
          <w:szCs w:val="18"/>
          <w:rtl/>
        </w:rPr>
        <w:t xml:space="preserve">(שם, ד''ה ויתילדו) </w:t>
      </w:r>
      <w:r w:rsidR="00E34CFD">
        <w:rPr>
          <w:rFonts w:hint="cs"/>
          <w:rtl/>
        </w:rPr>
        <w:t xml:space="preserve">ביאר, שכוונת הפסוק שכל אחד מבני ישראל הביא את ספרי היוחסין שלו. </w:t>
      </w:r>
      <w:r w:rsidR="00E34CFD" w:rsidRPr="00E34CFD">
        <w:rPr>
          <w:rFonts w:hint="cs"/>
          <w:b/>
          <w:bCs/>
          <w:rtl/>
        </w:rPr>
        <w:t>הרמב''ן</w:t>
      </w:r>
      <w:r w:rsidR="00E34CFD">
        <w:rPr>
          <w:rFonts w:hint="cs"/>
          <w:rtl/>
        </w:rPr>
        <w:t xml:space="preserve"> </w:t>
      </w:r>
      <w:r w:rsidR="00D66088">
        <w:rPr>
          <w:rFonts w:hint="cs"/>
          <w:sz w:val="18"/>
          <w:szCs w:val="18"/>
          <w:rtl/>
        </w:rPr>
        <w:t xml:space="preserve">(שם) </w:t>
      </w:r>
      <w:r w:rsidR="00E34CFD">
        <w:rPr>
          <w:rFonts w:hint="cs"/>
          <w:rtl/>
        </w:rPr>
        <w:t>חלק וסבר, שכוונת התורה לומר שהערב רב לא הי</w:t>
      </w:r>
      <w:r w:rsidR="003A506E">
        <w:rPr>
          <w:rFonts w:hint="cs"/>
          <w:rtl/>
        </w:rPr>
        <w:t>ה</w:t>
      </w:r>
      <w:r w:rsidR="00E34CFD">
        <w:rPr>
          <w:rFonts w:hint="cs"/>
          <w:rtl/>
        </w:rPr>
        <w:t xml:space="preserve"> חלק ממניין ישראל</w:t>
      </w:r>
      <w:r w:rsidR="00176B83">
        <w:rPr>
          <w:rFonts w:hint="cs"/>
          <w:rtl/>
        </w:rPr>
        <w:t>.</w:t>
      </w:r>
      <w:r w:rsidR="00E34CFD">
        <w:rPr>
          <w:rFonts w:hint="cs"/>
          <w:rtl/>
        </w:rPr>
        <w:t xml:space="preserve"> ובלשונו:</w:t>
      </w:r>
    </w:p>
    <w:p w14:paraId="3492A13F" w14:textId="2F270BA6" w:rsidR="00E34CFD" w:rsidRDefault="00655A71" w:rsidP="005879B0">
      <w:pPr>
        <w:spacing w:after="80"/>
        <w:ind w:left="720"/>
        <w:rPr>
          <w:rtl/>
        </w:rPr>
      </w:pPr>
      <w:r>
        <w:rPr>
          <w:rFonts w:cs="Arial" w:hint="cs"/>
          <w:rtl/>
        </w:rPr>
        <w:t>''</w:t>
      </w:r>
      <w:r w:rsidR="00E63CBB" w:rsidRPr="00E63CBB">
        <w:rPr>
          <w:rFonts w:cs="Arial"/>
          <w:rtl/>
        </w:rPr>
        <w:t xml:space="preserve">יתילדו על משפחתם לבית אבתם - הביאו ספרי </w:t>
      </w:r>
      <w:r w:rsidR="00564553">
        <w:rPr>
          <w:rFonts w:cs="Arial" w:hint="cs"/>
          <w:rtl/>
        </w:rPr>
        <w:t>י</w:t>
      </w:r>
      <w:r w:rsidR="00E63CBB" w:rsidRPr="00E63CBB">
        <w:rPr>
          <w:rFonts w:cs="Arial"/>
          <w:rtl/>
        </w:rPr>
        <w:t>יחוסיהם ועדי חזקת לידת כל אחד ואחד להת</w:t>
      </w:r>
      <w:r w:rsidR="00564553">
        <w:rPr>
          <w:rFonts w:cs="Arial" w:hint="cs"/>
          <w:rtl/>
        </w:rPr>
        <w:t>י</w:t>
      </w:r>
      <w:r w:rsidR="00E63CBB" w:rsidRPr="00E63CBB">
        <w:rPr>
          <w:rFonts w:cs="Arial"/>
          <w:rtl/>
        </w:rPr>
        <w:t xml:space="preserve">יחס על השבט, לשון רש"י. ואיננו נראה שיהיו צריכין להביא שטר ועדים על </w:t>
      </w:r>
      <w:r w:rsidR="00564553">
        <w:rPr>
          <w:rFonts w:cs="Arial" w:hint="cs"/>
          <w:rtl/>
        </w:rPr>
        <w:t>י</w:t>
      </w:r>
      <w:r w:rsidR="00E63CBB" w:rsidRPr="00E63CBB">
        <w:rPr>
          <w:rFonts w:cs="Arial"/>
          <w:rtl/>
        </w:rPr>
        <w:t>יחוסיהם לשבטיהם, אבל "ויתילדו" שנמנו תולדותם למשפחותם לבית אבותם. הטעם, לומר כי נקהלו כל העדה כלם אל פתח אהל מועד, חוץ מערב רב אשר לא מבני ישראל המה</w:t>
      </w:r>
      <w:r w:rsidR="00E63CBB">
        <w:rPr>
          <w:rFonts w:cs="Arial" w:hint="cs"/>
          <w:rtl/>
        </w:rPr>
        <w:t>.''</w:t>
      </w:r>
    </w:p>
    <w:p w14:paraId="386E8C0C" w14:textId="29832A2B" w:rsidR="00100767" w:rsidRDefault="00192995" w:rsidP="005879B0">
      <w:pPr>
        <w:spacing w:after="80"/>
        <w:rPr>
          <w:rtl/>
        </w:rPr>
      </w:pPr>
      <w:r>
        <w:rPr>
          <w:rFonts w:hint="cs"/>
          <w:rtl/>
        </w:rPr>
        <w:t xml:space="preserve">בעקבות מניין בני ישראל וייחוסם, נעסוק השבוע בשאלה האם יש משמעות הלכתית </w:t>
      </w:r>
      <w:r w:rsidR="002056F8">
        <w:rPr>
          <w:rFonts w:hint="cs"/>
          <w:rtl/>
        </w:rPr>
        <w:t>ל</w:t>
      </w:r>
      <w:r>
        <w:rPr>
          <w:rFonts w:hint="cs"/>
          <w:rtl/>
        </w:rPr>
        <w:t xml:space="preserve">נישואין </w:t>
      </w:r>
      <w:r w:rsidR="002056F8">
        <w:rPr>
          <w:rFonts w:hint="cs"/>
          <w:rtl/>
        </w:rPr>
        <w:t xml:space="preserve">במסגרת </w:t>
      </w:r>
      <w:r>
        <w:rPr>
          <w:rFonts w:hint="cs"/>
          <w:rtl/>
        </w:rPr>
        <w:t>אזרחי</w:t>
      </w:r>
      <w:r w:rsidR="002056F8">
        <w:rPr>
          <w:rFonts w:hint="cs"/>
          <w:rtl/>
        </w:rPr>
        <w:t>ת</w:t>
      </w:r>
      <w:r w:rsidR="00242848">
        <w:rPr>
          <w:rFonts w:hint="cs"/>
          <w:rtl/>
        </w:rPr>
        <w:t>, דהיינו נישואין ללא</w:t>
      </w:r>
      <w:r w:rsidR="00F75D73">
        <w:rPr>
          <w:rFonts w:hint="cs"/>
          <w:rtl/>
        </w:rPr>
        <w:t xml:space="preserve"> קידושין,</w:t>
      </w:r>
      <w:r w:rsidR="00242848">
        <w:rPr>
          <w:rFonts w:hint="cs"/>
          <w:rtl/>
        </w:rPr>
        <w:t xml:space="preserve"> רב, עדים</w:t>
      </w:r>
      <w:r w:rsidR="00C403F7">
        <w:rPr>
          <w:rFonts w:hint="cs"/>
          <w:rtl/>
        </w:rPr>
        <w:t xml:space="preserve"> וכו'</w:t>
      </w:r>
      <w:r>
        <w:rPr>
          <w:rFonts w:hint="cs"/>
          <w:rtl/>
        </w:rPr>
        <w:t>.</w:t>
      </w:r>
      <w:r w:rsidR="00100767">
        <w:rPr>
          <w:rFonts w:hint="cs"/>
          <w:rtl/>
        </w:rPr>
        <w:t xml:space="preserve"> יש להוסיף, שדיון זה אינו תיאורטי, ו</w:t>
      </w:r>
      <w:r w:rsidR="00947B83">
        <w:rPr>
          <w:rFonts w:hint="cs"/>
          <w:rtl/>
        </w:rPr>
        <w:t xml:space="preserve">כיום </w:t>
      </w:r>
      <w:r w:rsidR="00100767">
        <w:rPr>
          <w:rFonts w:hint="cs"/>
          <w:rtl/>
        </w:rPr>
        <w:t xml:space="preserve">אלפי זוגות בשנה מתחתנים בנישואין אזרחיים </w:t>
      </w:r>
      <w:r w:rsidR="008D7D45">
        <w:rPr>
          <w:rFonts w:hint="cs"/>
          <w:rtl/>
        </w:rPr>
        <w:t>ב</w:t>
      </w:r>
      <w:r w:rsidR="00100767">
        <w:rPr>
          <w:rFonts w:hint="cs"/>
          <w:rtl/>
        </w:rPr>
        <w:t>קפריסין</w:t>
      </w:r>
      <w:r w:rsidR="005E48F1">
        <w:rPr>
          <w:rFonts w:hint="cs"/>
          <w:rtl/>
        </w:rPr>
        <w:t xml:space="preserve">. כמו כן </w:t>
      </w:r>
      <w:r w:rsidR="00100767">
        <w:rPr>
          <w:rFonts w:hint="cs"/>
          <w:rtl/>
        </w:rPr>
        <w:t xml:space="preserve">יש זוגות </w:t>
      </w:r>
      <w:r w:rsidR="008D7D45">
        <w:rPr>
          <w:rFonts w:hint="cs"/>
          <w:rtl/>
        </w:rPr>
        <w:t xml:space="preserve">רבים </w:t>
      </w:r>
      <w:r w:rsidR="00100767">
        <w:rPr>
          <w:rFonts w:hint="cs"/>
          <w:rtl/>
        </w:rPr>
        <w:t>החיים ביחד שנים רבות</w:t>
      </w:r>
      <w:r w:rsidR="005E48F1">
        <w:rPr>
          <w:rFonts w:hint="cs"/>
          <w:rtl/>
        </w:rPr>
        <w:t xml:space="preserve"> ('ידועים בציבור')</w:t>
      </w:r>
      <w:r w:rsidR="00100767">
        <w:rPr>
          <w:rFonts w:hint="cs"/>
          <w:rtl/>
        </w:rPr>
        <w:t>, ויש לדון במעמדם ההלכתי.</w:t>
      </w:r>
    </w:p>
    <w:p w14:paraId="16D6E6DA" w14:textId="77777777" w:rsidR="00100767" w:rsidRDefault="00100767" w:rsidP="005879B0">
      <w:pPr>
        <w:spacing w:after="80"/>
        <w:rPr>
          <w:b/>
          <w:bCs/>
          <w:u w:val="single"/>
          <w:rtl/>
        </w:rPr>
      </w:pPr>
      <w:r>
        <w:rPr>
          <w:rFonts w:hint="cs"/>
          <w:b/>
          <w:bCs/>
          <w:u w:val="single"/>
          <w:rtl/>
        </w:rPr>
        <w:t>כיצד מקדשים</w:t>
      </w:r>
    </w:p>
    <w:p w14:paraId="1A30C302" w14:textId="4413C71E" w:rsidR="00B94E27" w:rsidRDefault="002056F8" w:rsidP="005879B0">
      <w:pPr>
        <w:spacing w:after="80"/>
        <w:rPr>
          <w:rtl/>
        </w:rPr>
      </w:pPr>
      <w:r>
        <w:rPr>
          <w:rFonts w:hint="cs"/>
          <w:rtl/>
        </w:rPr>
        <w:t>כיצד מקדשים?</w:t>
      </w:r>
      <w:r>
        <w:rPr>
          <w:rFonts w:hint="cs"/>
        </w:rPr>
        <w:t xml:space="preserve"> </w:t>
      </w:r>
      <w:r w:rsidR="00100767">
        <w:rPr>
          <w:rFonts w:hint="cs"/>
          <w:rtl/>
        </w:rPr>
        <w:t>כפי שמתאר הרמב''ם בתחילת הלכות אישות</w:t>
      </w:r>
      <w:r w:rsidR="00CD1816">
        <w:rPr>
          <w:rFonts w:hint="cs"/>
          <w:rtl/>
        </w:rPr>
        <w:t xml:space="preserve"> </w:t>
      </w:r>
      <w:r w:rsidR="00CD1816">
        <w:rPr>
          <w:rFonts w:hint="cs"/>
          <w:sz w:val="18"/>
          <w:szCs w:val="18"/>
          <w:rtl/>
        </w:rPr>
        <w:t>(א, א)</w:t>
      </w:r>
      <w:r w:rsidR="00100767">
        <w:rPr>
          <w:rFonts w:hint="cs"/>
          <w:rtl/>
        </w:rPr>
        <w:t xml:space="preserve">, לפני מתן תורה </w:t>
      </w:r>
      <w:r w:rsidR="00CD1816">
        <w:rPr>
          <w:rFonts w:hint="cs"/>
          <w:rtl/>
        </w:rPr>
        <w:t xml:space="preserve">במקרה בו אדם רצה </w:t>
      </w:r>
      <w:r w:rsidR="000F12F1">
        <w:rPr>
          <w:rFonts w:hint="cs"/>
          <w:rtl/>
        </w:rPr>
        <w:t>לחיות</w:t>
      </w:r>
      <w:r w:rsidR="00CD1816">
        <w:rPr>
          <w:rFonts w:hint="cs"/>
          <w:rtl/>
        </w:rPr>
        <w:t xml:space="preserve"> עם </w:t>
      </w:r>
      <w:r w:rsidR="009C263F">
        <w:rPr>
          <w:rFonts w:hint="cs"/>
          <w:rtl/>
        </w:rPr>
        <w:t>אשה</w:t>
      </w:r>
      <w:r w:rsidR="00CD1816">
        <w:rPr>
          <w:rFonts w:hint="cs"/>
          <w:rtl/>
        </w:rPr>
        <w:t xml:space="preserve">, </w:t>
      </w:r>
      <w:r w:rsidR="00100767">
        <w:rPr>
          <w:rFonts w:hint="cs"/>
          <w:rtl/>
        </w:rPr>
        <w:t>לא היה צורך ב</w:t>
      </w:r>
      <w:r w:rsidR="00CD1816">
        <w:rPr>
          <w:rFonts w:hint="cs"/>
          <w:rtl/>
        </w:rPr>
        <w:t>קניין מיוחד בפני עדים, אלא הוא היה כונס אותה אל ביתו ובכך</w:t>
      </w:r>
      <w:r w:rsidR="008577F5">
        <w:rPr>
          <w:rFonts w:hint="cs"/>
          <w:rtl/>
        </w:rPr>
        <w:t xml:space="preserve"> </w:t>
      </w:r>
      <w:r w:rsidR="00911F1A">
        <w:rPr>
          <w:rFonts w:hint="cs"/>
          <w:rtl/>
        </w:rPr>
        <w:t xml:space="preserve">די </w:t>
      </w:r>
      <w:r w:rsidR="008577F5">
        <w:rPr>
          <w:rFonts w:hint="cs"/>
          <w:rtl/>
        </w:rPr>
        <w:t xml:space="preserve">היה כדי להחשיבם </w:t>
      </w:r>
      <w:r w:rsidR="00911F1A">
        <w:rPr>
          <w:rFonts w:hint="cs"/>
          <w:rtl/>
        </w:rPr>
        <w:t>כ</w:t>
      </w:r>
      <w:r w:rsidR="008577F5">
        <w:rPr>
          <w:rFonts w:hint="cs"/>
          <w:rtl/>
        </w:rPr>
        <w:t>נשואים.</w:t>
      </w:r>
      <w:r w:rsidR="00B94E27">
        <w:rPr>
          <w:rFonts w:hint="cs"/>
          <w:rtl/>
        </w:rPr>
        <w:t xml:space="preserve"> לאחר מתן תורה נקבע, שבשביל לשאת אשה צריך לקנות אותה בפני עדים, קניין </w:t>
      </w:r>
      <w:r w:rsidR="00911F1A">
        <w:rPr>
          <w:rFonts w:hint="cs"/>
          <w:rtl/>
        </w:rPr>
        <w:t xml:space="preserve">המתבצע </w:t>
      </w:r>
      <w:r w:rsidR="00B94E27">
        <w:rPr>
          <w:rFonts w:hint="cs"/>
          <w:rtl/>
        </w:rPr>
        <w:t>ב</w:t>
      </w:r>
      <w:r w:rsidR="00BB2FEA">
        <w:rPr>
          <w:rFonts w:hint="cs"/>
          <w:rtl/>
        </w:rPr>
        <w:t>אחד מ</w:t>
      </w:r>
      <w:r w:rsidR="00B94E27">
        <w:rPr>
          <w:rFonts w:hint="cs"/>
          <w:rtl/>
        </w:rPr>
        <w:t>שלושה אופנים</w:t>
      </w:r>
      <w:r w:rsidR="00652028">
        <w:rPr>
          <w:rFonts w:hint="cs"/>
          <w:rtl/>
        </w:rPr>
        <w:t>:</w:t>
      </w:r>
    </w:p>
    <w:p w14:paraId="2F1D1CAC" w14:textId="76F4BA9D" w:rsidR="00652028" w:rsidRDefault="00B94E27" w:rsidP="005879B0">
      <w:pPr>
        <w:spacing w:after="80"/>
        <w:rPr>
          <w:rtl/>
        </w:rPr>
      </w:pPr>
      <w:r w:rsidRPr="00BB2FEA">
        <w:rPr>
          <w:rFonts w:hint="cs"/>
          <w:b/>
          <w:bCs/>
          <w:rtl/>
        </w:rPr>
        <w:t>אפשרות ראשונה</w:t>
      </w:r>
      <w:r>
        <w:rPr>
          <w:rFonts w:hint="cs"/>
          <w:rtl/>
        </w:rPr>
        <w:t xml:space="preserve"> הנפוצה ביותר כיום, קניין באמצעות כסף</w:t>
      </w:r>
      <w:r w:rsidR="000F12F1">
        <w:rPr>
          <w:rFonts w:hint="cs"/>
          <w:rtl/>
        </w:rPr>
        <w:t xml:space="preserve"> או שווה כסף</w:t>
      </w:r>
      <w:r>
        <w:rPr>
          <w:rFonts w:hint="cs"/>
          <w:rtl/>
        </w:rPr>
        <w:t xml:space="preserve">, החתן נותן טבעת לאשתו </w:t>
      </w:r>
      <w:r w:rsidR="000F12F1">
        <w:rPr>
          <w:rFonts w:hint="cs"/>
          <w:rtl/>
        </w:rPr>
        <w:t>בפני</w:t>
      </w:r>
      <w:r>
        <w:rPr>
          <w:rFonts w:hint="cs"/>
          <w:rtl/>
        </w:rPr>
        <w:t xml:space="preserve"> עדים ובכך היא מקודשת. </w:t>
      </w:r>
      <w:r w:rsidRPr="001B3694">
        <w:rPr>
          <w:rFonts w:hint="cs"/>
          <w:b/>
          <w:bCs/>
          <w:rtl/>
        </w:rPr>
        <w:t>אפשרות שניה</w:t>
      </w:r>
      <w:r w:rsidR="00AA7195">
        <w:rPr>
          <w:rFonts w:hint="cs"/>
          <w:rtl/>
        </w:rPr>
        <w:t>, לקדש</w:t>
      </w:r>
      <w:r>
        <w:rPr>
          <w:rFonts w:hint="cs"/>
          <w:rtl/>
        </w:rPr>
        <w:t xml:space="preserve"> באמצעות שטר</w:t>
      </w:r>
      <w:r w:rsidR="00AA7195">
        <w:rPr>
          <w:rFonts w:hint="cs"/>
          <w:rtl/>
        </w:rPr>
        <w:t xml:space="preserve">. </w:t>
      </w:r>
      <w:r w:rsidR="00AC285F" w:rsidRPr="001B3694">
        <w:rPr>
          <w:rFonts w:hint="cs"/>
          <w:b/>
          <w:bCs/>
          <w:rtl/>
        </w:rPr>
        <w:t>אפשרות שלישית</w:t>
      </w:r>
      <w:r w:rsidR="00AC285F">
        <w:rPr>
          <w:rFonts w:hint="cs"/>
          <w:rtl/>
        </w:rPr>
        <w:t xml:space="preserve">, באמצעות ביאה, החתן </w:t>
      </w:r>
      <w:r w:rsidR="00652028">
        <w:rPr>
          <w:rFonts w:hint="cs"/>
          <w:rtl/>
        </w:rPr>
        <w:t xml:space="preserve">והכלה נכנסים לחדר </w:t>
      </w:r>
      <w:r w:rsidR="00AC285F">
        <w:rPr>
          <w:rFonts w:hint="cs"/>
          <w:rtl/>
        </w:rPr>
        <w:t>בפני שני עדים</w:t>
      </w:r>
      <w:r w:rsidR="009D0A19">
        <w:rPr>
          <w:rFonts w:hint="cs"/>
          <w:rtl/>
        </w:rPr>
        <w:t xml:space="preserve">. </w:t>
      </w:r>
      <w:r w:rsidR="00652028">
        <w:rPr>
          <w:rFonts w:hint="cs"/>
          <w:rtl/>
        </w:rPr>
        <w:t>כמו כן, מעבר למעש</w:t>
      </w:r>
      <w:r w:rsidR="00A22C84">
        <w:rPr>
          <w:rFonts w:hint="cs"/>
          <w:rtl/>
        </w:rPr>
        <w:t>ה</w:t>
      </w:r>
      <w:r w:rsidR="00652028">
        <w:rPr>
          <w:rFonts w:hint="cs"/>
          <w:rtl/>
        </w:rPr>
        <w:t xml:space="preserve"> הקידושין </w:t>
      </w:r>
      <w:r w:rsidR="009374B7">
        <w:rPr>
          <w:rFonts w:hint="cs"/>
          <w:rtl/>
        </w:rPr>
        <w:t xml:space="preserve">והנישואין </w:t>
      </w:r>
      <w:r w:rsidR="00652028">
        <w:rPr>
          <w:rFonts w:hint="cs"/>
          <w:rtl/>
        </w:rPr>
        <w:t>שחובת</w:t>
      </w:r>
      <w:r w:rsidR="0037338D">
        <w:rPr>
          <w:rFonts w:hint="cs"/>
          <w:rtl/>
        </w:rPr>
        <w:t>ן</w:t>
      </w:r>
      <w:r w:rsidR="00652028">
        <w:rPr>
          <w:rFonts w:hint="cs"/>
          <w:rtl/>
        </w:rPr>
        <w:t xml:space="preserve"> מהתורה, תיקנו חכמים </w:t>
      </w:r>
      <w:r w:rsidR="0037338D">
        <w:rPr>
          <w:rFonts w:hint="cs"/>
          <w:rtl/>
        </w:rPr>
        <w:t xml:space="preserve">שחובה </w:t>
      </w:r>
      <w:r w:rsidR="007734E5">
        <w:rPr>
          <w:rFonts w:hint="cs"/>
          <w:rtl/>
        </w:rPr>
        <w:t xml:space="preserve">לברך שבע </w:t>
      </w:r>
      <w:r w:rsidR="00ED154C">
        <w:rPr>
          <w:rFonts w:hint="cs"/>
          <w:rtl/>
        </w:rPr>
        <w:t>ברכות בחופה.</w:t>
      </w:r>
      <w:r w:rsidR="00652028">
        <w:rPr>
          <w:rFonts w:hint="cs"/>
          <w:rtl/>
        </w:rPr>
        <w:t xml:space="preserve"> </w:t>
      </w:r>
    </w:p>
    <w:p w14:paraId="52B45135" w14:textId="20E17D4C" w:rsidR="002A3623" w:rsidRDefault="00AA7195" w:rsidP="005879B0">
      <w:pPr>
        <w:spacing w:after="80"/>
        <w:rPr>
          <w:rtl/>
        </w:rPr>
      </w:pPr>
      <w:r>
        <w:rPr>
          <w:rFonts w:hint="cs"/>
          <w:rtl/>
        </w:rPr>
        <w:t xml:space="preserve">למרות שכאמור מדין תורה ניתן לקדש בביאה, בפועל </w:t>
      </w:r>
      <w:r w:rsidR="00302336">
        <w:rPr>
          <w:rFonts w:hint="cs"/>
          <w:rtl/>
        </w:rPr>
        <w:t xml:space="preserve">הגמרא במסכת קידושין </w:t>
      </w:r>
      <w:r w:rsidR="00302336">
        <w:rPr>
          <w:rFonts w:hint="cs"/>
          <w:sz w:val="18"/>
          <w:szCs w:val="18"/>
          <w:rtl/>
        </w:rPr>
        <w:t>(יב ע''ב)</w:t>
      </w:r>
      <w:r>
        <w:rPr>
          <w:rFonts w:hint="cs"/>
          <w:rtl/>
        </w:rPr>
        <w:t xml:space="preserve"> </w:t>
      </w:r>
      <w:r w:rsidR="00302336">
        <w:rPr>
          <w:rFonts w:hint="cs"/>
          <w:rtl/>
        </w:rPr>
        <w:t xml:space="preserve">כותבת שרב גזר שלא </w:t>
      </w:r>
      <w:r>
        <w:rPr>
          <w:rFonts w:hint="cs"/>
          <w:rtl/>
        </w:rPr>
        <w:t>לעשות כך, כיוון שיש בכך פריצות</w:t>
      </w:r>
      <w:r w:rsidR="002A3623">
        <w:rPr>
          <w:rFonts w:hint="cs"/>
          <w:rtl/>
        </w:rPr>
        <w:t xml:space="preserve"> (</w:t>
      </w:r>
      <w:r w:rsidR="008A5F67">
        <w:rPr>
          <w:rFonts w:hint="cs"/>
          <w:rtl/>
        </w:rPr>
        <w:t>וכאשר בחתונה חלק מהזוגות מתייחד</w:t>
      </w:r>
      <w:r w:rsidR="00481E94">
        <w:rPr>
          <w:rFonts w:hint="cs"/>
          <w:rtl/>
        </w:rPr>
        <w:t>ים</w:t>
      </w:r>
      <w:r w:rsidR="008A5F67">
        <w:rPr>
          <w:rFonts w:hint="cs"/>
          <w:rtl/>
        </w:rPr>
        <w:t xml:space="preserve"> לאחר החופה, אין זה בגלל שכך מתבצעים מעשי הקידושין, אלא </w:t>
      </w:r>
      <w:r w:rsidR="002A3623">
        <w:rPr>
          <w:rFonts w:hint="cs"/>
          <w:rtl/>
        </w:rPr>
        <w:t>ש</w:t>
      </w:r>
      <w:r w:rsidR="008A5F67">
        <w:rPr>
          <w:rFonts w:hint="cs"/>
          <w:rtl/>
        </w:rPr>
        <w:t xml:space="preserve">לאחר הקידושין שנעשו עם טבעת, </w:t>
      </w:r>
      <w:r w:rsidR="002A3623">
        <w:rPr>
          <w:rFonts w:hint="cs"/>
          <w:rtl/>
        </w:rPr>
        <w:t xml:space="preserve">החתן צריך </w:t>
      </w:r>
      <w:r w:rsidR="008A5F67">
        <w:rPr>
          <w:rFonts w:hint="cs"/>
          <w:rtl/>
        </w:rPr>
        <w:t>להכניס את הכלה אל ביתו</w:t>
      </w:r>
      <w:r w:rsidR="002A3623">
        <w:rPr>
          <w:rStyle w:val="a5"/>
          <w:rtl/>
        </w:rPr>
        <w:footnoteReference w:id="1"/>
      </w:r>
      <w:r w:rsidR="002A3623">
        <w:rPr>
          <w:rFonts w:hint="cs"/>
          <w:rtl/>
        </w:rPr>
        <w:t>)</w:t>
      </w:r>
      <w:r w:rsidR="008A5F67">
        <w:rPr>
          <w:rFonts w:hint="cs"/>
          <w:rtl/>
        </w:rPr>
        <w:t>.</w:t>
      </w:r>
    </w:p>
    <w:p w14:paraId="21235D8E" w14:textId="3624656B" w:rsidR="00F539F1" w:rsidRDefault="008D3509" w:rsidP="005879B0">
      <w:pPr>
        <w:spacing w:after="80"/>
        <w:rPr>
          <w:u w:val="single"/>
          <w:rtl/>
        </w:rPr>
      </w:pPr>
      <w:r>
        <w:rPr>
          <w:rFonts w:hint="cs"/>
          <w:u w:val="single"/>
          <w:rtl/>
        </w:rPr>
        <w:t>אין אדם חוטא</w:t>
      </w:r>
    </w:p>
    <w:p w14:paraId="7AF226A8" w14:textId="3099A8CC" w:rsidR="00F539F1" w:rsidRDefault="00F539F1" w:rsidP="005879B0">
      <w:pPr>
        <w:spacing w:after="80"/>
        <w:rPr>
          <w:rtl/>
        </w:rPr>
      </w:pPr>
      <w:r>
        <w:rPr>
          <w:rFonts w:hint="cs"/>
          <w:rtl/>
        </w:rPr>
        <w:t>כאמור, רב גזר שאין לקדש בביאה, אך בכל זאת במקרה בו אדם עבר על תקנתו</w:t>
      </w:r>
      <w:r w:rsidR="006516AB">
        <w:rPr>
          <w:rFonts w:hint="cs"/>
          <w:rtl/>
        </w:rPr>
        <w:t xml:space="preserve"> והתייחד בעדים - </w:t>
      </w:r>
      <w:r>
        <w:rPr>
          <w:rFonts w:hint="cs"/>
          <w:rtl/>
        </w:rPr>
        <w:t>הקידושין חלים.</w:t>
      </w:r>
      <w:r w:rsidR="00605F70">
        <w:rPr>
          <w:rFonts w:hint="cs"/>
          <w:rtl/>
        </w:rPr>
        <w:t xml:space="preserve"> כאשר אדם מתחתן בקפריסין וכדומה, וודאי שאין </w:t>
      </w:r>
      <w:r w:rsidR="007274A1">
        <w:rPr>
          <w:rFonts w:hint="cs"/>
          <w:rtl/>
        </w:rPr>
        <w:t xml:space="preserve">למעשה הנישואין </w:t>
      </w:r>
      <w:r w:rsidR="00605F70">
        <w:rPr>
          <w:rFonts w:hint="cs"/>
          <w:rtl/>
        </w:rPr>
        <w:t xml:space="preserve">שום משמעות הלכתית, אלא שדנו המפרשים האם יש מקום לומר שהם נשואים בכל זאת, </w:t>
      </w:r>
      <w:r w:rsidR="003B779D">
        <w:rPr>
          <w:rFonts w:hint="cs"/>
          <w:rtl/>
        </w:rPr>
        <w:t>מפני</w:t>
      </w:r>
      <w:r w:rsidR="00605F70">
        <w:rPr>
          <w:rFonts w:hint="cs"/>
          <w:rtl/>
        </w:rPr>
        <w:t xml:space="preserve"> שלאחר מכן הוא מתייחד עימה בביתו, דיון </w:t>
      </w:r>
      <w:r w:rsidR="008932F6">
        <w:rPr>
          <w:rFonts w:hint="cs"/>
          <w:rtl/>
        </w:rPr>
        <w:t>הק</w:t>
      </w:r>
      <w:r w:rsidR="00463967">
        <w:rPr>
          <w:rFonts w:hint="cs"/>
          <w:rtl/>
        </w:rPr>
        <w:t xml:space="preserve">שור 'לאין אדם עושה בעילתו בעילת זנות': </w:t>
      </w:r>
    </w:p>
    <w:p w14:paraId="37D3937C" w14:textId="7C9AEDC7" w:rsidR="00463967" w:rsidRPr="004C7710" w:rsidRDefault="00463967" w:rsidP="005879B0">
      <w:pPr>
        <w:spacing w:after="80"/>
        <w:rPr>
          <w:rtl/>
        </w:rPr>
      </w:pPr>
      <w:r>
        <w:rPr>
          <w:rtl/>
        </w:rPr>
        <w:t xml:space="preserve">הגמרא </w:t>
      </w:r>
      <w:r>
        <w:rPr>
          <w:rFonts w:hint="cs"/>
          <w:rtl/>
        </w:rPr>
        <w:t xml:space="preserve">במסכת </w:t>
      </w:r>
      <w:r>
        <w:rPr>
          <w:rtl/>
        </w:rPr>
        <w:t xml:space="preserve">גיטין </w:t>
      </w:r>
      <w:r>
        <w:rPr>
          <w:sz w:val="18"/>
          <w:szCs w:val="18"/>
          <w:rtl/>
        </w:rPr>
        <w:t xml:space="preserve">(פא ע''א) </w:t>
      </w:r>
      <w:r>
        <w:rPr>
          <w:rtl/>
        </w:rPr>
        <w:t>מביאה מחלוקת בין בית שמאי ל</w:t>
      </w:r>
      <w:r w:rsidR="00175DB2">
        <w:rPr>
          <w:rFonts w:hint="cs"/>
          <w:rtl/>
        </w:rPr>
        <w:t xml:space="preserve">בין </w:t>
      </w:r>
      <w:r>
        <w:rPr>
          <w:rtl/>
        </w:rPr>
        <w:t>בית הלל</w:t>
      </w:r>
      <w:r w:rsidR="00922BD7">
        <w:rPr>
          <w:rFonts w:hint="cs"/>
          <w:rtl/>
        </w:rPr>
        <w:t>,</w:t>
      </w:r>
      <w:r>
        <w:rPr>
          <w:rtl/>
        </w:rPr>
        <w:t xml:space="preserve"> האם חוששים ש</w:t>
      </w:r>
      <w:r w:rsidR="00922BD7">
        <w:rPr>
          <w:rFonts w:hint="cs"/>
          <w:rtl/>
        </w:rPr>
        <w:t xml:space="preserve">אדם שהתייחד עם גרושתו </w:t>
      </w:r>
      <w:r>
        <w:rPr>
          <w:rtl/>
        </w:rPr>
        <w:t xml:space="preserve">בעל </w:t>
      </w:r>
      <w:r w:rsidR="00922BD7">
        <w:rPr>
          <w:rFonts w:hint="cs"/>
          <w:rtl/>
        </w:rPr>
        <w:t xml:space="preserve">אותה </w:t>
      </w:r>
      <w:r>
        <w:rPr>
          <w:rtl/>
        </w:rPr>
        <w:t>לשם קידושין</w:t>
      </w:r>
      <w:r w:rsidR="00922BD7">
        <w:rPr>
          <w:rFonts w:hint="cs"/>
          <w:rtl/>
        </w:rPr>
        <w:t>,</w:t>
      </w:r>
      <w:r>
        <w:rPr>
          <w:rtl/>
        </w:rPr>
        <w:t xml:space="preserve"> והיא תצטרך גט</w:t>
      </w:r>
      <w:r w:rsidR="00F73A5A">
        <w:rPr>
          <w:rFonts w:hint="cs"/>
          <w:rtl/>
        </w:rPr>
        <w:t xml:space="preserve">. </w:t>
      </w:r>
      <w:r w:rsidR="00F73A5A">
        <w:rPr>
          <w:rtl/>
        </w:rPr>
        <w:t xml:space="preserve">הגמרא </w:t>
      </w:r>
      <w:r w:rsidR="00234DB3">
        <w:rPr>
          <w:rFonts w:hint="cs"/>
          <w:rtl/>
        </w:rPr>
        <w:t xml:space="preserve">ייסוד המחלוקת הוא, </w:t>
      </w:r>
      <w:r w:rsidR="00F73A5A">
        <w:rPr>
          <w:rtl/>
        </w:rPr>
        <w:t xml:space="preserve">האם אדם עושה בעילתו בעילת זנות, לדעת </w:t>
      </w:r>
      <w:r w:rsidR="004C7710">
        <w:rPr>
          <w:rFonts w:hint="cs"/>
          <w:rtl/>
        </w:rPr>
        <w:t xml:space="preserve">בית שמאי </w:t>
      </w:r>
      <w:r w:rsidR="00F73A5A">
        <w:rPr>
          <w:rtl/>
        </w:rPr>
        <w:t>אדם עושה בעילתו בעילת זנות ולכן היא לא מקודשת</w:t>
      </w:r>
      <w:r w:rsidR="004C7710">
        <w:rPr>
          <w:rFonts w:hint="cs"/>
          <w:rtl/>
        </w:rPr>
        <w:t>,</w:t>
      </w:r>
      <w:r w:rsidR="00F73A5A">
        <w:rPr>
          <w:rtl/>
        </w:rPr>
        <w:t xml:space="preserve"> ולדעת בית הלל </w:t>
      </w:r>
      <w:r w:rsidR="004C7710">
        <w:rPr>
          <w:rFonts w:hint="cs"/>
          <w:rtl/>
        </w:rPr>
        <w:t xml:space="preserve">אין אדם עושה </w:t>
      </w:r>
      <w:r w:rsidR="00F73A5A">
        <w:rPr>
          <w:rtl/>
        </w:rPr>
        <w:t>ולכן היא מקודשת</w:t>
      </w:r>
      <w:r w:rsidR="0028606F">
        <w:rPr>
          <w:rFonts w:hint="cs"/>
          <w:rtl/>
        </w:rPr>
        <w:t>.</w:t>
      </w:r>
      <w:r w:rsidR="004C7710">
        <w:rPr>
          <w:rFonts w:hint="cs"/>
          <w:rtl/>
        </w:rPr>
        <w:t xml:space="preserve"> ובלשון </w:t>
      </w:r>
      <w:r w:rsidR="00B63A89">
        <w:rPr>
          <w:rFonts w:hint="cs"/>
          <w:rtl/>
        </w:rPr>
        <w:t>המשנה</w:t>
      </w:r>
      <w:r w:rsidR="004C7710">
        <w:rPr>
          <w:rFonts w:hint="cs"/>
          <w:rtl/>
        </w:rPr>
        <w:t>:</w:t>
      </w:r>
    </w:p>
    <w:p w14:paraId="55037D9A" w14:textId="6E4BD3A1" w:rsidR="00463967" w:rsidRDefault="00463967" w:rsidP="005879B0">
      <w:pPr>
        <w:pStyle w:val="a6"/>
        <w:spacing w:after="80"/>
        <w:rPr>
          <w:rtl/>
        </w:rPr>
      </w:pPr>
      <w:r>
        <w:rPr>
          <w:rFonts w:hint="cs"/>
          <w:rtl/>
        </w:rPr>
        <w:t>''משנה:</w:t>
      </w:r>
      <w:r>
        <w:rPr>
          <w:rtl/>
        </w:rPr>
        <w:t xml:space="preserve"> המגרש את אשתו ולנה עמו בפונדקי, </w:t>
      </w:r>
      <w:r>
        <w:rPr>
          <w:rFonts w:hint="cs"/>
          <w:rtl/>
        </w:rPr>
        <w:t xml:space="preserve">בית שמאי </w:t>
      </w:r>
      <w:r>
        <w:rPr>
          <w:rtl/>
        </w:rPr>
        <w:t xml:space="preserve">אומרים: אינה צריכה הימנו גט שני, </w:t>
      </w:r>
      <w:r>
        <w:rPr>
          <w:rFonts w:hint="cs"/>
          <w:rtl/>
        </w:rPr>
        <w:t>ובית הלל אומרים</w:t>
      </w:r>
      <w:r>
        <w:rPr>
          <w:rtl/>
        </w:rPr>
        <w:t xml:space="preserve"> צריכה הימנו גט שני. אימתי? בזמן שנתגרשה מן הנשואין. ומודים, בנתגרשה מן האירוסין - שאינה צריכה הימנו גט שני, מפני שאין לבו גס בה.</w:t>
      </w:r>
      <w:r>
        <w:rPr>
          <w:rFonts w:hint="cs"/>
          <w:rtl/>
        </w:rPr>
        <w:t>''</w:t>
      </w:r>
    </w:p>
    <w:p w14:paraId="06606399" w14:textId="3C0B4ED8" w:rsidR="00605F70" w:rsidRDefault="006816A4" w:rsidP="005879B0">
      <w:pPr>
        <w:spacing w:after="80"/>
        <w:rPr>
          <w:rtl/>
        </w:rPr>
      </w:pPr>
      <w:r>
        <w:rPr>
          <w:rFonts w:hint="cs"/>
          <w:rtl/>
        </w:rPr>
        <w:t xml:space="preserve">להלכה נפסק כבית הלל, אלא שהם אמרו את דינם ביחס לגרוש וגרושה, </w:t>
      </w:r>
      <w:r w:rsidR="00EC6A94">
        <w:rPr>
          <w:rFonts w:hint="cs"/>
          <w:rtl/>
        </w:rPr>
        <w:t>ו</w:t>
      </w:r>
      <w:r>
        <w:rPr>
          <w:rFonts w:hint="cs"/>
          <w:rtl/>
        </w:rPr>
        <w:t xml:space="preserve">נחלקו המפרשים מה הדין בפנוי </w:t>
      </w:r>
      <w:r w:rsidR="00175FE7">
        <w:rPr>
          <w:rFonts w:hint="cs"/>
          <w:rtl/>
        </w:rPr>
        <w:t>ו</w:t>
      </w:r>
      <w:r>
        <w:rPr>
          <w:rFonts w:hint="cs"/>
          <w:rtl/>
        </w:rPr>
        <w:t xml:space="preserve">פנויה. </w:t>
      </w:r>
      <w:r w:rsidR="005713E2">
        <w:rPr>
          <w:rFonts w:hint="cs"/>
          <w:rtl/>
        </w:rPr>
        <w:t xml:space="preserve">א. </w:t>
      </w:r>
      <w:r w:rsidR="003E3824" w:rsidRPr="003E3824">
        <w:rPr>
          <w:b/>
          <w:bCs/>
          <w:rtl/>
        </w:rPr>
        <w:t>הגאונים</w:t>
      </w:r>
      <w:r w:rsidR="003E3824">
        <w:rPr>
          <w:rtl/>
        </w:rPr>
        <w:t xml:space="preserve"> </w:t>
      </w:r>
      <w:r w:rsidR="003E3824">
        <w:rPr>
          <w:rFonts w:hint="cs"/>
          <w:sz w:val="18"/>
          <w:szCs w:val="18"/>
          <w:rtl/>
        </w:rPr>
        <w:t>(</w:t>
      </w:r>
      <w:r w:rsidR="00786BE0">
        <w:rPr>
          <w:rFonts w:hint="cs"/>
          <w:sz w:val="18"/>
          <w:szCs w:val="18"/>
          <w:rtl/>
        </w:rPr>
        <w:t>גירושין י, יט</w:t>
      </w:r>
      <w:r w:rsidR="003E3824">
        <w:rPr>
          <w:rFonts w:hint="cs"/>
          <w:sz w:val="18"/>
          <w:szCs w:val="18"/>
          <w:rtl/>
        </w:rPr>
        <w:t xml:space="preserve">) </w:t>
      </w:r>
      <w:r w:rsidR="00786BE0">
        <w:rPr>
          <w:rFonts w:hint="cs"/>
          <w:rtl/>
        </w:rPr>
        <w:t>סברו</w:t>
      </w:r>
      <w:r w:rsidR="002B1728">
        <w:rPr>
          <w:rFonts w:hint="cs"/>
          <w:rtl/>
        </w:rPr>
        <w:t>,</w:t>
      </w:r>
      <w:r w:rsidR="00786BE0">
        <w:rPr>
          <w:rFonts w:hint="cs"/>
          <w:rtl/>
        </w:rPr>
        <w:t xml:space="preserve"> </w:t>
      </w:r>
      <w:r w:rsidR="003E3824">
        <w:rPr>
          <w:rtl/>
        </w:rPr>
        <w:t xml:space="preserve">שכל </w:t>
      </w:r>
      <w:r w:rsidR="00175FE7">
        <w:rPr>
          <w:rFonts w:hint="cs"/>
          <w:rtl/>
        </w:rPr>
        <w:t xml:space="preserve">התייחדות </w:t>
      </w:r>
      <w:r w:rsidR="00155038">
        <w:rPr>
          <w:rFonts w:hint="cs"/>
          <w:rtl/>
        </w:rPr>
        <w:t>עם</w:t>
      </w:r>
      <w:r w:rsidR="003E3824">
        <w:rPr>
          <w:rtl/>
        </w:rPr>
        <w:t xml:space="preserve"> פנויה </w:t>
      </w:r>
      <w:r w:rsidR="00250C8A">
        <w:rPr>
          <w:rFonts w:hint="cs"/>
          <w:rtl/>
        </w:rPr>
        <w:t>ב</w:t>
      </w:r>
      <w:r w:rsidR="003E3824">
        <w:rPr>
          <w:rtl/>
        </w:rPr>
        <w:t>עדים מוגדרת כבעילה לשם קידושין</w:t>
      </w:r>
      <w:r w:rsidR="005713E2">
        <w:rPr>
          <w:rFonts w:hint="cs"/>
          <w:rtl/>
        </w:rPr>
        <w:t>.</w:t>
      </w:r>
      <w:r w:rsidR="003E3824">
        <w:rPr>
          <w:rtl/>
        </w:rPr>
        <w:t xml:space="preserve"> </w:t>
      </w:r>
      <w:r w:rsidR="005713E2">
        <w:rPr>
          <w:rFonts w:hint="cs"/>
          <w:rtl/>
        </w:rPr>
        <w:t xml:space="preserve">ב. </w:t>
      </w:r>
      <w:r w:rsidR="003E3824" w:rsidRPr="00786BE0">
        <w:rPr>
          <w:b/>
          <w:bCs/>
          <w:rtl/>
        </w:rPr>
        <w:t>הרמב''ם</w:t>
      </w:r>
      <w:r w:rsidR="003E3824">
        <w:rPr>
          <w:rtl/>
        </w:rPr>
        <w:t xml:space="preserve"> </w:t>
      </w:r>
      <w:r w:rsidR="00786BE0">
        <w:rPr>
          <w:rFonts w:hint="cs"/>
          <w:sz w:val="18"/>
          <w:szCs w:val="18"/>
          <w:rtl/>
        </w:rPr>
        <w:t xml:space="preserve">(שם) </w:t>
      </w:r>
      <w:r w:rsidR="003E3824">
        <w:rPr>
          <w:rtl/>
        </w:rPr>
        <w:t xml:space="preserve">חלק וסבר שרק כאשר היה קשר </w:t>
      </w:r>
      <w:r w:rsidR="005713E2">
        <w:rPr>
          <w:rFonts w:hint="cs"/>
          <w:rtl/>
        </w:rPr>
        <w:t>ב</w:t>
      </w:r>
      <w:r w:rsidR="00EB3732">
        <w:rPr>
          <w:rFonts w:hint="cs"/>
          <w:rtl/>
        </w:rPr>
        <w:t>י</w:t>
      </w:r>
      <w:r w:rsidR="005713E2">
        <w:rPr>
          <w:rFonts w:hint="cs"/>
          <w:rtl/>
        </w:rPr>
        <w:t xml:space="preserve">ניהם, לדוגמא </w:t>
      </w:r>
      <w:r w:rsidR="003E3824">
        <w:rPr>
          <w:rtl/>
        </w:rPr>
        <w:t xml:space="preserve">היו נשואים בעבר או </w:t>
      </w:r>
      <w:r w:rsidR="00AD2FFD">
        <w:rPr>
          <w:rFonts w:hint="cs"/>
          <w:rtl/>
        </w:rPr>
        <w:t>ב</w:t>
      </w:r>
      <w:r w:rsidR="003E3824">
        <w:rPr>
          <w:rtl/>
        </w:rPr>
        <w:t>תהליכי נ</w:t>
      </w:r>
      <w:r w:rsidR="00B60883">
        <w:rPr>
          <w:rFonts w:hint="cs"/>
          <w:rtl/>
        </w:rPr>
        <w:t>י</w:t>
      </w:r>
      <w:r w:rsidR="003E3824">
        <w:rPr>
          <w:rtl/>
        </w:rPr>
        <w:t>שואין בהווה</w:t>
      </w:r>
      <w:r w:rsidR="005713E2">
        <w:rPr>
          <w:rFonts w:hint="cs"/>
          <w:rtl/>
        </w:rPr>
        <w:t>, אז</w:t>
      </w:r>
      <w:r w:rsidR="003E3824">
        <w:rPr>
          <w:rtl/>
        </w:rPr>
        <w:t xml:space="preserve"> הביאה תוגדר כביאה לשם </w:t>
      </w:r>
      <w:r w:rsidR="005C5B32">
        <w:rPr>
          <w:rFonts w:hint="cs"/>
          <w:rtl/>
        </w:rPr>
        <w:t>קידושין</w:t>
      </w:r>
      <w:r w:rsidR="00AD2FFD">
        <w:rPr>
          <w:rFonts w:hint="cs"/>
          <w:rtl/>
        </w:rPr>
        <w:t>, ולא בסתם פנוי ופנויה</w:t>
      </w:r>
      <w:r w:rsidR="003E3824">
        <w:rPr>
          <w:rtl/>
        </w:rPr>
        <w:t>.</w:t>
      </w:r>
    </w:p>
    <w:p w14:paraId="29907852" w14:textId="2190900B" w:rsidR="004E2088" w:rsidRDefault="007345BE" w:rsidP="005879B0">
      <w:pPr>
        <w:spacing w:after="80"/>
        <w:rPr>
          <w:rtl/>
        </w:rPr>
      </w:pPr>
      <w:r>
        <w:rPr>
          <w:rFonts w:hint="cs"/>
          <w:rtl/>
        </w:rPr>
        <w:t xml:space="preserve">במה נחלקו? </w:t>
      </w:r>
      <w:r w:rsidR="004E2088" w:rsidRPr="004E2088">
        <w:rPr>
          <w:b/>
          <w:bCs/>
          <w:rtl/>
        </w:rPr>
        <w:t>האור שמח</w:t>
      </w:r>
      <w:r w:rsidR="004E2088">
        <w:rPr>
          <w:rtl/>
        </w:rPr>
        <w:t xml:space="preserve"> </w:t>
      </w:r>
      <w:r w:rsidR="00306F6E" w:rsidRPr="002A70C5">
        <w:rPr>
          <w:rFonts w:hint="cs"/>
          <w:sz w:val="18"/>
          <w:szCs w:val="18"/>
          <w:rtl/>
        </w:rPr>
        <w:t>(שם ד''ה והמכוון)</w:t>
      </w:r>
      <w:r w:rsidR="00306F6E">
        <w:rPr>
          <w:rFonts w:hint="cs"/>
          <w:sz w:val="20"/>
          <w:szCs w:val="20"/>
          <w:rtl/>
        </w:rPr>
        <w:t xml:space="preserve"> </w:t>
      </w:r>
      <w:r w:rsidR="004E2088">
        <w:rPr>
          <w:rFonts w:hint="cs"/>
          <w:rtl/>
        </w:rPr>
        <w:t>ביאר</w:t>
      </w:r>
      <w:r w:rsidR="00F0294D">
        <w:rPr>
          <w:rFonts w:hint="cs"/>
          <w:rtl/>
        </w:rPr>
        <w:t>,</w:t>
      </w:r>
      <w:r w:rsidR="004E2088">
        <w:rPr>
          <w:rFonts w:hint="cs"/>
          <w:rtl/>
        </w:rPr>
        <w:t xml:space="preserve"> </w:t>
      </w:r>
      <w:r w:rsidR="004E2088">
        <w:rPr>
          <w:rtl/>
        </w:rPr>
        <w:t xml:space="preserve">שנחלקו בביאור המושג </w:t>
      </w:r>
      <w:r w:rsidR="004E2088">
        <w:rPr>
          <w:rFonts w:hint="cs"/>
          <w:rtl/>
        </w:rPr>
        <w:t>אין אדם עושה בעילתו בעילת זנות.</w:t>
      </w:r>
      <w:r w:rsidR="004E2088">
        <w:rPr>
          <w:rtl/>
        </w:rPr>
        <w:t xml:space="preserve"> לדעת הגאונים אדם אינו רוצה לחטוא, לכן כאשר הוא בועל פנויה, מסתמא דעתו לקדש אותה. לעומת זאת הרמב''ם מבין</w:t>
      </w:r>
      <w:r w:rsidR="003E4C08">
        <w:rPr>
          <w:rFonts w:hint="cs"/>
          <w:rtl/>
        </w:rPr>
        <w:t xml:space="preserve"> </w:t>
      </w:r>
      <w:r w:rsidR="004E2088">
        <w:rPr>
          <w:rtl/>
        </w:rPr>
        <w:t xml:space="preserve">שאין לאדם בעיה לעבור </w:t>
      </w:r>
      <w:r w:rsidR="003E4C08">
        <w:rPr>
          <w:rFonts w:hint="cs"/>
          <w:rtl/>
        </w:rPr>
        <w:t>עבירות</w:t>
      </w:r>
      <w:r w:rsidR="005146B1">
        <w:rPr>
          <w:rFonts w:hint="cs"/>
          <w:rtl/>
        </w:rPr>
        <w:t xml:space="preserve">, </w:t>
      </w:r>
      <w:r w:rsidR="004E2088">
        <w:rPr>
          <w:rtl/>
        </w:rPr>
        <w:t xml:space="preserve">אלא </w:t>
      </w:r>
      <w:r w:rsidR="005146B1">
        <w:rPr>
          <w:rFonts w:hint="cs"/>
          <w:rtl/>
        </w:rPr>
        <w:t>ש</w:t>
      </w:r>
      <w:r w:rsidR="00306F6E">
        <w:rPr>
          <w:rFonts w:hint="cs"/>
          <w:rtl/>
        </w:rPr>
        <w:t xml:space="preserve">במקרה בו </w:t>
      </w:r>
      <w:r w:rsidR="00F912F6">
        <w:rPr>
          <w:rFonts w:hint="cs"/>
          <w:rtl/>
        </w:rPr>
        <w:t xml:space="preserve">אותו אדם </w:t>
      </w:r>
      <w:r w:rsidR="00F67211">
        <w:rPr>
          <w:rFonts w:hint="cs"/>
          <w:rtl/>
        </w:rPr>
        <w:t xml:space="preserve">גם ככה </w:t>
      </w:r>
      <w:r w:rsidR="00F912F6">
        <w:rPr>
          <w:rFonts w:hint="cs"/>
          <w:rtl/>
        </w:rPr>
        <w:t xml:space="preserve">מתכוון </w:t>
      </w:r>
      <w:r w:rsidR="00690397">
        <w:rPr>
          <w:rFonts w:hint="cs"/>
          <w:rtl/>
        </w:rPr>
        <w:t>לחיות</w:t>
      </w:r>
      <w:r w:rsidR="00F912F6">
        <w:rPr>
          <w:rFonts w:hint="cs"/>
          <w:rtl/>
        </w:rPr>
        <w:t xml:space="preserve"> עם אותה אשה</w:t>
      </w:r>
      <w:r w:rsidR="00306F6E">
        <w:rPr>
          <w:rFonts w:hint="cs"/>
          <w:rtl/>
        </w:rPr>
        <w:t>, הוא מעדיף שלא לעשות זאת בחטא</w:t>
      </w:r>
      <w:r w:rsidR="00BC3442">
        <w:rPr>
          <w:rFonts w:hint="cs"/>
          <w:rtl/>
        </w:rPr>
        <w:t>.</w:t>
      </w:r>
      <w:r w:rsidR="00E202E1">
        <w:rPr>
          <w:rFonts w:hint="cs"/>
          <w:rtl/>
        </w:rPr>
        <w:t xml:space="preserve"> ובלשונו:</w:t>
      </w:r>
    </w:p>
    <w:p w14:paraId="7BD524EE" w14:textId="1912D6A7" w:rsidR="00306F6E" w:rsidRDefault="002145AF" w:rsidP="005879B0">
      <w:pPr>
        <w:spacing w:after="80"/>
        <w:ind w:left="720"/>
        <w:rPr>
          <w:rFonts w:cs="Arial"/>
          <w:rtl/>
        </w:rPr>
      </w:pPr>
      <w:r>
        <w:rPr>
          <w:rFonts w:cs="Arial" w:hint="cs"/>
          <w:rtl/>
        </w:rPr>
        <w:t>''</w:t>
      </w:r>
      <w:r w:rsidR="009D2F64" w:rsidRPr="009D2F64">
        <w:rPr>
          <w:rFonts w:cs="Arial"/>
          <w:rtl/>
        </w:rPr>
        <w:t>הורו מקצת מגאונים שכל אשה שתבעל בפני עדים צריכה גט, ואין ראוי לסמוך עליהן</w:t>
      </w:r>
      <w:r w:rsidR="00C145B2">
        <w:rPr>
          <w:rFonts w:cs="Arial" w:hint="cs"/>
          <w:rtl/>
        </w:rPr>
        <w:t xml:space="preserve">, </w:t>
      </w:r>
      <w:r w:rsidR="009D2F64" w:rsidRPr="009D2F64">
        <w:rPr>
          <w:rFonts w:cs="Arial"/>
          <w:rtl/>
        </w:rPr>
        <w:t>ובאשתו הוא שחזקתו שאינו עושה בעילתו זנות</w:t>
      </w:r>
      <w:r w:rsidR="009D2F64">
        <w:rPr>
          <w:rFonts w:cs="Arial" w:hint="cs"/>
          <w:rtl/>
        </w:rPr>
        <w:t xml:space="preserve">. </w:t>
      </w:r>
      <w:r w:rsidR="00306F6E" w:rsidRPr="00306F6E">
        <w:rPr>
          <w:rFonts w:cs="Arial"/>
          <w:rtl/>
        </w:rPr>
        <w:t>והמכוון מדברי רבינו</w:t>
      </w:r>
      <w:r w:rsidR="00A355A7">
        <w:rPr>
          <w:rFonts w:cs="Arial" w:hint="cs"/>
          <w:rtl/>
        </w:rPr>
        <w:t>,</w:t>
      </w:r>
      <w:r w:rsidR="00306F6E" w:rsidRPr="00306F6E">
        <w:rPr>
          <w:rFonts w:cs="Arial"/>
          <w:rtl/>
        </w:rPr>
        <w:t xml:space="preserve"> דלא מן חומר האיסור דבעילת זנות אמרו חזקה זו, רק באשתו אמרינן דמתחרט על הגט, או בועל שלא לשם תנאי, אבל לומר מחזקה שמקדש אשה דעלמא, זה לא אמרינן</w:t>
      </w:r>
      <w:r w:rsidR="00C145B2">
        <w:rPr>
          <w:rFonts w:cs="Arial" w:hint="cs"/>
          <w:rtl/>
        </w:rPr>
        <w:t>.''</w:t>
      </w:r>
    </w:p>
    <w:p w14:paraId="2E1C4CC3" w14:textId="4F129479" w:rsidR="00E42D7A" w:rsidRDefault="00342C14" w:rsidP="005879B0">
      <w:pPr>
        <w:spacing w:after="80"/>
        <w:rPr>
          <w:rtl/>
        </w:rPr>
      </w:pPr>
      <w:r>
        <w:rPr>
          <w:rFonts w:cs="Arial" w:hint="cs"/>
          <w:rtl/>
        </w:rPr>
        <w:t>בנוסף ל</w:t>
      </w:r>
      <w:r w:rsidR="00EA1CA3">
        <w:rPr>
          <w:rFonts w:cs="Arial" w:hint="cs"/>
          <w:rtl/>
        </w:rPr>
        <w:t>מחלוקת ב</w:t>
      </w:r>
      <w:r>
        <w:rPr>
          <w:rFonts w:cs="Arial" w:hint="cs"/>
          <w:rtl/>
        </w:rPr>
        <w:t>מקרה של ייחוד פנוי ופנויה, האור שמח כתב שישנה מחלוקת ב</w:t>
      </w:r>
      <w:r w:rsidR="00051D0D">
        <w:rPr>
          <w:rFonts w:cs="Arial" w:hint="cs"/>
          <w:rtl/>
        </w:rPr>
        <w:t>י</w:t>
      </w:r>
      <w:r>
        <w:rPr>
          <w:rFonts w:cs="Arial" w:hint="cs"/>
          <w:rtl/>
        </w:rPr>
        <w:t xml:space="preserve">ניהם </w:t>
      </w:r>
      <w:r w:rsidR="002A5BC7">
        <w:rPr>
          <w:rFonts w:cs="Arial" w:hint="cs"/>
          <w:rtl/>
        </w:rPr>
        <w:t xml:space="preserve">במקרה בו </w:t>
      </w:r>
      <w:r w:rsidR="005A7930">
        <w:rPr>
          <w:rFonts w:hint="cs"/>
          <w:rtl/>
        </w:rPr>
        <w:t xml:space="preserve">אדם התייחד עם גרושתו, בזמן </w:t>
      </w:r>
      <w:r w:rsidR="00D17E3B">
        <w:rPr>
          <w:rFonts w:hint="cs"/>
          <w:rtl/>
        </w:rPr>
        <w:t xml:space="preserve">שהיא </w:t>
      </w:r>
      <w:r w:rsidR="005A7930">
        <w:rPr>
          <w:rFonts w:hint="cs"/>
          <w:rtl/>
        </w:rPr>
        <w:t xml:space="preserve">לא הייתה טהורה. לדעת הגאונים היא לא תהיה מקודשת, שהרי הטעם שאין אדם עושה בעילתו בעילת זנות </w:t>
      </w:r>
      <w:r w:rsidR="00E42D7A">
        <w:rPr>
          <w:rFonts w:hint="cs"/>
          <w:rtl/>
        </w:rPr>
        <w:t xml:space="preserve">ומתכוון לנישואין הוא כדי לא לחטוא, ופה שגם ככה הוא חוטא אין הוא מתכוון לשם קידושין. </w:t>
      </w:r>
    </w:p>
    <w:p w14:paraId="68AA8FB0" w14:textId="5DDD0E78" w:rsidR="007345BE" w:rsidRPr="00A355A7" w:rsidRDefault="00E42D7A" w:rsidP="00CE0801">
      <w:pPr>
        <w:spacing w:after="80"/>
        <w:rPr>
          <w:rtl/>
        </w:rPr>
      </w:pPr>
      <w:r>
        <w:rPr>
          <w:rFonts w:hint="cs"/>
          <w:rtl/>
        </w:rPr>
        <w:t xml:space="preserve">לעומת זאת לדעת הרמב''ם, </w:t>
      </w:r>
      <w:r w:rsidR="004449EE">
        <w:rPr>
          <w:rFonts w:hint="cs"/>
          <w:rtl/>
        </w:rPr>
        <w:t xml:space="preserve">כיוון </w:t>
      </w:r>
      <w:r>
        <w:rPr>
          <w:rFonts w:hint="cs"/>
          <w:rtl/>
        </w:rPr>
        <w:t>שהסיבה ש</w:t>
      </w:r>
      <w:r w:rsidR="004449EE">
        <w:rPr>
          <w:rFonts w:hint="cs"/>
          <w:rtl/>
        </w:rPr>
        <w:t xml:space="preserve">אין אדם עושה בעילתו בעילת זנות </w:t>
      </w:r>
      <w:r w:rsidR="00FC097D">
        <w:rPr>
          <w:rFonts w:hint="cs"/>
          <w:rtl/>
        </w:rPr>
        <w:t xml:space="preserve">היא, </w:t>
      </w:r>
      <w:r w:rsidR="004449EE">
        <w:rPr>
          <w:rFonts w:hint="cs"/>
          <w:rtl/>
        </w:rPr>
        <w:t xml:space="preserve">כי </w:t>
      </w:r>
      <w:r w:rsidR="009C3C30">
        <w:rPr>
          <w:rFonts w:hint="cs"/>
          <w:rtl/>
        </w:rPr>
        <w:t xml:space="preserve">אדם </w:t>
      </w:r>
      <w:r w:rsidR="004449EE">
        <w:rPr>
          <w:rFonts w:hint="cs"/>
          <w:rtl/>
        </w:rPr>
        <w:t xml:space="preserve">אומר לעצמו שאם </w:t>
      </w:r>
      <w:r w:rsidR="000772EA">
        <w:rPr>
          <w:rFonts w:hint="cs"/>
          <w:rtl/>
        </w:rPr>
        <w:t>ממילא</w:t>
      </w:r>
      <w:r w:rsidR="004449EE">
        <w:rPr>
          <w:rFonts w:hint="cs"/>
          <w:rtl/>
        </w:rPr>
        <w:t xml:space="preserve"> הוא </w:t>
      </w:r>
      <w:r>
        <w:rPr>
          <w:rFonts w:hint="cs"/>
          <w:rtl/>
        </w:rPr>
        <w:t xml:space="preserve">מתכוון </w:t>
      </w:r>
      <w:r w:rsidR="00D5772D">
        <w:rPr>
          <w:rFonts w:hint="cs"/>
          <w:rtl/>
        </w:rPr>
        <w:t>ל</w:t>
      </w:r>
      <w:r w:rsidR="00AE552A">
        <w:rPr>
          <w:rFonts w:hint="cs"/>
          <w:rtl/>
        </w:rPr>
        <w:t>ח</w:t>
      </w:r>
      <w:r w:rsidR="00D5772D">
        <w:rPr>
          <w:rFonts w:hint="cs"/>
          <w:rtl/>
        </w:rPr>
        <w:t>יות עם אותה אשה</w:t>
      </w:r>
      <w:r w:rsidR="00AE552A">
        <w:rPr>
          <w:rFonts w:hint="cs"/>
          <w:rtl/>
        </w:rPr>
        <w:t>,</w:t>
      </w:r>
      <w:r>
        <w:rPr>
          <w:rFonts w:hint="cs"/>
          <w:rtl/>
        </w:rPr>
        <w:t xml:space="preserve"> אין לו טעם לעשות זאת בעבירה אם הוא יכול לעשות זאת בהיתר</w:t>
      </w:r>
      <w:r w:rsidR="00AE552A">
        <w:rPr>
          <w:rFonts w:hint="cs"/>
          <w:rtl/>
        </w:rPr>
        <w:t>.</w:t>
      </w:r>
      <w:r>
        <w:rPr>
          <w:rFonts w:hint="cs"/>
          <w:rtl/>
        </w:rPr>
        <w:t xml:space="preserve"> גם </w:t>
      </w:r>
      <w:r w:rsidR="004449EE">
        <w:rPr>
          <w:rFonts w:hint="cs"/>
          <w:rtl/>
        </w:rPr>
        <w:t>במקרה זה, כיוון שהוא יכול לקדשה בהיתר אין סיבה שלא יעשה כך גם אם הוא עובר על איסורים נוספים תוך כדי.</w:t>
      </w:r>
    </w:p>
    <w:p w14:paraId="459D6385" w14:textId="57CC4703" w:rsidR="00AA7195" w:rsidRDefault="003E3824" w:rsidP="009D0A19">
      <w:pPr>
        <w:rPr>
          <w:rtl/>
        </w:rPr>
      </w:pPr>
      <w:r>
        <w:rPr>
          <w:rFonts w:hint="cs"/>
          <w:u w:val="single"/>
          <w:rtl/>
        </w:rPr>
        <w:lastRenderedPageBreak/>
        <w:t>מגורשי ספרד</w:t>
      </w:r>
      <w:r w:rsidR="008A5F67">
        <w:rPr>
          <w:rFonts w:hint="cs"/>
          <w:rtl/>
        </w:rPr>
        <w:t xml:space="preserve">  </w:t>
      </w:r>
    </w:p>
    <w:p w14:paraId="7E3E735C" w14:textId="1FB9C34D" w:rsidR="00B64F20" w:rsidRDefault="00AC57D6" w:rsidP="009D0A19">
      <w:pPr>
        <w:rPr>
          <w:rtl/>
        </w:rPr>
      </w:pPr>
      <w:r>
        <w:rPr>
          <w:rFonts w:hint="cs"/>
          <w:rtl/>
        </w:rPr>
        <w:t xml:space="preserve">לכאורה עולה מדברי הרמב''ם, שכאשר אדם התחתן בקפריסין, כיוון </w:t>
      </w:r>
      <w:r w:rsidR="004576C0">
        <w:rPr>
          <w:rFonts w:hint="cs"/>
          <w:rtl/>
        </w:rPr>
        <w:t>ש</w:t>
      </w:r>
      <w:r>
        <w:rPr>
          <w:rFonts w:hint="cs"/>
          <w:rtl/>
        </w:rPr>
        <w:t>לאחר זמן מה</w:t>
      </w:r>
      <w:r w:rsidR="004576C0">
        <w:rPr>
          <w:rFonts w:hint="cs"/>
          <w:rtl/>
        </w:rPr>
        <w:t xml:space="preserve"> הוא</w:t>
      </w:r>
      <w:r>
        <w:rPr>
          <w:rFonts w:hint="cs"/>
          <w:rtl/>
        </w:rPr>
        <w:t xml:space="preserve"> מתייחד עם אשתו </w:t>
      </w:r>
      <w:r w:rsidR="00B64F20">
        <w:rPr>
          <w:rFonts w:hint="cs"/>
          <w:rtl/>
        </w:rPr>
        <w:t xml:space="preserve">ומסתמא יש עדים הרואים מעשה זה - </w:t>
      </w:r>
      <w:r>
        <w:rPr>
          <w:rFonts w:hint="cs"/>
          <w:rtl/>
        </w:rPr>
        <w:t>אין אדם עושה בעילתו בעילת זנות,</w:t>
      </w:r>
      <w:r w:rsidR="00B64F20">
        <w:rPr>
          <w:rFonts w:hint="cs"/>
          <w:rtl/>
        </w:rPr>
        <w:t xml:space="preserve"> והוא יהיה נשוי. אלא, </w:t>
      </w:r>
      <w:r w:rsidR="004C35E0">
        <w:rPr>
          <w:rFonts w:hint="cs"/>
          <w:rtl/>
        </w:rPr>
        <w:t>שאחרונים רבים</w:t>
      </w:r>
      <w:r w:rsidR="00B64F20">
        <w:rPr>
          <w:rFonts w:hint="cs"/>
          <w:rtl/>
        </w:rPr>
        <w:t xml:space="preserve"> כתבו סייג לדברים אלה בעקבות דברי הריב''ש, שהתמודד עם שאלות הקשורות לאנוסים</w:t>
      </w:r>
      <w:r w:rsidR="00AE552A">
        <w:rPr>
          <w:rFonts w:hint="cs"/>
          <w:rtl/>
        </w:rPr>
        <w:t xml:space="preserve"> </w:t>
      </w:r>
      <w:r w:rsidR="00AE552A">
        <w:rPr>
          <w:rFonts w:hint="cs"/>
          <w:sz w:val="18"/>
          <w:szCs w:val="18"/>
          <w:rtl/>
        </w:rPr>
        <w:t>(פרעות קנ"א)</w:t>
      </w:r>
      <w:r w:rsidR="00B64F20">
        <w:rPr>
          <w:rFonts w:hint="cs"/>
          <w:rtl/>
        </w:rPr>
        <w:t>, יהודים שהתנהגו כלפי חוץ כנוצרים</w:t>
      </w:r>
      <w:r w:rsidR="000B01CE">
        <w:rPr>
          <w:rFonts w:hint="cs"/>
          <w:rtl/>
        </w:rPr>
        <w:t>:</w:t>
      </w:r>
    </w:p>
    <w:p w14:paraId="7516ADAA" w14:textId="308C5332" w:rsidR="00B64F20" w:rsidRDefault="00937EC5" w:rsidP="00B64F20">
      <w:pPr>
        <w:rPr>
          <w:rtl/>
        </w:rPr>
      </w:pPr>
      <w:r w:rsidRPr="00937EC5">
        <w:rPr>
          <w:rFonts w:hint="cs"/>
          <w:rtl/>
        </w:rPr>
        <w:t>א.</w:t>
      </w:r>
      <w:r>
        <w:rPr>
          <w:rFonts w:hint="cs"/>
          <w:b/>
          <w:bCs/>
          <w:rtl/>
        </w:rPr>
        <w:t xml:space="preserve"> </w:t>
      </w:r>
      <w:r w:rsidR="00B64F20" w:rsidRPr="00B64F20">
        <w:rPr>
          <w:b/>
          <w:bCs/>
          <w:rtl/>
        </w:rPr>
        <w:t>הריב''ש</w:t>
      </w:r>
      <w:r w:rsidR="00B64F20">
        <w:rPr>
          <w:rtl/>
        </w:rPr>
        <w:t xml:space="preserve"> </w:t>
      </w:r>
      <w:r w:rsidR="00B64F20">
        <w:rPr>
          <w:sz w:val="18"/>
          <w:szCs w:val="18"/>
          <w:rtl/>
        </w:rPr>
        <w:t>(סי' ו)</w:t>
      </w:r>
      <w:r w:rsidR="00B64F20">
        <w:rPr>
          <w:rtl/>
        </w:rPr>
        <w:t xml:space="preserve"> </w:t>
      </w:r>
      <w:r w:rsidR="00B64F20">
        <w:rPr>
          <w:rFonts w:hint="cs"/>
          <w:rtl/>
        </w:rPr>
        <w:t xml:space="preserve">דן </w:t>
      </w:r>
      <w:r w:rsidR="00C63ABE">
        <w:rPr>
          <w:rFonts w:hint="cs"/>
          <w:rtl/>
        </w:rPr>
        <w:t xml:space="preserve">במעמד </w:t>
      </w:r>
      <w:r w:rsidR="00B64F20">
        <w:rPr>
          <w:rtl/>
        </w:rPr>
        <w:t xml:space="preserve">אשה שהתחתנה עם אחד מהאנוסים בכנסיה, </w:t>
      </w:r>
      <w:r w:rsidR="00B64F20">
        <w:rPr>
          <w:rFonts w:hint="cs"/>
          <w:rtl/>
        </w:rPr>
        <w:t>ו</w:t>
      </w:r>
      <w:r w:rsidR="00B64F20">
        <w:rPr>
          <w:rtl/>
        </w:rPr>
        <w:t xml:space="preserve">לאחר זמן עזב אותה כשהיא בהריון. </w:t>
      </w:r>
      <w:r w:rsidR="00946A07">
        <w:rPr>
          <w:rFonts w:hint="cs"/>
          <w:rtl/>
        </w:rPr>
        <w:t>לאחר זמן</w:t>
      </w:r>
      <w:r w:rsidR="00CC0F8B">
        <w:rPr>
          <w:rFonts w:hint="cs"/>
          <w:rtl/>
        </w:rPr>
        <w:t xml:space="preserve"> היא</w:t>
      </w:r>
      <w:r w:rsidR="00B64F20">
        <w:rPr>
          <w:rtl/>
        </w:rPr>
        <w:t xml:space="preserve"> ברחה מהמדינה וכעת רוצה להינשא</w:t>
      </w:r>
      <w:r w:rsidR="00560CF1">
        <w:rPr>
          <w:rFonts w:hint="cs"/>
          <w:rtl/>
        </w:rPr>
        <w:t xml:space="preserve"> לאדם אחר,</w:t>
      </w:r>
      <w:r w:rsidR="00C860EC">
        <w:rPr>
          <w:rFonts w:hint="cs"/>
          <w:rtl/>
        </w:rPr>
        <w:t xml:space="preserve"> והוא דן האם היא נחשבת אשת איש.</w:t>
      </w:r>
      <w:r w:rsidR="00B64F20">
        <w:rPr>
          <w:rtl/>
        </w:rPr>
        <w:t xml:space="preserve"> ברור שאין שום משמעות לנישואין בכנסייה, אבל</w:t>
      </w:r>
      <w:r w:rsidR="000F6345">
        <w:rPr>
          <w:rFonts w:hint="cs"/>
          <w:rtl/>
        </w:rPr>
        <w:t xml:space="preserve"> כפי שראינו </w:t>
      </w:r>
      <w:r w:rsidR="00B64F20">
        <w:rPr>
          <w:rtl/>
        </w:rPr>
        <w:t xml:space="preserve">לעיל </w:t>
      </w:r>
      <w:r w:rsidR="000F6345">
        <w:rPr>
          <w:rFonts w:hint="cs"/>
          <w:rtl/>
        </w:rPr>
        <w:t>יש מקום לומר, ש</w:t>
      </w:r>
      <w:r w:rsidR="00B64F20">
        <w:rPr>
          <w:rtl/>
        </w:rPr>
        <w:t xml:space="preserve">כיוון שהם </w:t>
      </w:r>
      <w:r w:rsidR="00C63ABE" w:rsidRPr="00D96922">
        <w:rPr>
          <w:rFonts w:hint="cs"/>
          <w:rtl/>
        </w:rPr>
        <w:t>תופסים</w:t>
      </w:r>
      <w:r w:rsidR="00B64F20">
        <w:rPr>
          <w:rtl/>
        </w:rPr>
        <w:t xml:space="preserve"> את עצמם כבעל ואשה</w:t>
      </w:r>
      <w:r w:rsidR="00C860EC">
        <w:rPr>
          <w:rFonts w:hint="cs"/>
          <w:rtl/>
        </w:rPr>
        <w:t xml:space="preserve"> </w:t>
      </w:r>
      <w:r w:rsidR="00B64F20">
        <w:rPr>
          <w:rtl/>
        </w:rPr>
        <w:t xml:space="preserve">היא </w:t>
      </w:r>
      <w:r w:rsidR="00C860EC">
        <w:rPr>
          <w:rFonts w:hint="cs"/>
          <w:rtl/>
        </w:rPr>
        <w:t xml:space="preserve">נקנתה </w:t>
      </w:r>
      <w:r w:rsidR="00B64F20">
        <w:rPr>
          <w:rtl/>
        </w:rPr>
        <w:t xml:space="preserve">בביאה. </w:t>
      </w:r>
    </w:p>
    <w:p w14:paraId="59BBB5AF" w14:textId="714D32EE" w:rsidR="00B64F20" w:rsidRPr="003860D3" w:rsidRDefault="003860D3" w:rsidP="000547E3">
      <w:pPr>
        <w:spacing w:after="80"/>
        <w:rPr>
          <w:rtl/>
        </w:rPr>
      </w:pPr>
      <w:r>
        <w:rPr>
          <w:rFonts w:hint="cs"/>
          <w:rtl/>
        </w:rPr>
        <w:t>במענה לשאלה כתב הריב''ש, ש</w:t>
      </w:r>
      <w:r w:rsidR="00B64F20">
        <w:rPr>
          <w:rtl/>
        </w:rPr>
        <w:t xml:space="preserve">אפילו הגאונים </w:t>
      </w:r>
      <w:r>
        <w:rPr>
          <w:rFonts w:hint="cs"/>
          <w:rtl/>
        </w:rPr>
        <w:t xml:space="preserve">שכתבו שכאשר פנוי ופנויה מתייחדים הם עושים זאת לשם </w:t>
      </w:r>
      <w:r w:rsidR="00FF3D50">
        <w:rPr>
          <w:rFonts w:hint="cs"/>
          <w:rtl/>
        </w:rPr>
        <w:t>קידושין</w:t>
      </w:r>
      <w:r>
        <w:rPr>
          <w:rFonts w:hint="cs"/>
          <w:rtl/>
        </w:rPr>
        <w:t xml:space="preserve">, במקרה זה כולם </w:t>
      </w:r>
      <w:r w:rsidR="00B64F20">
        <w:rPr>
          <w:rtl/>
        </w:rPr>
        <w:t>יודו שאין משמעות לביאה</w:t>
      </w:r>
      <w:r>
        <w:rPr>
          <w:rFonts w:hint="cs"/>
          <w:rtl/>
        </w:rPr>
        <w:t xml:space="preserve">. </w:t>
      </w:r>
      <w:r w:rsidR="00FA01BC">
        <w:rPr>
          <w:rFonts w:hint="cs"/>
          <w:rtl/>
        </w:rPr>
        <w:t>ו</w:t>
      </w:r>
      <w:r>
        <w:rPr>
          <w:rFonts w:hint="cs"/>
          <w:rtl/>
        </w:rPr>
        <w:t xml:space="preserve">נימק, שכיוון שהם </w:t>
      </w:r>
      <w:r w:rsidR="00B64F20">
        <w:rPr>
          <w:rtl/>
        </w:rPr>
        <w:t xml:space="preserve">התחתנו אצל הגויים </w:t>
      </w:r>
      <w:r>
        <w:rPr>
          <w:rFonts w:hint="cs"/>
          <w:rtl/>
        </w:rPr>
        <w:t xml:space="preserve">בכנסייה, </w:t>
      </w:r>
      <w:r w:rsidR="00B64F20">
        <w:rPr>
          <w:rtl/>
        </w:rPr>
        <w:t>מוכח שאין רצונם לבעילה כדת משה ויהודית, ו</w:t>
      </w:r>
      <w:r>
        <w:rPr>
          <w:rFonts w:hint="cs"/>
          <w:rtl/>
        </w:rPr>
        <w:t xml:space="preserve">לכן </w:t>
      </w:r>
      <w:r w:rsidRPr="00476798">
        <w:rPr>
          <w:rFonts w:hint="cs"/>
          <w:rtl/>
        </w:rPr>
        <w:t>אין</w:t>
      </w:r>
      <w:r>
        <w:rPr>
          <w:rFonts w:hint="cs"/>
          <w:rtl/>
        </w:rPr>
        <w:t xml:space="preserve"> בבעילה זו קניין</w:t>
      </w:r>
      <w:r w:rsidR="009A6D63">
        <w:rPr>
          <w:rFonts w:hint="cs"/>
          <w:rtl/>
        </w:rPr>
        <w:t xml:space="preserve"> - </w:t>
      </w:r>
      <w:r w:rsidR="000112FE">
        <w:rPr>
          <w:rFonts w:hint="cs"/>
          <w:rtl/>
        </w:rPr>
        <w:t>וממילא הוא</w:t>
      </w:r>
      <w:r w:rsidR="009A6D63">
        <w:rPr>
          <w:rFonts w:hint="cs"/>
          <w:rtl/>
        </w:rPr>
        <w:t xml:space="preserve"> הדין לנישואין בפני ערכאות </w:t>
      </w:r>
      <w:r w:rsidR="005522F8">
        <w:rPr>
          <w:rFonts w:hint="cs"/>
          <w:rtl/>
        </w:rPr>
        <w:t xml:space="preserve">בקפריסין </w:t>
      </w:r>
      <w:r w:rsidR="009A6D63">
        <w:rPr>
          <w:rFonts w:hint="cs"/>
          <w:rtl/>
        </w:rPr>
        <w:t>וכדומה</w:t>
      </w:r>
      <w:r w:rsidR="006B351F">
        <w:rPr>
          <w:rFonts w:hint="cs"/>
          <w:rtl/>
        </w:rPr>
        <w:t>.</w:t>
      </w:r>
      <w:r w:rsidR="009A6D63">
        <w:rPr>
          <w:rFonts w:hint="cs"/>
          <w:rtl/>
        </w:rPr>
        <w:t xml:space="preserve"> </w:t>
      </w:r>
      <w:r>
        <w:rPr>
          <w:rFonts w:hint="cs"/>
          <w:rtl/>
        </w:rPr>
        <w:t>ובלשו</w:t>
      </w:r>
      <w:r w:rsidR="009A6D63">
        <w:rPr>
          <w:rFonts w:hint="cs"/>
          <w:rtl/>
        </w:rPr>
        <w:t>ן הריב''ש</w:t>
      </w:r>
      <w:r>
        <w:rPr>
          <w:rFonts w:hint="cs"/>
          <w:rtl/>
        </w:rPr>
        <w:t xml:space="preserve">: </w:t>
      </w:r>
    </w:p>
    <w:p w14:paraId="1135F16A" w14:textId="2AC50835" w:rsidR="00B64F20" w:rsidRDefault="003860D3" w:rsidP="000547E3">
      <w:pPr>
        <w:spacing w:after="80"/>
        <w:ind w:left="720"/>
        <w:rPr>
          <w:rtl/>
        </w:rPr>
      </w:pPr>
      <w:r>
        <w:rPr>
          <w:rFonts w:hint="cs"/>
          <w:rtl/>
        </w:rPr>
        <w:t>''</w:t>
      </w:r>
      <w:r w:rsidR="00B64F20">
        <w:rPr>
          <w:rtl/>
        </w:rPr>
        <w:t xml:space="preserve">יש להשיב ולומר </w:t>
      </w:r>
      <w:r>
        <w:rPr>
          <w:rFonts w:hint="cs"/>
          <w:rtl/>
        </w:rPr>
        <w:t xml:space="preserve">דאפילו </w:t>
      </w:r>
      <w:r w:rsidR="00B64F20">
        <w:rPr>
          <w:rtl/>
        </w:rPr>
        <w:t>לדעת אותם הגאונים ז"ל</w:t>
      </w:r>
      <w:r>
        <w:rPr>
          <w:rFonts w:hint="cs"/>
          <w:rtl/>
        </w:rPr>
        <w:t>,</w:t>
      </w:r>
      <w:r w:rsidR="00B64F20">
        <w:rPr>
          <w:rtl/>
        </w:rPr>
        <w:t xml:space="preserve"> שסוברין דבסתם אמרינן לשם קידושין בעל</w:t>
      </w:r>
      <w:r>
        <w:rPr>
          <w:rFonts w:hint="cs"/>
          <w:rtl/>
        </w:rPr>
        <w:t>,</w:t>
      </w:r>
      <w:r w:rsidR="00B64F20">
        <w:rPr>
          <w:rtl/>
        </w:rPr>
        <w:t xml:space="preserve"> הכא בנדון זה לא בעל לשם קידושין. דכי</w:t>
      </w:r>
      <w:r>
        <w:rPr>
          <w:rFonts w:hint="cs"/>
          <w:rtl/>
        </w:rPr>
        <w:t>ו</w:t>
      </w:r>
      <w:r w:rsidR="00B64F20">
        <w:rPr>
          <w:rtl/>
        </w:rPr>
        <w:t>ון שהתנו בנישואין בחקות העובדי כ</w:t>
      </w:r>
      <w:r>
        <w:rPr>
          <w:rFonts w:hint="cs"/>
          <w:rtl/>
        </w:rPr>
        <w:t>ו</w:t>
      </w:r>
      <w:r w:rsidR="00B64F20">
        <w:rPr>
          <w:rtl/>
        </w:rPr>
        <w:t>כבים ובבית במותם מפי הכומר</w:t>
      </w:r>
      <w:r>
        <w:rPr>
          <w:rFonts w:hint="cs"/>
          <w:rtl/>
        </w:rPr>
        <w:t>,</w:t>
      </w:r>
      <w:r w:rsidR="00B64F20">
        <w:rPr>
          <w:rtl/>
        </w:rPr>
        <w:t xml:space="preserve"> הרי הוא כאילו פירשו שאין דעתם לשם קדושין כדת משה ויהודית</w:t>
      </w:r>
      <w:r>
        <w:rPr>
          <w:rFonts w:hint="cs"/>
          <w:rtl/>
        </w:rPr>
        <w:t>,</w:t>
      </w:r>
      <w:r w:rsidR="00B64F20">
        <w:rPr>
          <w:rtl/>
        </w:rPr>
        <w:t xml:space="preserve"> אלא בדרכי עובדי ככבים שאינן בתורת קדושין וגיטין.</w:t>
      </w:r>
      <w:r>
        <w:rPr>
          <w:rFonts w:hint="cs"/>
          <w:rtl/>
        </w:rPr>
        <w:t>''</w:t>
      </w:r>
    </w:p>
    <w:p w14:paraId="7EAA0E96" w14:textId="7F166FCC" w:rsidR="005C0DBF" w:rsidRDefault="00937EC5" w:rsidP="000547E3">
      <w:pPr>
        <w:spacing w:after="80"/>
        <w:rPr>
          <w:rtl/>
        </w:rPr>
      </w:pPr>
      <w:r>
        <w:rPr>
          <w:rFonts w:hint="cs"/>
          <w:rtl/>
        </w:rPr>
        <w:t xml:space="preserve">בדומה לכך </w:t>
      </w:r>
      <w:r w:rsidR="007155A7">
        <w:rPr>
          <w:rFonts w:hint="cs"/>
          <w:rtl/>
        </w:rPr>
        <w:t xml:space="preserve">כתב </w:t>
      </w:r>
      <w:r w:rsidRPr="00937EC5">
        <w:rPr>
          <w:b/>
          <w:bCs/>
          <w:rtl/>
        </w:rPr>
        <w:t>הרדב''ז</w:t>
      </w:r>
      <w:r>
        <w:rPr>
          <w:rtl/>
        </w:rPr>
        <w:t xml:space="preserve"> </w:t>
      </w:r>
      <w:r>
        <w:rPr>
          <w:sz w:val="18"/>
          <w:szCs w:val="18"/>
          <w:rtl/>
        </w:rPr>
        <w:t>(ח''א סי' שנא)</w:t>
      </w:r>
      <w:r w:rsidR="007155A7">
        <w:rPr>
          <w:rFonts w:hint="cs"/>
          <w:rtl/>
        </w:rPr>
        <w:t xml:space="preserve">, </w:t>
      </w:r>
      <w:r>
        <w:rPr>
          <w:rFonts w:hint="cs"/>
          <w:rtl/>
        </w:rPr>
        <w:t xml:space="preserve">שהבא </w:t>
      </w:r>
      <w:r>
        <w:rPr>
          <w:rtl/>
        </w:rPr>
        <w:t xml:space="preserve">על גרושתו נדה, כיוון שלא חש </w:t>
      </w:r>
      <w:r w:rsidR="00167F29">
        <w:rPr>
          <w:rFonts w:hint="cs"/>
          <w:rtl/>
        </w:rPr>
        <w:t>לאיסור נדה</w:t>
      </w:r>
      <w:r w:rsidR="001C232A">
        <w:rPr>
          <w:rFonts w:hint="cs"/>
          <w:rtl/>
        </w:rPr>
        <w:t>,</w:t>
      </w:r>
      <w:r w:rsidR="00AE20FB">
        <w:rPr>
          <w:rFonts w:hint="cs"/>
          <w:rtl/>
        </w:rPr>
        <w:t xml:space="preserve"> וודאי ש</w:t>
      </w:r>
      <w:r>
        <w:rPr>
          <w:rtl/>
        </w:rPr>
        <w:t xml:space="preserve">לא חש </w:t>
      </w:r>
      <w:r w:rsidR="00167F29">
        <w:rPr>
          <w:rFonts w:hint="cs"/>
          <w:rtl/>
        </w:rPr>
        <w:t xml:space="preserve">לכך שנמצא עימה ללא </w:t>
      </w:r>
      <w:r>
        <w:rPr>
          <w:rtl/>
        </w:rPr>
        <w:t>קידושין</w:t>
      </w:r>
      <w:r w:rsidR="000C2E50">
        <w:rPr>
          <w:rFonts w:hint="cs"/>
          <w:rtl/>
        </w:rPr>
        <w:t xml:space="preserve">. גם </w:t>
      </w:r>
      <w:r w:rsidRPr="00937EC5">
        <w:rPr>
          <w:b/>
          <w:bCs/>
          <w:rtl/>
        </w:rPr>
        <w:t>תרומת הדשן</w:t>
      </w:r>
      <w:r>
        <w:rPr>
          <w:rtl/>
        </w:rPr>
        <w:t xml:space="preserve"> </w:t>
      </w:r>
      <w:r>
        <w:rPr>
          <w:sz w:val="18"/>
          <w:szCs w:val="18"/>
          <w:rtl/>
        </w:rPr>
        <w:t xml:space="preserve">(סי' רט) </w:t>
      </w:r>
      <w:r w:rsidR="000C2E50">
        <w:rPr>
          <w:rFonts w:hint="cs"/>
          <w:rtl/>
        </w:rPr>
        <w:t>על בסיס אותו עיקרון כתב</w:t>
      </w:r>
      <w:r w:rsidR="00F0294D">
        <w:rPr>
          <w:rFonts w:hint="cs"/>
          <w:rtl/>
        </w:rPr>
        <w:t>,</w:t>
      </w:r>
      <w:r w:rsidR="000C2E50">
        <w:rPr>
          <w:rFonts w:hint="cs"/>
          <w:rtl/>
        </w:rPr>
        <w:t xml:space="preserve"> </w:t>
      </w:r>
      <w:r w:rsidR="008A7821">
        <w:rPr>
          <w:rFonts w:hint="cs"/>
          <w:rtl/>
        </w:rPr>
        <w:t>ש</w:t>
      </w:r>
      <w:r>
        <w:rPr>
          <w:rtl/>
        </w:rPr>
        <w:t>אדם שהיה פרוץ בזנות עוד לפני הנישואין וברח לאחר הנישואין</w:t>
      </w:r>
      <w:r w:rsidR="00F452FF">
        <w:rPr>
          <w:rFonts w:hint="cs"/>
          <w:rtl/>
        </w:rPr>
        <w:t xml:space="preserve">, מסתמא </w:t>
      </w:r>
      <w:r>
        <w:rPr>
          <w:rtl/>
        </w:rPr>
        <w:t xml:space="preserve">גם </w:t>
      </w:r>
      <w:r w:rsidR="008A7821">
        <w:rPr>
          <w:rFonts w:hint="cs"/>
          <w:rtl/>
        </w:rPr>
        <w:t>ב</w:t>
      </w:r>
      <w:r>
        <w:rPr>
          <w:rtl/>
        </w:rPr>
        <w:t xml:space="preserve">נישואין אין בעילתו מוגדרת כבעילת </w:t>
      </w:r>
      <w:r w:rsidR="00DF774B">
        <w:rPr>
          <w:rFonts w:hint="cs"/>
          <w:rtl/>
        </w:rPr>
        <w:t>קידושין</w:t>
      </w:r>
      <w:r w:rsidR="00FA01BC">
        <w:rPr>
          <w:rFonts w:hint="cs"/>
          <w:rtl/>
        </w:rPr>
        <w:t xml:space="preserve"> אלא כבעילת זנות</w:t>
      </w:r>
      <w:r>
        <w:rPr>
          <w:rFonts w:hint="cs"/>
          <w:rtl/>
        </w:rPr>
        <w:t>.</w:t>
      </w:r>
    </w:p>
    <w:p w14:paraId="07183A1A" w14:textId="1A4CA82A" w:rsidR="00DE6E25" w:rsidRDefault="006B524A" w:rsidP="000547E3">
      <w:pPr>
        <w:spacing w:after="80"/>
      </w:pPr>
      <w:r>
        <w:rPr>
          <w:rFonts w:hint="cs"/>
          <w:rtl/>
        </w:rPr>
        <w:t xml:space="preserve">ב. </w:t>
      </w:r>
      <w:r w:rsidR="00DE6E25" w:rsidRPr="00DE6E25">
        <w:rPr>
          <w:b/>
          <w:bCs/>
          <w:rtl/>
        </w:rPr>
        <w:t>השאגת אריה</w:t>
      </w:r>
      <w:r w:rsidR="00DE6E25">
        <w:rPr>
          <w:rtl/>
        </w:rPr>
        <w:t xml:space="preserve"> </w:t>
      </w:r>
      <w:r w:rsidR="00DE6E25">
        <w:rPr>
          <w:sz w:val="18"/>
          <w:szCs w:val="18"/>
          <w:rtl/>
        </w:rPr>
        <w:t>(</w:t>
      </w:r>
      <w:r w:rsidR="00F011E6">
        <w:rPr>
          <w:rFonts w:hint="cs"/>
          <w:sz w:val="18"/>
          <w:szCs w:val="18"/>
          <w:rtl/>
        </w:rPr>
        <w:t>תשובה</w:t>
      </w:r>
      <w:r w:rsidR="00DE6E25">
        <w:rPr>
          <w:sz w:val="18"/>
          <w:szCs w:val="18"/>
          <w:rtl/>
        </w:rPr>
        <w:t xml:space="preserve"> </w:t>
      </w:r>
      <w:r w:rsidR="00F011E6">
        <w:rPr>
          <w:rFonts w:hint="cs"/>
          <w:sz w:val="18"/>
          <w:szCs w:val="18"/>
          <w:rtl/>
        </w:rPr>
        <w:t>ל</w:t>
      </w:r>
      <w:r w:rsidR="00DE6E25">
        <w:rPr>
          <w:sz w:val="18"/>
          <w:szCs w:val="18"/>
          <w:rtl/>
        </w:rPr>
        <w:t>בית אפרים אבה''ע סי' מב</w:t>
      </w:r>
      <w:r w:rsidR="004B5F38">
        <w:rPr>
          <w:rFonts w:hint="cs"/>
          <w:sz w:val="18"/>
          <w:szCs w:val="18"/>
          <w:rtl/>
        </w:rPr>
        <w:t xml:space="preserve"> ד''ה עוד</w:t>
      </w:r>
      <w:r w:rsidR="00DE6E25">
        <w:rPr>
          <w:sz w:val="18"/>
          <w:szCs w:val="18"/>
          <w:rtl/>
        </w:rPr>
        <w:t xml:space="preserve">) </w:t>
      </w:r>
      <w:r w:rsidR="001C232A">
        <w:rPr>
          <w:rFonts w:hint="cs"/>
          <w:rtl/>
        </w:rPr>
        <w:t>העלה סברא נוספת להקל</w:t>
      </w:r>
      <w:r w:rsidR="00DE6E25">
        <w:rPr>
          <w:rFonts w:hint="cs"/>
          <w:rtl/>
        </w:rPr>
        <w:t>,</w:t>
      </w:r>
      <w:r w:rsidR="00DE6E25">
        <w:rPr>
          <w:rtl/>
        </w:rPr>
        <w:t xml:space="preserve"> </w:t>
      </w:r>
      <w:r w:rsidR="00DE6E25">
        <w:rPr>
          <w:rFonts w:hint="cs"/>
          <w:rtl/>
        </w:rPr>
        <w:t>ש</w:t>
      </w:r>
      <w:r w:rsidR="00CE7CD8">
        <w:rPr>
          <w:rFonts w:hint="cs"/>
          <w:rtl/>
        </w:rPr>
        <w:t xml:space="preserve">יש מקום לומר </w:t>
      </w:r>
      <w:r w:rsidR="008A40D0">
        <w:rPr>
          <w:rFonts w:hint="cs"/>
          <w:rtl/>
        </w:rPr>
        <w:t>ש</w:t>
      </w:r>
      <w:r w:rsidR="00DE6E25">
        <w:rPr>
          <w:rFonts w:hint="cs"/>
          <w:rtl/>
        </w:rPr>
        <w:t xml:space="preserve">כאשר דנו בשאלה האם ביאה נחשבת </w:t>
      </w:r>
      <w:r w:rsidR="00DE6E25">
        <w:rPr>
          <w:rtl/>
        </w:rPr>
        <w:t>לשם קידושין</w:t>
      </w:r>
      <w:r w:rsidR="00DE6E25">
        <w:rPr>
          <w:rFonts w:hint="cs"/>
          <w:rtl/>
        </w:rPr>
        <w:t>, זה</w:t>
      </w:r>
      <w:r w:rsidR="00DE6E25">
        <w:rPr>
          <w:rtl/>
        </w:rPr>
        <w:t xml:space="preserve"> </w:t>
      </w:r>
      <w:r w:rsidR="00DE6E25">
        <w:rPr>
          <w:rFonts w:hint="cs"/>
          <w:rtl/>
        </w:rPr>
        <w:t xml:space="preserve">רק </w:t>
      </w:r>
      <w:r w:rsidR="00DE6E25">
        <w:rPr>
          <w:rtl/>
        </w:rPr>
        <w:t xml:space="preserve">בדורות ראשונים, שידעו שיש </w:t>
      </w:r>
      <w:r w:rsidR="00DE6E25">
        <w:rPr>
          <w:rFonts w:hint="cs"/>
          <w:rtl/>
        </w:rPr>
        <w:t>אפשרות כזאת מבחינה הלכתית ואף הייתה דרכם בכך.</w:t>
      </w:r>
      <w:r w:rsidR="00DE6E25">
        <w:rPr>
          <w:rtl/>
        </w:rPr>
        <w:t xml:space="preserve"> </w:t>
      </w:r>
      <w:r w:rsidR="00DE6E25">
        <w:rPr>
          <w:rFonts w:hint="cs"/>
          <w:rtl/>
        </w:rPr>
        <w:t xml:space="preserve">בזמן הזה לעומת זאת, </w:t>
      </w:r>
      <w:r w:rsidR="00DE6E25">
        <w:rPr>
          <w:rtl/>
        </w:rPr>
        <w:t xml:space="preserve">אנשים </w:t>
      </w:r>
      <w:r w:rsidR="00DE6E25">
        <w:rPr>
          <w:rFonts w:hint="cs"/>
          <w:rtl/>
        </w:rPr>
        <w:t xml:space="preserve">רבים </w:t>
      </w:r>
      <w:r w:rsidR="00DE6E25">
        <w:rPr>
          <w:rtl/>
        </w:rPr>
        <w:t xml:space="preserve">בכלל לא יודעים שיש אופציה </w:t>
      </w:r>
      <w:r w:rsidR="00F011E6">
        <w:rPr>
          <w:rFonts w:hint="cs"/>
          <w:rtl/>
        </w:rPr>
        <w:t xml:space="preserve">כזאת </w:t>
      </w:r>
      <w:r w:rsidR="00DE6E25">
        <w:rPr>
          <w:rtl/>
        </w:rPr>
        <w:t>ובטח לא מכוונים לקדש בביאה</w:t>
      </w:r>
      <w:r w:rsidR="00E92D3B">
        <w:rPr>
          <w:rFonts w:hint="cs"/>
          <w:rtl/>
        </w:rPr>
        <w:t xml:space="preserve"> </w:t>
      </w:r>
      <w:r w:rsidR="00E92D3B">
        <w:rPr>
          <w:rFonts w:hint="cs"/>
          <w:sz w:val="18"/>
          <w:szCs w:val="18"/>
          <w:rtl/>
        </w:rPr>
        <w:t>(ועיין הערה</w:t>
      </w:r>
      <w:r w:rsidR="003A2678">
        <w:rPr>
          <w:rStyle w:val="a5"/>
          <w:rtl/>
        </w:rPr>
        <w:footnoteReference w:id="2"/>
      </w:r>
      <w:r w:rsidR="00E92D3B">
        <w:rPr>
          <w:rFonts w:hint="cs"/>
          <w:sz w:val="18"/>
          <w:szCs w:val="18"/>
          <w:rtl/>
        </w:rPr>
        <w:t>)</w:t>
      </w:r>
      <w:r w:rsidR="00DE6E25">
        <w:rPr>
          <w:rtl/>
        </w:rPr>
        <w:t>.</w:t>
      </w:r>
    </w:p>
    <w:p w14:paraId="037C5D67" w14:textId="5A4122CA" w:rsidR="00937EC5" w:rsidRPr="00417908" w:rsidRDefault="00ED478E" w:rsidP="000547E3">
      <w:pPr>
        <w:spacing w:after="80"/>
        <w:rPr>
          <w:u w:val="single"/>
        </w:rPr>
      </w:pPr>
      <w:r>
        <w:rPr>
          <w:rFonts w:hint="cs"/>
          <w:u w:val="single"/>
          <w:rtl/>
        </w:rPr>
        <w:t xml:space="preserve">דעת </w:t>
      </w:r>
      <w:r w:rsidR="00417908">
        <w:rPr>
          <w:rFonts w:hint="cs"/>
          <w:u w:val="single"/>
          <w:rtl/>
        </w:rPr>
        <w:t>המחמירים</w:t>
      </w:r>
    </w:p>
    <w:p w14:paraId="0C286EB5" w14:textId="336E52D6" w:rsidR="00964746" w:rsidRDefault="00B10091" w:rsidP="000547E3">
      <w:pPr>
        <w:spacing w:after="80"/>
        <w:rPr>
          <w:rtl/>
        </w:rPr>
      </w:pPr>
      <w:r>
        <w:rPr>
          <w:rFonts w:hint="cs"/>
          <w:rtl/>
        </w:rPr>
        <w:t>בניגוד</w:t>
      </w:r>
      <w:r w:rsidR="008C168A">
        <w:rPr>
          <w:rFonts w:hint="cs"/>
          <w:rtl/>
        </w:rPr>
        <w:t xml:space="preserve"> למה שראינו עד כה</w:t>
      </w:r>
      <w:r>
        <w:rPr>
          <w:rFonts w:hint="cs"/>
          <w:rtl/>
        </w:rPr>
        <w:t xml:space="preserve">, ישנם הסוברים שבמקרים </w:t>
      </w:r>
      <w:r w:rsidR="00D15B24">
        <w:rPr>
          <w:rFonts w:hint="cs"/>
          <w:rtl/>
        </w:rPr>
        <w:t xml:space="preserve">בהם מתחתנים בערכאות ואחר כך חיים יחד, יש משמעות הלכתית לביאה, </w:t>
      </w:r>
      <w:r w:rsidR="00964355">
        <w:rPr>
          <w:rFonts w:hint="cs"/>
          <w:rtl/>
        </w:rPr>
        <w:t>ו</w:t>
      </w:r>
      <w:r w:rsidR="00EF0938">
        <w:rPr>
          <w:rFonts w:hint="cs"/>
          <w:rtl/>
        </w:rPr>
        <w:t xml:space="preserve">הבעל יצטרך לתת גט ל'אשתו' </w:t>
      </w:r>
      <w:r w:rsidR="008C168A">
        <w:rPr>
          <w:rFonts w:hint="cs"/>
          <w:rtl/>
        </w:rPr>
        <w:t xml:space="preserve">במקרה בו הזוג </w:t>
      </w:r>
      <w:r w:rsidR="00EF0938">
        <w:rPr>
          <w:rFonts w:hint="cs"/>
          <w:rtl/>
        </w:rPr>
        <w:t>מחליט לסיים את חיי</w:t>
      </w:r>
      <w:r w:rsidR="00D15B24">
        <w:rPr>
          <w:rFonts w:hint="cs"/>
          <w:rtl/>
        </w:rPr>
        <w:t>הם</w:t>
      </w:r>
      <w:r w:rsidR="00EF0938">
        <w:rPr>
          <w:rFonts w:hint="cs"/>
          <w:rtl/>
        </w:rPr>
        <w:t xml:space="preserve"> המשותפים יחד</w:t>
      </w:r>
      <w:r w:rsidR="00964746">
        <w:rPr>
          <w:rFonts w:hint="cs"/>
          <w:rtl/>
        </w:rPr>
        <w:t>:</w:t>
      </w:r>
    </w:p>
    <w:p w14:paraId="6EEFB451" w14:textId="58110F65" w:rsidR="00964746" w:rsidRDefault="00B10091" w:rsidP="000547E3">
      <w:pPr>
        <w:spacing w:after="80"/>
        <w:rPr>
          <w:rtl/>
        </w:rPr>
      </w:pPr>
      <w:r w:rsidRPr="00964746">
        <w:rPr>
          <w:rFonts w:hint="cs"/>
          <w:b/>
          <w:bCs/>
          <w:rtl/>
        </w:rPr>
        <w:t xml:space="preserve">הרב </w:t>
      </w:r>
      <w:r w:rsidR="00C5698C">
        <w:rPr>
          <w:rFonts w:hint="cs"/>
          <w:b/>
          <w:bCs/>
          <w:rtl/>
        </w:rPr>
        <w:t xml:space="preserve">יוסף אליהו </w:t>
      </w:r>
      <w:r w:rsidRPr="00964746">
        <w:rPr>
          <w:rFonts w:hint="cs"/>
          <w:b/>
          <w:bCs/>
          <w:rtl/>
        </w:rPr>
        <w:t>הנקין</w:t>
      </w:r>
      <w:r>
        <w:rPr>
          <w:rFonts w:hint="cs"/>
          <w:rtl/>
        </w:rPr>
        <w:t xml:space="preserve"> </w:t>
      </w:r>
      <w:r>
        <w:rPr>
          <w:rFonts w:hint="cs"/>
          <w:sz w:val="18"/>
          <w:szCs w:val="18"/>
          <w:rtl/>
        </w:rPr>
        <w:t>(</w:t>
      </w:r>
      <w:r w:rsidR="00794533">
        <w:rPr>
          <w:rFonts w:hint="cs"/>
          <w:sz w:val="18"/>
          <w:szCs w:val="18"/>
          <w:rtl/>
        </w:rPr>
        <w:t>לב איברא עמ' 12</w:t>
      </w:r>
      <w:r>
        <w:rPr>
          <w:rFonts w:hint="cs"/>
          <w:sz w:val="18"/>
          <w:szCs w:val="18"/>
          <w:rtl/>
        </w:rPr>
        <w:t xml:space="preserve">) </w:t>
      </w:r>
      <w:r>
        <w:rPr>
          <w:rFonts w:hint="cs"/>
          <w:rtl/>
        </w:rPr>
        <w:t xml:space="preserve">כתב, </w:t>
      </w:r>
      <w:r w:rsidR="002D23CF">
        <w:rPr>
          <w:rFonts w:hint="cs"/>
          <w:rtl/>
        </w:rPr>
        <w:t xml:space="preserve">שלא צריך שביאת הקידושין תהיה </w:t>
      </w:r>
      <w:r w:rsidR="00964746">
        <w:rPr>
          <w:rFonts w:hint="cs"/>
          <w:rtl/>
        </w:rPr>
        <w:t>לשם קניין על פי דת משה וישראל. בפשטות, מטר</w:t>
      </w:r>
      <w:r w:rsidR="008E191D">
        <w:rPr>
          <w:rFonts w:hint="cs"/>
          <w:rtl/>
        </w:rPr>
        <w:t>ת</w:t>
      </w:r>
      <w:r w:rsidR="00964746">
        <w:rPr>
          <w:rFonts w:hint="cs"/>
          <w:rtl/>
        </w:rPr>
        <w:t xml:space="preserve">ה </w:t>
      </w:r>
      <w:r w:rsidR="00FB60A8">
        <w:rPr>
          <w:rFonts w:hint="cs"/>
          <w:rtl/>
        </w:rPr>
        <w:t xml:space="preserve">להראות </w:t>
      </w:r>
      <w:r w:rsidR="00964746">
        <w:rPr>
          <w:rFonts w:hint="cs"/>
          <w:rtl/>
        </w:rPr>
        <w:t>שאשה זו מיוחדת לו ואסורה על אחרים, ולטענתו דבר זה מתרחש גם כאשר אדם מתחתן בנשואי</w:t>
      </w:r>
      <w:r w:rsidR="00082671">
        <w:rPr>
          <w:rFonts w:hint="cs"/>
          <w:rtl/>
        </w:rPr>
        <w:t>ם</w:t>
      </w:r>
      <w:r w:rsidR="00964746">
        <w:rPr>
          <w:rFonts w:hint="cs"/>
          <w:rtl/>
        </w:rPr>
        <w:t xml:space="preserve"> אזרחיים</w:t>
      </w:r>
      <w:r w:rsidR="004F07FB">
        <w:rPr>
          <w:rFonts w:hint="cs"/>
          <w:rtl/>
        </w:rPr>
        <w:t xml:space="preserve"> בהם הוא מראה שרצונו לשאת אשה זו</w:t>
      </w:r>
      <w:r w:rsidR="00964746">
        <w:rPr>
          <w:rFonts w:hint="cs"/>
          <w:rtl/>
        </w:rPr>
        <w:t xml:space="preserve">, ולאחר מכן חי </w:t>
      </w:r>
      <w:r w:rsidR="003E44E6">
        <w:rPr>
          <w:rFonts w:hint="cs"/>
          <w:rtl/>
        </w:rPr>
        <w:t xml:space="preserve">עימה </w:t>
      </w:r>
      <w:r w:rsidR="00964746">
        <w:rPr>
          <w:rFonts w:hint="cs"/>
          <w:rtl/>
        </w:rPr>
        <w:t xml:space="preserve">בביתו. </w:t>
      </w:r>
    </w:p>
    <w:p w14:paraId="1A5E4B70" w14:textId="15235E69" w:rsidR="00B10091" w:rsidRDefault="002D23CF" w:rsidP="000547E3">
      <w:pPr>
        <w:spacing w:after="80"/>
        <w:rPr>
          <w:rtl/>
        </w:rPr>
      </w:pPr>
      <w:r>
        <w:rPr>
          <w:rFonts w:hint="cs"/>
          <w:rtl/>
        </w:rPr>
        <w:t>כיצד התמודד עם דברי הריב''ש שראינו לעיל? הוא טען, ש</w:t>
      </w:r>
      <w:r w:rsidR="000022B8">
        <w:rPr>
          <w:rFonts w:hint="cs"/>
          <w:rtl/>
        </w:rPr>
        <w:t xml:space="preserve">כאשר </w:t>
      </w:r>
      <w:r w:rsidR="00B10091">
        <w:rPr>
          <w:rFonts w:hint="cs"/>
          <w:rtl/>
        </w:rPr>
        <w:t xml:space="preserve">הריב''ש כתב שהמתחתן בכנסיה </w:t>
      </w:r>
      <w:r w:rsidR="00EF68EC">
        <w:rPr>
          <w:rFonts w:hint="cs"/>
          <w:rtl/>
        </w:rPr>
        <w:t>אין ביאתו אחר כך מהווה קניין בביאה</w:t>
      </w:r>
      <w:r w:rsidR="00B10091">
        <w:rPr>
          <w:rFonts w:hint="cs"/>
          <w:rtl/>
        </w:rPr>
        <w:t xml:space="preserve">, </w:t>
      </w:r>
      <w:r w:rsidR="00EF68EC">
        <w:rPr>
          <w:rFonts w:hint="cs"/>
          <w:rtl/>
        </w:rPr>
        <w:t>כוותו ל</w:t>
      </w:r>
      <w:r>
        <w:rPr>
          <w:rFonts w:hint="cs"/>
          <w:rtl/>
        </w:rPr>
        <w:t xml:space="preserve">מקרה בו </w:t>
      </w:r>
      <w:r w:rsidR="00EF68EC">
        <w:rPr>
          <w:rFonts w:hint="cs"/>
          <w:rtl/>
        </w:rPr>
        <w:t xml:space="preserve">ידוע </w:t>
      </w:r>
      <w:r>
        <w:rPr>
          <w:rFonts w:hint="cs"/>
          <w:rtl/>
        </w:rPr>
        <w:t>מראש שמדובר 'בזוגיות פתוחה'</w:t>
      </w:r>
      <w:r w:rsidR="00141EC3">
        <w:rPr>
          <w:rFonts w:hint="cs"/>
          <w:rtl/>
        </w:rPr>
        <w:t>.</w:t>
      </w:r>
      <w:r>
        <w:rPr>
          <w:rFonts w:hint="cs"/>
          <w:rtl/>
        </w:rPr>
        <w:t xml:space="preserve"> כלומר הזוג אמנם מתחתן, אבל קשרי האישות ב</w:t>
      </w:r>
      <w:r w:rsidR="00116B61">
        <w:rPr>
          <w:rFonts w:hint="cs"/>
          <w:rtl/>
        </w:rPr>
        <w:t>י</w:t>
      </w:r>
      <w:r>
        <w:rPr>
          <w:rFonts w:hint="cs"/>
          <w:rtl/>
        </w:rPr>
        <w:t>ניהם רופפים ואין מנ</w:t>
      </w:r>
      <w:r w:rsidR="00EF68EC">
        <w:rPr>
          <w:rFonts w:hint="cs"/>
          <w:rtl/>
        </w:rPr>
        <w:t>י</w:t>
      </w:r>
      <w:r>
        <w:rPr>
          <w:rFonts w:hint="cs"/>
          <w:rtl/>
        </w:rPr>
        <w:t>עה</w:t>
      </w:r>
      <w:r w:rsidR="00EF68EC">
        <w:rPr>
          <w:rFonts w:hint="cs"/>
          <w:rtl/>
        </w:rPr>
        <w:t xml:space="preserve"> מבחינתם לקיים יחסים עם זרים במהלך הנישואין, </w:t>
      </w:r>
      <w:r w:rsidR="001365CA">
        <w:rPr>
          <w:rFonts w:hint="cs"/>
          <w:rtl/>
        </w:rPr>
        <w:t>ב</w:t>
      </w:r>
      <w:r w:rsidR="00EF68EC">
        <w:rPr>
          <w:rFonts w:hint="cs"/>
          <w:rtl/>
        </w:rPr>
        <w:t xml:space="preserve">נישואים אזרחיים </w:t>
      </w:r>
      <w:r w:rsidR="001365CA">
        <w:rPr>
          <w:rFonts w:hint="cs"/>
          <w:rtl/>
        </w:rPr>
        <w:t>לעומת זאת הזוג מחוייב לקשר</w:t>
      </w:r>
      <w:r w:rsidR="000D55C6">
        <w:rPr>
          <w:rFonts w:hint="cs"/>
          <w:rtl/>
        </w:rPr>
        <w:t>.</w:t>
      </w:r>
      <w:r w:rsidR="001365CA">
        <w:rPr>
          <w:rFonts w:hint="cs"/>
          <w:rtl/>
        </w:rPr>
        <w:t xml:space="preserve"> ובלשונו:</w:t>
      </w:r>
    </w:p>
    <w:p w14:paraId="52CD203F" w14:textId="77D0F69D" w:rsidR="00AD5428" w:rsidRDefault="00D03C14" w:rsidP="000547E3">
      <w:pPr>
        <w:spacing w:after="80"/>
        <w:ind w:left="720"/>
        <w:rPr>
          <w:rtl/>
        </w:rPr>
      </w:pPr>
      <w:r>
        <w:rPr>
          <w:rFonts w:hint="cs"/>
          <w:rtl/>
        </w:rPr>
        <w:t>''ואמנם החיים של הקומוניסטים ברוסיה, שתכלית שיטתם היא לבטל קשרי האישות מהארץ, וגם בהוה קישורם ארעי, אם אמנם באמת אין מקפידים על הפקר נשותיהם יש לדמות זה לאומר לאשה הרי את קנויה לי ואין את אסורה לכל אדם שאין זו אשת איש. וכל זאת אינו עניין לנישואי ערכאות באמריקה ומקומות אחרים.</w:t>
      </w:r>
      <w:r w:rsidR="00DF774B">
        <w:rPr>
          <w:rFonts w:hint="cs"/>
          <w:rtl/>
        </w:rPr>
        <w:t>''</w:t>
      </w:r>
    </w:p>
    <w:p w14:paraId="337F458D" w14:textId="7D0916B2" w:rsidR="003828BC" w:rsidRDefault="00FB60A8" w:rsidP="000547E3">
      <w:pPr>
        <w:spacing w:after="80"/>
        <w:rPr>
          <w:rtl/>
        </w:rPr>
      </w:pPr>
      <w:r w:rsidRPr="00FB60A8">
        <w:rPr>
          <w:rFonts w:hint="cs"/>
          <w:b/>
          <w:bCs/>
          <w:rtl/>
        </w:rPr>
        <w:t>הרוגוצ'ובר</w:t>
      </w:r>
      <w:r>
        <w:rPr>
          <w:rFonts w:hint="cs"/>
          <w:rtl/>
        </w:rPr>
        <w:t xml:space="preserve"> </w:t>
      </w:r>
      <w:r>
        <w:rPr>
          <w:rFonts w:hint="cs"/>
          <w:sz w:val="18"/>
          <w:szCs w:val="18"/>
          <w:rtl/>
        </w:rPr>
        <w:t>(צפנת פענח א, כו - כז)</w:t>
      </w:r>
      <w:r w:rsidR="00B61387">
        <w:rPr>
          <w:rFonts w:hint="cs"/>
          <w:rtl/>
        </w:rPr>
        <w:t xml:space="preserve"> טען בדומה לכך</w:t>
      </w:r>
      <w:r>
        <w:rPr>
          <w:rFonts w:hint="cs"/>
          <w:rtl/>
        </w:rPr>
        <w:t xml:space="preserve">, שיש שני </w:t>
      </w:r>
      <w:r w:rsidR="005114BF">
        <w:rPr>
          <w:rFonts w:hint="cs"/>
          <w:rtl/>
        </w:rPr>
        <w:t>רבדים</w:t>
      </w:r>
      <w:r>
        <w:rPr>
          <w:rFonts w:hint="cs"/>
          <w:rtl/>
        </w:rPr>
        <w:t xml:space="preserve"> בקניין על ידי אישות. </w:t>
      </w:r>
      <w:r w:rsidRPr="00051C0C">
        <w:rPr>
          <w:rFonts w:hint="cs"/>
          <w:b/>
          <w:bCs/>
          <w:rtl/>
        </w:rPr>
        <w:t>רובד בסיסי</w:t>
      </w:r>
      <w:r>
        <w:rPr>
          <w:rFonts w:hint="cs"/>
          <w:rtl/>
        </w:rPr>
        <w:t xml:space="preserve">, שקיים ביהודים כשם שקיים בבני נח, קניין באמצעות אישות </w:t>
      </w:r>
      <w:r w:rsidR="00C22A6F">
        <w:rPr>
          <w:rFonts w:hint="cs"/>
          <w:rtl/>
        </w:rPr>
        <w:t>ה</w:t>
      </w:r>
      <w:r w:rsidR="00532C9B">
        <w:rPr>
          <w:rFonts w:hint="cs"/>
          <w:rtl/>
        </w:rPr>
        <w:t>מודיע שאשה זו אשתו</w:t>
      </w:r>
      <w:r w:rsidR="00C22A6F">
        <w:rPr>
          <w:rFonts w:hint="cs"/>
          <w:rtl/>
        </w:rPr>
        <w:t xml:space="preserve">, </w:t>
      </w:r>
      <w:r w:rsidR="00051C0C">
        <w:rPr>
          <w:rFonts w:hint="cs"/>
          <w:rtl/>
        </w:rPr>
        <w:t>ו</w:t>
      </w:r>
      <w:r w:rsidR="00C22A6F">
        <w:rPr>
          <w:rFonts w:hint="cs"/>
          <w:rtl/>
        </w:rPr>
        <w:t>הבא עליה עובר באיסור עשה של 'דב</w:t>
      </w:r>
      <w:r w:rsidR="00863EBE">
        <w:rPr>
          <w:rFonts w:hint="cs"/>
          <w:rtl/>
        </w:rPr>
        <w:t>ק</w:t>
      </w:r>
      <w:r w:rsidR="00C22A6F">
        <w:rPr>
          <w:rFonts w:hint="cs"/>
          <w:rtl/>
        </w:rPr>
        <w:t xml:space="preserve"> באשתו</w:t>
      </w:r>
      <w:r w:rsidR="00C22A6F">
        <w:t xml:space="preserve"> </w:t>
      </w:r>
      <w:r w:rsidR="00C22A6F">
        <w:rPr>
          <w:rFonts w:hint="cs"/>
          <w:rtl/>
        </w:rPr>
        <w:t>ולא באשת חברו'</w:t>
      </w:r>
      <w:r w:rsidR="00532C9B">
        <w:rPr>
          <w:rFonts w:hint="cs"/>
          <w:rtl/>
        </w:rPr>
        <w:t>.</w:t>
      </w:r>
      <w:r w:rsidR="005114BF">
        <w:rPr>
          <w:rFonts w:hint="cs"/>
          <w:rtl/>
        </w:rPr>
        <w:t xml:space="preserve"> </w:t>
      </w:r>
      <w:r w:rsidR="005114BF" w:rsidRPr="00051C0C">
        <w:rPr>
          <w:rFonts w:hint="cs"/>
          <w:b/>
          <w:bCs/>
          <w:rtl/>
        </w:rPr>
        <w:t>רובד נוסף</w:t>
      </w:r>
      <w:r w:rsidR="005114BF">
        <w:rPr>
          <w:rFonts w:hint="cs"/>
          <w:rtl/>
        </w:rPr>
        <w:t xml:space="preserve"> </w:t>
      </w:r>
      <w:r w:rsidR="00C22A6F">
        <w:rPr>
          <w:rFonts w:hint="cs"/>
          <w:rtl/>
        </w:rPr>
        <w:t xml:space="preserve">על </w:t>
      </w:r>
      <w:r w:rsidR="003828BC">
        <w:rPr>
          <w:rFonts w:hint="cs"/>
          <w:rtl/>
        </w:rPr>
        <w:t>גבי הרובד הבסיסי</w:t>
      </w:r>
      <w:r w:rsidR="00811831">
        <w:rPr>
          <w:rFonts w:hint="cs"/>
          <w:rtl/>
        </w:rPr>
        <w:t xml:space="preserve"> שקיים רק בניש</w:t>
      </w:r>
      <w:r w:rsidR="0069637B">
        <w:rPr>
          <w:rFonts w:hint="cs"/>
          <w:rtl/>
        </w:rPr>
        <w:t>ו</w:t>
      </w:r>
      <w:r w:rsidR="00811831">
        <w:rPr>
          <w:rFonts w:hint="cs"/>
          <w:rtl/>
        </w:rPr>
        <w:t>אי יהודים</w:t>
      </w:r>
      <w:r w:rsidR="003828BC">
        <w:rPr>
          <w:rFonts w:hint="cs"/>
          <w:rtl/>
        </w:rPr>
        <w:t xml:space="preserve">, הוא הרובד הקובע שאשה זו נשואה על פי דת משה וישראל. </w:t>
      </w:r>
    </w:p>
    <w:p w14:paraId="11C234AE" w14:textId="44864447" w:rsidR="00ED478E" w:rsidRDefault="003828BC" w:rsidP="000547E3">
      <w:pPr>
        <w:spacing w:after="80"/>
        <w:rPr>
          <w:rtl/>
        </w:rPr>
      </w:pPr>
      <w:r>
        <w:rPr>
          <w:rFonts w:hint="cs"/>
          <w:rtl/>
        </w:rPr>
        <w:t xml:space="preserve">משום כך, במקרה </w:t>
      </w:r>
      <w:r w:rsidR="00A43B0C">
        <w:rPr>
          <w:rFonts w:hint="cs"/>
          <w:rtl/>
        </w:rPr>
        <w:t>ש</w:t>
      </w:r>
      <w:r>
        <w:rPr>
          <w:rFonts w:hint="cs"/>
          <w:rtl/>
        </w:rPr>
        <w:t xml:space="preserve">בני הזוג </w:t>
      </w:r>
      <w:r w:rsidR="001B7123">
        <w:rPr>
          <w:rFonts w:hint="cs"/>
          <w:rtl/>
        </w:rPr>
        <w:t xml:space="preserve">שהתחתנו בערכאות </w:t>
      </w:r>
      <w:r>
        <w:rPr>
          <w:rFonts w:hint="cs"/>
          <w:rtl/>
        </w:rPr>
        <w:t>מתגרשים, חובה לתת גט בגלל הרובד הראשוני. אמנם במקרה זה יש לכתוב בגט רק פעם אחת שאשה זו מותרת לכל אדם</w:t>
      </w:r>
      <w:r w:rsidR="001B7123">
        <w:rPr>
          <w:rFonts w:hint="cs"/>
          <w:rtl/>
        </w:rPr>
        <w:t>,</w:t>
      </w:r>
      <w:r>
        <w:rPr>
          <w:rFonts w:hint="cs"/>
          <w:rtl/>
        </w:rPr>
        <w:t xml:space="preserve"> ולא פעמיים כבדרך כלל, כיוון שבעוד שהפעם הראשונה באה להורות שקשר</w:t>
      </w:r>
      <w:r w:rsidR="001B7123">
        <w:rPr>
          <w:rFonts w:hint="cs"/>
          <w:rtl/>
        </w:rPr>
        <w:t xml:space="preserve"> האישות</w:t>
      </w:r>
      <w:r>
        <w:rPr>
          <w:rFonts w:hint="cs"/>
          <w:rtl/>
        </w:rPr>
        <w:t xml:space="preserve"> ב</w:t>
      </w:r>
      <w:r w:rsidR="00A43B0C">
        <w:rPr>
          <w:rFonts w:hint="cs"/>
          <w:rtl/>
        </w:rPr>
        <w:t>י</w:t>
      </w:r>
      <w:r>
        <w:rPr>
          <w:rFonts w:hint="cs"/>
          <w:rtl/>
        </w:rPr>
        <w:t>ניהם מתנתק</w:t>
      </w:r>
      <w:r w:rsidR="001B7123">
        <w:rPr>
          <w:rFonts w:hint="cs"/>
          <w:rtl/>
        </w:rPr>
        <w:t>, הפעם השנייה באה להורות שאין ב</w:t>
      </w:r>
      <w:r w:rsidR="00EB3732">
        <w:rPr>
          <w:rFonts w:hint="cs"/>
          <w:rtl/>
        </w:rPr>
        <w:t>י</w:t>
      </w:r>
      <w:r w:rsidR="001B7123">
        <w:rPr>
          <w:rFonts w:hint="cs"/>
          <w:rtl/>
        </w:rPr>
        <w:t xml:space="preserve">ניהם חובות ממוניות, וחובות ממוניות קיימות רק במקרה בו הקידושין </w:t>
      </w:r>
      <w:r w:rsidR="00652FD8">
        <w:rPr>
          <w:rFonts w:hint="cs"/>
          <w:rtl/>
        </w:rPr>
        <w:t xml:space="preserve">הם </w:t>
      </w:r>
      <w:r w:rsidR="001B7123">
        <w:rPr>
          <w:rFonts w:hint="cs"/>
          <w:rtl/>
        </w:rPr>
        <w:t xml:space="preserve">על פי דת משה וישראל. </w:t>
      </w:r>
    </w:p>
    <w:p w14:paraId="4F17AEA3" w14:textId="5A93958E" w:rsidR="00ED478E" w:rsidRPr="00ED478E" w:rsidRDefault="00ED478E" w:rsidP="000547E3">
      <w:pPr>
        <w:spacing w:after="80"/>
        <w:rPr>
          <w:u w:val="single"/>
          <w:rtl/>
        </w:rPr>
      </w:pPr>
      <w:r>
        <w:rPr>
          <w:rFonts w:hint="cs"/>
          <w:u w:val="single"/>
          <w:rtl/>
        </w:rPr>
        <w:t>מה עושים בפועל</w:t>
      </w:r>
    </w:p>
    <w:p w14:paraId="28D287FD" w14:textId="77D4273B" w:rsidR="00B65B62" w:rsidRDefault="00ED478E" w:rsidP="000547E3">
      <w:pPr>
        <w:spacing w:after="80"/>
        <w:rPr>
          <w:rtl/>
        </w:rPr>
      </w:pPr>
      <w:r>
        <w:rPr>
          <w:rFonts w:hint="cs"/>
          <w:rtl/>
        </w:rPr>
        <w:t xml:space="preserve">בפועל נראה </w:t>
      </w:r>
      <w:r w:rsidR="00F72324">
        <w:rPr>
          <w:rFonts w:hint="cs"/>
          <w:rtl/>
        </w:rPr>
        <w:t>ש</w:t>
      </w:r>
      <w:r w:rsidR="00B91C66">
        <w:rPr>
          <w:rFonts w:hint="cs"/>
          <w:rtl/>
        </w:rPr>
        <w:t xml:space="preserve">נוהגים בבתי הדין </w:t>
      </w:r>
      <w:r>
        <w:rPr>
          <w:rFonts w:hint="cs"/>
          <w:rtl/>
        </w:rPr>
        <w:t xml:space="preserve">כדעת </w:t>
      </w:r>
      <w:r w:rsidRPr="00B91C66">
        <w:rPr>
          <w:rFonts w:hint="cs"/>
          <w:b/>
          <w:bCs/>
          <w:rtl/>
        </w:rPr>
        <w:t xml:space="preserve">הרב משה פיינשטיין </w:t>
      </w:r>
      <w:r w:rsidR="00B91C66" w:rsidRPr="00704D8B">
        <w:rPr>
          <w:rFonts w:hint="cs"/>
          <w:sz w:val="18"/>
          <w:szCs w:val="18"/>
          <w:rtl/>
        </w:rPr>
        <w:t>(אגרות משה</w:t>
      </w:r>
      <w:r w:rsidR="00704D8B" w:rsidRPr="00704D8B">
        <w:rPr>
          <w:rFonts w:hint="cs"/>
          <w:sz w:val="18"/>
          <w:szCs w:val="18"/>
          <w:rtl/>
        </w:rPr>
        <w:t xml:space="preserve"> א, עד)</w:t>
      </w:r>
      <w:r w:rsidR="00B91C66">
        <w:rPr>
          <w:rFonts w:hint="cs"/>
          <w:b/>
          <w:bCs/>
          <w:sz w:val="18"/>
          <w:szCs w:val="18"/>
          <w:rtl/>
        </w:rPr>
        <w:t xml:space="preserve"> </w:t>
      </w:r>
      <w:r w:rsidRPr="00B91C66">
        <w:rPr>
          <w:rFonts w:hint="cs"/>
          <w:b/>
          <w:bCs/>
          <w:rtl/>
        </w:rPr>
        <w:t>והרב עובדיה</w:t>
      </w:r>
      <w:r w:rsidR="00704D8B">
        <w:rPr>
          <w:rFonts w:hint="cs"/>
          <w:b/>
          <w:bCs/>
          <w:rtl/>
        </w:rPr>
        <w:t xml:space="preserve"> </w:t>
      </w:r>
      <w:r w:rsidR="00704D8B" w:rsidRPr="00704D8B">
        <w:rPr>
          <w:rFonts w:hint="cs"/>
          <w:sz w:val="18"/>
          <w:szCs w:val="18"/>
          <w:rtl/>
        </w:rPr>
        <w:t>(יביע אומר אבה''ע ו, א)</w:t>
      </w:r>
      <w:r>
        <w:rPr>
          <w:rFonts w:hint="cs"/>
          <w:rtl/>
        </w:rPr>
        <w:t xml:space="preserve">, שאמנם מעיקר הדין אין נישואים אזרחיים ואחריהם מגורים במשותף נחשבים קידושין, </w:t>
      </w:r>
      <w:r w:rsidR="00696D0E">
        <w:rPr>
          <w:rFonts w:hint="cs"/>
          <w:rtl/>
        </w:rPr>
        <w:t xml:space="preserve">אך </w:t>
      </w:r>
      <w:r w:rsidR="00B91C66">
        <w:rPr>
          <w:rFonts w:hint="cs"/>
          <w:rtl/>
        </w:rPr>
        <w:t>מכל מקום במקרה בו אפשר לחוש</w:t>
      </w:r>
      <w:r w:rsidR="00BE4803">
        <w:rPr>
          <w:rFonts w:hint="cs"/>
          <w:rtl/>
        </w:rPr>
        <w:t xml:space="preserve"> </w:t>
      </w:r>
      <w:r w:rsidR="00696D0E">
        <w:rPr>
          <w:rFonts w:hint="cs"/>
          <w:rtl/>
        </w:rPr>
        <w:t xml:space="preserve">בקלות לסוברים שהנישואין חלו, </w:t>
      </w:r>
      <w:r w:rsidR="00BE4803">
        <w:rPr>
          <w:rFonts w:hint="cs"/>
          <w:rtl/>
        </w:rPr>
        <w:t>חוששים.</w:t>
      </w:r>
      <w:r w:rsidR="00696D0E">
        <w:rPr>
          <w:rFonts w:hint="cs"/>
          <w:rtl/>
        </w:rPr>
        <w:t xml:space="preserve"> לכן לדוגמא, במקרה בו הזוג מחליט לפרק את החבילה, מצריכים גט לחשוש שאולי היו נשואים</w:t>
      </w:r>
      <w:r w:rsidR="00497E7E">
        <w:rPr>
          <w:rFonts w:hint="cs"/>
          <w:rtl/>
        </w:rPr>
        <w:t>.</w:t>
      </w:r>
    </w:p>
    <w:p w14:paraId="7848DED6" w14:textId="570E768E" w:rsidR="00035E14" w:rsidRDefault="00696D0E" w:rsidP="000547E3">
      <w:pPr>
        <w:spacing w:after="80"/>
        <w:rPr>
          <w:rtl/>
        </w:rPr>
      </w:pPr>
      <w:r>
        <w:rPr>
          <w:rFonts w:hint="cs"/>
          <w:rtl/>
        </w:rPr>
        <w:t xml:space="preserve">אולם, במקום </w:t>
      </w:r>
      <w:r w:rsidR="004B0182">
        <w:rPr>
          <w:rFonts w:hint="cs"/>
          <w:rtl/>
        </w:rPr>
        <w:t>בו האיש נעלם או מסרב לתת גט ו</w:t>
      </w:r>
      <w:r>
        <w:rPr>
          <w:rFonts w:hint="cs"/>
          <w:rtl/>
        </w:rPr>
        <w:t xml:space="preserve">אשה זו </w:t>
      </w:r>
      <w:r w:rsidR="004B0182">
        <w:rPr>
          <w:rFonts w:hint="cs"/>
          <w:rtl/>
        </w:rPr>
        <w:t xml:space="preserve">תשאר </w:t>
      </w:r>
      <w:r>
        <w:rPr>
          <w:rFonts w:hint="cs"/>
          <w:rtl/>
        </w:rPr>
        <w:t xml:space="preserve">עגונה </w:t>
      </w:r>
      <w:r w:rsidR="004B0182">
        <w:rPr>
          <w:rFonts w:hint="cs"/>
          <w:rtl/>
        </w:rPr>
        <w:t xml:space="preserve">היא </w:t>
      </w:r>
      <w:r>
        <w:rPr>
          <w:rFonts w:hint="cs"/>
          <w:rtl/>
        </w:rPr>
        <w:t xml:space="preserve">מותרת לכתחילה. </w:t>
      </w:r>
      <w:r w:rsidR="004B0182">
        <w:rPr>
          <w:rFonts w:hint="cs"/>
          <w:rtl/>
        </w:rPr>
        <w:t xml:space="preserve">כמו כן, </w:t>
      </w:r>
      <w:r w:rsidR="00B91C66">
        <w:rPr>
          <w:rFonts w:hint="cs"/>
          <w:rtl/>
        </w:rPr>
        <w:t>במקרה בו אשה התחתנה בנישואין אזרחיים במדינה זרה ואף התגרשה שם</w:t>
      </w:r>
      <w:r w:rsidR="00345C0D">
        <w:rPr>
          <w:rFonts w:hint="cs"/>
          <w:rtl/>
        </w:rPr>
        <w:t xml:space="preserve"> </w:t>
      </w:r>
      <w:r w:rsidR="00345C0D" w:rsidRPr="00345C0D">
        <w:rPr>
          <w:rFonts w:hint="cs"/>
          <w:sz w:val="18"/>
          <w:szCs w:val="18"/>
          <w:rtl/>
        </w:rPr>
        <w:t>(כך שלא קיבלה גט)</w:t>
      </w:r>
      <w:r w:rsidR="00B91C66">
        <w:rPr>
          <w:rFonts w:hint="cs"/>
          <w:rtl/>
        </w:rPr>
        <w:t xml:space="preserve">, כאשר היא מגיעה לארץ </w:t>
      </w:r>
      <w:r w:rsidR="00345C0D">
        <w:rPr>
          <w:rFonts w:hint="cs"/>
          <w:rtl/>
        </w:rPr>
        <w:t>לאחר ש</w:t>
      </w:r>
      <w:r w:rsidR="00B91C66">
        <w:rPr>
          <w:rFonts w:hint="cs"/>
          <w:rtl/>
        </w:rPr>
        <w:t xml:space="preserve">התחתנה עם אדם נוסף כדת משה וישראל וילדה לו ילדים, אין להצריכה גט מבעלה הראשון, כיוון שאז </w:t>
      </w:r>
      <w:r w:rsidR="00431715">
        <w:rPr>
          <w:rFonts w:hint="cs"/>
          <w:rtl/>
        </w:rPr>
        <w:t xml:space="preserve">יטעו לחשוב </w:t>
      </w:r>
      <w:r w:rsidR="00B91C66">
        <w:rPr>
          <w:rFonts w:hint="cs"/>
          <w:rtl/>
        </w:rPr>
        <w:t xml:space="preserve">שילדיה </w:t>
      </w:r>
      <w:r w:rsidR="00676C78">
        <w:rPr>
          <w:rFonts w:hint="cs"/>
          <w:rtl/>
        </w:rPr>
        <w:t xml:space="preserve">מבעלה השני </w:t>
      </w:r>
      <w:r w:rsidR="00B91C66">
        <w:rPr>
          <w:rFonts w:hint="cs"/>
          <w:rtl/>
        </w:rPr>
        <w:t>ממזרים.</w:t>
      </w:r>
    </w:p>
    <w:p w14:paraId="08F65EE4" w14:textId="7062261C" w:rsidR="00035E14" w:rsidRPr="000547E3" w:rsidRDefault="00035E14" w:rsidP="000547E3">
      <w:pPr>
        <w:spacing w:after="80"/>
        <w:rPr>
          <w:b/>
          <w:bCs/>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035E14" w:rsidRPr="000547E3" w:rsidSect="00770F9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1DCEE" w14:textId="77777777" w:rsidR="00A15D61" w:rsidRDefault="00A15D61" w:rsidP="00AC285F">
      <w:pPr>
        <w:spacing w:after="0" w:line="240" w:lineRule="auto"/>
      </w:pPr>
      <w:r>
        <w:separator/>
      </w:r>
    </w:p>
  </w:endnote>
  <w:endnote w:type="continuationSeparator" w:id="0">
    <w:p w14:paraId="55107566" w14:textId="77777777" w:rsidR="00A15D61" w:rsidRDefault="00A15D61" w:rsidP="00AC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EB468" w14:textId="77777777" w:rsidR="00A15D61" w:rsidRDefault="00A15D61" w:rsidP="00AC285F">
      <w:pPr>
        <w:spacing w:after="0" w:line="240" w:lineRule="auto"/>
      </w:pPr>
      <w:r>
        <w:separator/>
      </w:r>
    </w:p>
  </w:footnote>
  <w:footnote w:type="continuationSeparator" w:id="0">
    <w:p w14:paraId="3BBD70A5" w14:textId="77777777" w:rsidR="00A15D61" w:rsidRDefault="00A15D61" w:rsidP="00AC285F">
      <w:pPr>
        <w:spacing w:after="0" w:line="240" w:lineRule="auto"/>
      </w:pPr>
      <w:r>
        <w:continuationSeparator/>
      </w:r>
    </w:p>
  </w:footnote>
  <w:footnote w:id="1">
    <w:p w14:paraId="20ADD6DB" w14:textId="22A81463" w:rsidR="002A3623" w:rsidRDefault="002A3623" w:rsidP="002A3623">
      <w:pPr>
        <w:pStyle w:val="a3"/>
        <w:rPr>
          <w:rtl/>
        </w:rPr>
      </w:pPr>
      <w:r>
        <w:rPr>
          <w:rStyle w:val="a5"/>
        </w:rPr>
        <w:footnoteRef/>
      </w:r>
      <w:r>
        <w:rPr>
          <w:rtl/>
        </w:rPr>
        <w:t xml:space="preserve"> </w:t>
      </w:r>
      <w:r>
        <w:rPr>
          <w:rFonts w:hint="cs"/>
          <w:rtl/>
        </w:rPr>
        <w:t>כפי שראינו בעבר</w:t>
      </w:r>
      <w:r w:rsidR="002F2CF4">
        <w:rPr>
          <w:rFonts w:hint="cs"/>
          <w:rtl/>
        </w:rPr>
        <w:t xml:space="preserve"> </w:t>
      </w:r>
      <w:r w:rsidR="002F2CF4">
        <w:rPr>
          <w:rFonts w:hint="cs"/>
          <w:sz w:val="16"/>
          <w:szCs w:val="16"/>
          <w:rtl/>
        </w:rPr>
        <w:t>(שמות שנה ג')</w:t>
      </w:r>
      <w:r>
        <w:rPr>
          <w:rFonts w:hint="cs"/>
          <w:rtl/>
        </w:rPr>
        <w:t xml:space="preserve">, </w:t>
      </w:r>
      <w:r w:rsidR="002F2CF4">
        <w:rPr>
          <w:rFonts w:hint="cs"/>
          <w:rtl/>
        </w:rPr>
        <w:t xml:space="preserve">בעקבות כך שהחתן מכניס את הכלה לביתו (= חדר הייחוד) נוצרת בעיה, כיוון שלאחר מכן היא נשואה הן מהתורה והן מדרבנן, ובוודאי חייבת בכיסוי ראש. בביאור המנהג נאמרו תירוצים רבים, כאשר יש שכתבו להקל </w:t>
      </w:r>
      <w:r w:rsidR="00B34D2F">
        <w:rPr>
          <w:rFonts w:hint="cs"/>
          <w:rtl/>
        </w:rPr>
        <w:t>מפני</w:t>
      </w:r>
      <w:r w:rsidR="002F2CF4">
        <w:rPr>
          <w:rFonts w:hint="cs"/>
          <w:rtl/>
        </w:rPr>
        <w:t xml:space="preserve"> שהכלה נשארת עם ההינומה על ראשה, ויש שכתבו שמעש</w:t>
      </w:r>
      <w:r w:rsidR="003C42BB">
        <w:rPr>
          <w:rFonts w:hint="cs"/>
          <w:rtl/>
        </w:rPr>
        <w:t>ה</w:t>
      </w:r>
      <w:r w:rsidR="002F2CF4">
        <w:rPr>
          <w:rFonts w:hint="cs"/>
          <w:rtl/>
        </w:rPr>
        <w:t xml:space="preserve"> הנישואין נגמרים</w:t>
      </w:r>
      <w:r w:rsidR="00EE1565">
        <w:rPr>
          <w:rFonts w:hint="cs"/>
          <w:rtl/>
        </w:rPr>
        <w:t xml:space="preserve"> רק כאשר החתן מ</w:t>
      </w:r>
      <w:r w:rsidR="00ED74C1">
        <w:rPr>
          <w:rFonts w:hint="cs"/>
          <w:rtl/>
        </w:rPr>
        <w:t>תייחד עם אשתו</w:t>
      </w:r>
      <w:r w:rsidR="00EE1565">
        <w:rPr>
          <w:rFonts w:hint="cs"/>
          <w:rtl/>
        </w:rPr>
        <w:t xml:space="preserve"> </w:t>
      </w:r>
      <w:r w:rsidR="00ED74C1">
        <w:rPr>
          <w:rFonts w:hint="cs"/>
          <w:rtl/>
        </w:rPr>
        <w:t>ב</w:t>
      </w:r>
      <w:r w:rsidR="00EE1565">
        <w:rPr>
          <w:rFonts w:hint="cs"/>
          <w:rtl/>
        </w:rPr>
        <w:t>ביתו</w:t>
      </w:r>
      <w:r w:rsidR="00DB4766">
        <w:rPr>
          <w:rFonts w:hint="cs"/>
          <w:rtl/>
        </w:rPr>
        <w:t xml:space="preserve"> ממש</w:t>
      </w:r>
      <w:r w:rsidR="00EE1565">
        <w:rPr>
          <w:rFonts w:hint="cs"/>
          <w:rtl/>
        </w:rPr>
        <w:t xml:space="preserve">. </w:t>
      </w:r>
    </w:p>
  </w:footnote>
  <w:footnote w:id="2">
    <w:p w14:paraId="6C66B2FA" w14:textId="2EDEF9CB" w:rsidR="003A2678" w:rsidRDefault="003A2678">
      <w:pPr>
        <w:pStyle w:val="a3"/>
        <w:rPr>
          <w:rtl/>
        </w:rPr>
      </w:pPr>
      <w:r>
        <w:rPr>
          <w:rStyle w:val="a5"/>
        </w:rPr>
        <w:footnoteRef/>
      </w:r>
      <w:r>
        <w:rPr>
          <w:rtl/>
        </w:rPr>
        <w:t xml:space="preserve"> </w:t>
      </w:r>
      <w:r w:rsidR="00A5768B">
        <w:rPr>
          <w:rFonts w:hint="cs"/>
          <w:rtl/>
        </w:rPr>
        <w:t xml:space="preserve">עם זאת, </w:t>
      </w:r>
      <w:r w:rsidRPr="003A2678">
        <w:rPr>
          <w:rFonts w:hint="cs"/>
          <w:b/>
          <w:bCs/>
          <w:rtl/>
        </w:rPr>
        <w:t>החלקת מחוקק</w:t>
      </w:r>
      <w:r>
        <w:rPr>
          <w:rFonts w:hint="cs"/>
          <w:rtl/>
        </w:rPr>
        <w:t xml:space="preserve"> </w:t>
      </w:r>
      <w:r>
        <w:rPr>
          <w:rFonts w:hint="cs"/>
          <w:sz w:val="16"/>
          <w:szCs w:val="16"/>
          <w:rtl/>
        </w:rPr>
        <w:t xml:space="preserve">(אבה''ע כו, ג) </w:t>
      </w:r>
      <w:r>
        <w:rPr>
          <w:rFonts w:hint="cs"/>
          <w:rtl/>
        </w:rPr>
        <w:t>העיר, שכאשר כתב הריב''ש שאין נישואיהם נישואים, זה רק במקרה בו הם לא מקיימים גם שאר מצוות, אך במקרה בו מקיימים ורק נאלצים להתחתן בכנסיה מחמת עיני הנוצרים - גם לשיטתו מסתמא הוא בועל לשם קידושין. אמנם, לפי סברת השאגת אריה שבזמן הזה לא מודעים לאפשרות זו, ייתכן שגם במקרה</w:t>
      </w:r>
      <w:r w:rsidR="00176EFC">
        <w:rPr>
          <w:rFonts w:hint="cs"/>
          <w:rtl/>
        </w:rPr>
        <w:t xml:space="preserve"> זה</w:t>
      </w:r>
      <w:r>
        <w:rPr>
          <w:rFonts w:hint="cs"/>
          <w:rtl/>
        </w:rPr>
        <w:t xml:space="preserve"> יש להקל משום תקנת עגונות.</w:t>
      </w:r>
    </w:p>
  </w:footnote>
  <w:footnote w:id="3">
    <w:p w14:paraId="7ED4D6E9" w14:textId="77777777" w:rsidR="00035E14" w:rsidRPr="000E67A9" w:rsidRDefault="00035E14" w:rsidP="00035E14">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37"/>
    <w:rsid w:val="000022B8"/>
    <w:rsid w:val="00010C55"/>
    <w:rsid w:val="000112FE"/>
    <w:rsid w:val="00016240"/>
    <w:rsid w:val="000218EA"/>
    <w:rsid w:val="00035E14"/>
    <w:rsid w:val="00051C0C"/>
    <w:rsid w:val="00051D0D"/>
    <w:rsid w:val="000547E3"/>
    <w:rsid w:val="000772EA"/>
    <w:rsid w:val="00082671"/>
    <w:rsid w:val="000937DF"/>
    <w:rsid w:val="00097512"/>
    <w:rsid w:val="000A029A"/>
    <w:rsid w:val="000B01CE"/>
    <w:rsid w:val="000B1C68"/>
    <w:rsid w:val="000C2E50"/>
    <w:rsid w:val="000D2879"/>
    <w:rsid w:val="000D55C6"/>
    <w:rsid w:val="000F12F1"/>
    <w:rsid w:val="000F6345"/>
    <w:rsid w:val="00100767"/>
    <w:rsid w:val="00107D30"/>
    <w:rsid w:val="00116B61"/>
    <w:rsid w:val="0012591C"/>
    <w:rsid w:val="001365CA"/>
    <w:rsid w:val="00141EC3"/>
    <w:rsid w:val="00155038"/>
    <w:rsid w:val="00167F29"/>
    <w:rsid w:val="00175DB2"/>
    <w:rsid w:val="00175FE7"/>
    <w:rsid w:val="00176B83"/>
    <w:rsid w:val="00176EFC"/>
    <w:rsid w:val="00192995"/>
    <w:rsid w:val="001B3694"/>
    <w:rsid w:val="001B7123"/>
    <w:rsid w:val="001C232A"/>
    <w:rsid w:val="002034F2"/>
    <w:rsid w:val="002056F8"/>
    <w:rsid w:val="002145AF"/>
    <w:rsid w:val="00234DB3"/>
    <w:rsid w:val="00242848"/>
    <w:rsid w:val="00246E50"/>
    <w:rsid w:val="00250C8A"/>
    <w:rsid w:val="0028606F"/>
    <w:rsid w:val="002A3623"/>
    <w:rsid w:val="002A5BC7"/>
    <w:rsid w:val="002A70C5"/>
    <w:rsid w:val="002B1728"/>
    <w:rsid w:val="002D23CF"/>
    <w:rsid w:val="002F2CF4"/>
    <w:rsid w:val="00302336"/>
    <w:rsid w:val="00306F6E"/>
    <w:rsid w:val="0031524B"/>
    <w:rsid w:val="003156B4"/>
    <w:rsid w:val="00342C14"/>
    <w:rsid w:val="00345C0D"/>
    <w:rsid w:val="00362915"/>
    <w:rsid w:val="003663FE"/>
    <w:rsid w:val="0037338D"/>
    <w:rsid w:val="003828BC"/>
    <w:rsid w:val="003860D3"/>
    <w:rsid w:val="003A2678"/>
    <w:rsid w:val="003A506E"/>
    <w:rsid w:val="003B779D"/>
    <w:rsid w:val="003C42BB"/>
    <w:rsid w:val="003D41FA"/>
    <w:rsid w:val="003D5222"/>
    <w:rsid w:val="003D54C3"/>
    <w:rsid w:val="003E3824"/>
    <w:rsid w:val="003E44E6"/>
    <w:rsid w:val="003E4C08"/>
    <w:rsid w:val="00406574"/>
    <w:rsid w:val="00417908"/>
    <w:rsid w:val="00431715"/>
    <w:rsid w:val="00435ACA"/>
    <w:rsid w:val="004449EE"/>
    <w:rsid w:val="004576C0"/>
    <w:rsid w:val="00463967"/>
    <w:rsid w:val="00476798"/>
    <w:rsid w:val="00481E94"/>
    <w:rsid w:val="00497E7E"/>
    <w:rsid w:val="004B0182"/>
    <w:rsid w:val="004B5F38"/>
    <w:rsid w:val="004C35E0"/>
    <w:rsid w:val="004C6F7B"/>
    <w:rsid w:val="004C7710"/>
    <w:rsid w:val="004E2088"/>
    <w:rsid w:val="004F07FB"/>
    <w:rsid w:val="0050743D"/>
    <w:rsid w:val="005114BF"/>
    <w:rsid w:val="005146B1"/>
    <w:rsid w:val="00532C9B"/>
    <w:rsid w:val="0054351E"/>
    <w:rsid w:val="005522F8"/>
    <w:rsid w:val="00560CF1"/>
    <w:rsid w:val="00564553"/>
    <w:rsid w:val="005713E2"/>
    <w:rsid w:val="005879B0"/>
    <w:rsid w:val="005A7930"/>
    <w:rsid w:val="005B1D07"/>
    <w:rsid w:val="005C0D0F"/>
    <w:rsid w:val="005C0DBF"/>
    <w:rsid w:val="005C5B32"/>
    <w:rsid w:val="005D3B7E"/>
    <w:rsid w:val="005E48F1"/>
    <w:rsid w:val="00605F70"/>
    <w:rsid w:val="006516AB"/>
    <w:rsid w:val="00652028"/>
    <w:rsid w:val="00652FD8"/>
    <w:rsid w:val="00655A71"/>
    <w:rsid w:val="00666128"/>
    <w:rsid w:val="00676C78"/>
    <w:rsid w:val="006816A4"/>
    <w:rsid w:val="00690397"/>
    <w:rsid w:val="0069637B"/>
    <w:rsid w:val="00696D0E"/>
    <w:rsid w:val="006A1894"/>
    <w:rsid w:val="006B351F"/>
    <w:rsid w:val="006B524A"/>
    <w:rsid w:val="00704D8B"/>
    <w:rsid w:val="00714473"/>
    <w:rsid w:val="007155A7"/>
    <w:rsid w:val="00724FAE"/>
    <w:rsid w:val="007274A1"/>
    <w:rsid w:val="007345BE"/>
    <w:rsid w:val="00770F9F"/>
    <w:rsid w:val="007734E5"/>
    <w:rsid w:val="00786BE0"/>
    <w:rsid w:val="00794533"/>
    <w:rsid w:val="00811831"/>
    <w:rsid w:val="008577F5"/>
    <w:rsid w:val="00863EBE"/>
    <w:rsid w:val="008932F6"/>
    <w:rsid w:val="008A40D0"/>
    <w:rsid w:val="008A5F67"/>
    <w:rsid w:val="008A7821"/>
    <w:rsid w:val="008C168A"/>
    <w:rsid w:val="008D3509"/>
    <w:rsid w:val="008D7D45"/>
    <w:rsid w:val="008E191D"/>
    <w:rsid w:val="00911F1A"/>
    <w:rsid w:val="00922BD7"/>
    <w:rsid w:val="009374B7"/>
    <w:rsid w:val="00937EC5"/>
    <w:rsid w:val="00946A07"/>
    <w:rsid w:val="00947B83"/>
    <w:rsid w:val="00964355"/>
    <w:rsid w:val="00964746"/>
    <w:rsid w:val="0099543B"/>
    <w:rsid w:val="009A6D63"/>
    <w:rsid w:val="009B16DA"/>
    <w:rsid w:val="009C263F"/>
    <w:rsid w:val="009C3C30"/>
    <w:rsid w:val="009D0A19"/>
    <w:rsid w:val="009D2F64"/>
    <w:rsid w:val="00A15D61"/>
    <w:rsid w:val="00A22C84"/>
    <w:rsid w:val="00A355A7"/>
    <w:rsid w:val="00A43B0C"/>
    <w:rsid w:val="00A5768B"/>
    <w:rsid w:val="00A63815"/>
    <w:rsid w:val="00AA7195"/>
    <w:rsid w:val="00AC285F"/>
    <w:rsid w:val="00AC57D6"/>
    <w:rsid w:val="00AD2FFD"/>
    <w:rsid w:val="00AD5428"/>
    <w:rsid w:val="00AE20FB"/>
    <w:rsid w:val="00AE35D1"/>
    <w:rsid w:val="00AE552A"/>
    <w:rsid w:val="00B10091"/>
    <w:rsid w:val="00B12C03"/>
    <w:rsid w:val="00B34D2F"/>
    <w:rsid w:val="00B60883"/>
    <w:rsid w:val="00B61387"/>
    <w:rsid w:val="00B63437"/>
    <w:rsid w:val="00B63A89"/>
    <w:rsid w:val="00B64F20"/>
    <w:rsid w:val="00B65B62"/>
    <w:rsid w:val="00B75B43"/>
    <w:rsid w:val="00B91C66"/>
    <w:rsid w:val="00B94E27"/>
    <w:rsid w:val="00BA2DAB"/>
    <w:rsid w:val="00BB2FEA"/>
    <w:rsid w:val="00BC3442"/>
    <w:rsid w:val="00BE4803"/>
    <w:rsid w:val="00C145B2"/>
    <w:rsid w:val="00C22A6F"/>
    <w:rsid w:val="00C403F7"/>
    <w:rsid w:val="00C46E8F"/>
    <w:rsid w:val="00C5698C"/>
    <w:rsid w:val="00C63ABE"/>
    <w:rsid w:val="00C860EC"/>
    <w:rsid w:val="00CA420F"/>
    <w:rsid w:val="00CC0F8B"/>
    <w:rsid w:val="00CD1816"/>
    <w:rsid w:val="00CE0801"/>
    <w:rsid w:val="00CE7CD8"/>
    <w:rsid w:val="00CE7DF3"/>
    <w:rsid w:val="00CF7B28"/>
    <w:rsid w:val="00D03C14"/>
    <w:rsid w:val="00D15B24"/>
    <w:rsid w:val="00D17E3B"/>
    <w:rsid w:val="00D2445F"/>
    <w:rsid w:val="00D43835"/>
    <w:rsid w:val="00D5772D"/>
    <w:rsid w:val="00D66088"/>
    <w:rsid w:val="00D96922"/>
    <w:rsid w:val="00DA237C"/>
    <w:rsid w:val="00DB4766"/>
    <w:rsid w:val="00DE3D3A"/>
    <w:rsid w:val="00DE6E25"/>
    <w:rsid w:val="00DF774B"/>
    <w:rsid w:val="00E202E1"/>
    <w:rsid w:val="00E34CFD"/>
    <w:rsid w:val="00E42D7A"/>
    <w:rsid w:val="00E63CBB"/>
    <w:rsid w:val="00E81996"/>
    <w:rsid w:val="00E92D3B"/>
    <w:rsid w:val="00E96DE4"/>
    <w:rsid w:val="00EA1CA3"/>
    <w:rsid w:val="00EB3732"/>
    <w:rsid w:val="00EC6A94"/>
    <w:rsid w:val="00ED154C"/>
    <w:rsid w:val="00ED478E"/>
    <w:rsid w:val="00ED74C1"/>
    <w:rsid w:val="00EE1565"/>
    <w:rsid w:val="00EE15C5"/>
    <w:rsid w:val="00EE5F4D"/>
    <w:rsid w:val="00EF0938"/>
    <w:rsid w:val="00EF68EC"/>
    <w:rsid w:val="00F011E6"/>
    <w:rsid w:val="00F0294D"/>
    <w:rsid w:val="00F452FF"/>
    <w:rsid w:val="00F539F1"/>
    <w:rsid w:val="00F67211"/>
    <w:rsid w:val="00F72324"/>
    <w:rsid w:val="00F73A5A"/>
    <w:rsid w:val="00F75D73"/>
    <w:rsid w:val="00F912F6"/>
    <w:rsid w:val="00FA01BC"/>
    <w:rsid w:val="00FB0041"/>
    <w:rsid w:val="00FB17D0"/>
    <w:rsid w:val="00FB2322"/>
    <w:rsid w:val="00FB60A8"/>
    <w:rsid w:val="00FC097D"/>
    <w:rsid w:val="00FE1A96"/>
    <w:rsid w:val="00FF3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FBF6"/>
  <w15:chartTrackingRefBased/>
  <w15:docId w15:val="{F32082B0-8CBD-4E67-B441-B2A08E79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C285F"/>
    <w:pPr>
      <w:spacing w:after="0" w:line="240" w:lineRule="auto"/>
    </w:pPr>
    <w:rPr>
      <w:sz w:val="20"/>
      <w:szCs w:val="20"/>
    </w:rPr>
  </w:style>
  <w:style w:type="character" w:customStyle="1" w:styleId="a4">
    <w:name w:val="טקסט הערת שוליים תו"/>
    <w:basedOn w:val="a0"/>
    <w:link w:val="a3"/>
    <w:uiPriority w:val="99"/>
    <w:rsid w:val="00AC285F"/>
    <w:rPr>
      <w:sz w:val="20"/>
      <w:szCs w:val="20"/>
    </w:rPr>
  </w:style>
  <w:style w:type="character" w:styleId="a5">
    <w:name w:val="footnote reference"/>
    <w:basedOn w:val="a0"/>
    <w:uiPriority w:val="99"/>
    <w:semiHidden/>
    <w:unhideWhenUsed/>
    <w:rsid w:val="00AC285F"/>
    <w:rPr>
      <w:vertAlign w:val="superscript"/>
    </w:rPr>
  </w:style>
  <w:style w:type="paragraph" w:styleId="a6">
    <w:name w:val="List Paragraph"/>
    <w:basedOn w:val="a"/>
    <w:uiPriority w:val="34"/>
    <w:qFormat/>
    <w:rsid w:val="00463967"/>
    <w:pPr>
      <w:spacing w:after="0" w:line="240" w:lineRule="auto"/>
      <w:ind w:left="720"/>
      <w:contextualSpacing/>
    </w:pPr>
  </w:style>
  <w:style w:type="character" w:styleId="Hyperlink">
    <w:name w:val="Hyperlink"/>
    <w:basedOn w:val="a0"/>
    <w:uiPriority w:val="99"/>
    <w:semiHidden/>
    <w:unhideWhenUsed/>
    <w:rsid w:val="00035E14"/>
    <w:rPr>
      <w:color w:val="0000FF"/>
      <w:u w:val="single"/>
    </w:rPr>
  </w:style>
  <w:style w:type="paragraph" w:styleId="a7">
    <w:name w:val="header"/>
    <w:basedOn w:val="a"/>
    <w:link w:val="a8"/>
    <w:uiPriority w:val="99"/>
    <w:unhideWhenUsed/>
    <w:rsid w:val="00B75B43"/>
    <w:pPr>
      <w:tabs>
        <w:tab w:val="center" w:pos="4153"/>
        <w:tab w:val="right" w:pos="8306"/>
      </w:tabs>
      <w:spacing w:after="0" w:line="240" w:lineRule="auto"/>
    </w:pPr>
  </w:style>
  <w:style w:type="character" w:customStyle="1" w:styleId="a8">
    <w:name w:val="כותרת עליונה תו"/>
    <w:basedOn w:val="a0"/>
    <w:link w:val="a7"/>
    <w:uiPriority w:val="99"/>
    <w:rsid w:val="00B75B43"/>
  </w:style>
  <w:style w:type="paragraph" w:styleId="a9">
    <w:name w:val="footer"/>
    <w:basedOn w:val="a"/>
    <w:link w:val="aa"/>
    <w:uiPriority w:val="99"/>
    <w:unhideWhenUsed/>
    <w:rsid w:val="00B75B43"/>
    <w:pPr>
      <w:tabs>
        <w:tab w:val="center" w:pos="4153"/>
        <w:tab w:val="right" w:pos="8306"/>
      </w:tabs>
      <w:spacing w:after="0" w:line="240" w:lineRule="auto"/>
    </w:pPr>
  </w:style>
  <w:style w:type="character" w:customStyle="1" w:styleId="aa">
    <w:name w:val="כותרת תחתונה תו"/>
    <w:basedOn w:val="a0"/>
    <w:link w:val="a9"/>
    <w:uiPriority w:val="99"/>
    <w:rsid w:val="00B75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3642">
      <w:bodyDiv w:val="1"/>
      <w:marLeft w:val="0"/>
      <w:marRight w:val="0"/>
      <w:marTop w:val="0"/>
      <w:marBottom w:val="0"/>
      <w:divBdr>
        <w:top w:val="none" w:sz="0" w:space="0" w:color="auto"/>
        <w:left w:val="none" w:sz="0" w:space="0" w:color="auto"/>
        <w:bottom w:val="none" w:sz="0" w:space="0" w:color="auto"/>
        <w:right w:val="none" w:sz="0" w:space="0" w:color="auto"/>
      </w:divBdr>
    </w:div>
    <w:div w:id="929043895">
      <w:bodyDiv w:val="1"/>
      <w:marLeft w:val="0"/>
      <w:marRight w:val="0"/>
      <w:marTop w:val="0"/>
      <w:marBottom w:val="0"/>
      <w:divBdr>
        <w:top w:val="none" w:sz="0" w:space="0" w:color="auto"/>
        <w:left w:val="none" w:sz="0" w:space="0" w:color="auto"/>
        <w:bottom w:val="none" w:sz="0" w:space="0" w:color="auto"/>
        <w:right w:val="none" w:sz="0" w:space="0" w:color="auto"/>
      </w:divBdr>
    </w:div>
    <w:div w:id="1329209024">
      <w:bodyDiv w:val="1"/>
      <w:marLeft w:val="0"/>
      <w:marRight w:val="0"/>
      <w:marTop w:val="0"/>
      <w:marBottom w:val="0"/>
      <w:divBdr>
        <w:top w:val="none" w:sz="0" w:space="0" w:color="auto"/>
        <w:left w:val="none" w:sz="0" w:space="0" w:color="auto"/>
        <w:bottom w:val="none" w:sz="0" w:space="0" w:color="auto"/>
        <w:right w:val="none" w:sz="0" w:space="0" w:color="auto"/>
      </w:divBdr>
    </w:div>
    <w:div w:id="1690646429">
      <w:bodyDiv w:val="1"/>
      <w:marLeft w:val="0"/>
      <w:marRight w:val="0"/>
      <w:marTop w:val="0"/>
      <w:marBottom w:val="0"/>
      <w:divBdr>
        <w:top w:val="none" w:sz="0" w:space="0" w:color="auto"/>
        <w:left w:val="none" w:sz="0" w:space="0" w:color="auto"/>
        <w:bottom w:val="none" w:sz="0" w:space="0" w:color="auto"/>
        <w:right w:val="none" w:sz="0" w:space="0" w:color="auto"/>
      </w:divBdr>
    </w:div>
    <w:div w:id="1747989523">
      <w:bodyDiv w:val="1"/>
      <w:marLeft w:val="0"/>
      <w:marRight w:val="0"/>
      <w:marTop w:val="0"/>
      <w:marBottom w:val="0"/>
      <w:divBdr>
        <w:top w:val="none" w:sz="0" w:space="0" w:color="auto"/>
        <w:left w:val="none" w:sz="0" w:space="0" w:color="auto"/>
        <w:bottom w:val="none" w:sz="0" w:space="0" w:color="auto"/>
        <w:right w:val="none" w:sz="0" w:space="0" w:color="auto"/>
      </w:divBdr>
    </w:div>
    <w:div w:id="1872918177">
      <w:bodyDiv w:val="1"/>
      <w:marLeft w:val="0"/>
      <w:marRight w:val="0"/>
      <w:marTop w:val="0"/>
      <w:marBottom w:val="0"/>
      <w:divBdr>
        <w:top w:val="none" w:sz="0" w:space="0" w:color="auto"/>
        <w:left w:val="none" w:sz="0" w:space="0" w:color="auto"/>
        <w:bottom w:val="none" w:sz="0" w:space="0" w:color="auto"/>
        <w:right w:val="none" w:sz="0" w:space="0" w:color="auto"/>
      </w:divBdr>
    </w:div>
    <w:div w:id="208510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2</Pages>
  <Words>1442</Words>
  <Characters>7215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229</cp:revision>
  <cp:lastPrinted>2023-05-15T09:31:00Z</cp:lastPrinted>
  <dcterms:created xsi:type="dcterms:W3CDTF">2022-05-09T08:16:00Z</dcterms:created>
  <dcterms:modified xsi:type="dcterms:W3CDTF">2023-05-15T09:31:00Z</dcterms:modified>
</cp:coreProperties>
</file>