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F7E5" w14:textId="66FCEAE2" w:rsidR="0050743D" w:rsidRDefault="00821635" w:rsidP="0048237F">
      <w:pPr>
        <w:spacing w:after="20"/>
        <w:rPr>
          <w:b/>
          <w:bCs/>
          <w:sz w:val="36"/>
          <w:szCs w:val="36"/>
          <w:rtl/>
        </w:rPr>
      </w:pPr>
      <w:r>
        <w:rPr>
          <w:rFonts w:hint="cs"/>
          <w:rtl/>
        </w:rPr>
        <w:t>בס''ד</w:t>
      </w:r>
      <w:r>
        <w:rPr>
          <w:rtl/>
        </w:rPr>
        <w:tab/>
      </w:r>
      <w:r>
        <w:rPr>
          <w:rtl/>
        </w:rPr>
        <w:tab/>
      </w:r>
      <w:r>
        <w:rPr>
          <w:rFonts w:hint="cs"/>
          <w:rtl/>
        </w:rPr>
        <w:t xml:space="preserve">    </w:t>
      </w:r>
      <w:r w:rsidRPr="00821635">
        <w:rPr>
          <w:rFonts w:hint="cs"/>
          <w:b/>
          <w:bCs/>
          <w:sz w:val="36"/>
          <w:szCs w:val="36"/>
          <w:rtl/>
        </w:rPr>
        <w:t>פרשת כי תשא: אגרו</w:t>
      </w:r>
      <w:r w:rsidR="00B81BB8">
        <w:rPr>
          <w:rFonts w:hint="cs"/>
          <w:b/>
          <w:bCs/>
          <w:sz w:val="36"/>
          <w:szCs w:val="36"/>
          <w:rtl/>
        </w:rPr>
        <w:t>ת</w:t>
      </w:r>
      <w:r w:rsidRPr="00821635">
        <w:rPr>
          <w:rFonts w:hint="cs"/>
          <w:b/>
          <w:bCs/>
          <w:sz w:val="36"/>
          <w:szCs w:val="36"/>
          <w:rtl/>
        </w:rPr>
        <w:t xml:space="preserve"> הרמב"ם המרכזיות - חלק ג'</w:t>
      </w:r>
    </w:p>
    <w:p w14:paraId="7AF5A0D5" w14:textId="2C2EA566" w:rsidR="005B2984" w:rsidRDefault="005B2984" w:rsidP="0048237F">
      <w:pPr>
        <w:spacing w:after="20"/>
        <w:rPr>
          <w:b/>
          <w:bCs/>
          <w:u w:val="single"/>
          <w:rtl/>
        </w:rPr>
      </w:pPr>
      <w:r w:rsidRPr="005B2984">
        <w:rPr>
          <w:rFonts w:hint="cs"/>
          <w:b/>
          <w:bCs/>
          <w:u w:val="single"/>
          <w:rtl/>
        </w:rPr>
        <w:t>פתיחה</w:t>
      </w:r>
    </w:p>
    <w:p w14:paraId="148C0D14" w14:textId="16F24EF2" w:rsidR="005B2984" w:rsidRDefault="005B2984" w:rsidP="001B640A">
      <w:pPr>
        <w:spacing w:after="40"/>
        <w:rPr>
          <w:rtl/>
        </w:rPr>
      </w:pPr>
      <w:r>
        <w:rPr>
          <w:rFonts w:hint="cs"/>
          <w:rtl/>
        </w:rPr>
        <w:t>בשבועיים האחרונים</w:t>
      </w:r>
      <w:r w:rsidR="003D3F23">
        <w:rPr>
          <w:rFonts w:hint="cs"/>
          <w:rtl/>
        </w:rPr>
        <w:t xml:space="preserve"> </w:t>
      </w:r>
      <w:r w:rsidR="003D3F23">
        <w:rPr>
          <w:rFonts w:hint="cs"/>
          <w:sz w:val="18"/>
          <w:szCs w:val="18"/>
          <w:rtl/>
        </w:rPr>
        <w:t>(תרומה - תצווה שנה ה')</w:t>
      </w:r>
      <w:r>
        <w:rPr>
          <w:rFonts w:hint="cs"/>
          <w:rtl/>
        </w:rPr>
        <w:t xml:space="preserve">, </w:t>
      </w:r>
      <w:r w:rsidR="001B572C">
        <w:rPr>
          <w:rFonts w:hint="cs"/>
          <w:rtl/>
        </w:rPr>
        <w:t>עסקנו</w:t>
      </w:r>
      <w:r w:rsidR="00A81C7E">
        <w:rPr>
          <w:rFonts w:hint="cs"/>
          <w:rtl/>
        </w:rPr>
        <w:t xml:space="preserve"> בחלק מ</w:t>
      </w:r>
      <w:r>
        <w:rPr>
          <w:rFonts w:hint="cs"/>
          <w:rtl/>
        </w:rPr>
        <w:t>אגרות הרמב''ם המרכזיות</w:t>
      </w:r>
      <w:r w:rsidR="001B4B92">
        <w:rPr>
          <w:rFonts w:hint="cs"/>
          <w:rtl/>
        </w:rPr>
        <w:t>,</w:t>
      </w:r>
      <w:r w:rsidR="00FB0390">
        <w:rPr>
          <w:rFonts w:hint="cs"/>
          <w:rtl/>
        </w:rPr>
        <w:t xml:space="preserve"> הנוגעות </w:t>
      </w:r>
      <w:r w:rsidR="000F300D">
        <w:rPr>
          <w:rFonts w:hint="cs"/>
          <w:rtl/>
        </w:rPr>
        <w:t>גם ב</w:t>
      </w:r>
      <w:r w:rsidR="00FB0390">
        <w:rPr>
          <w:rFonts w:hint="cs"/>
          <w:rtl/>
        </w:rPr>
        <w:t>עניינים הלכתיים</w:t>
      </w:r>
      <w:r>
        <w:rPr>
          <w:rFonts w:hint="cs"/>
          <w:rtl/>
        </w:rPr>
        <w:t>. בפרשת תרומה עסקנו באגרת השמד ו</w:t>
      </w:r>
      <w:r w:rsidR="002F6C70">
        <w:rPr>
          <w:rFonts w:hint="cs"/>
          <w:rtl/>
        </w:rPr>
        <w:t>ב</w:t>
      </w:r>
      <w:r>
        <w:rPr>
          <w:rFonts w:hint="cs"/>
          <w:rtl/>
        </w:rPr>
        <w:t xml:space="preserve">אגרת תימן, ובפרשת תצווה </w:t>
      </w:r>
      <w:r w:rsidR="00BB5760">
        <w:rPr>
          <w:rFonts w:hint="cs"/>
          <w:rtl/>
        </w:rPr>
        <w:t>(</w:t>
      </w:r>
      <w:r>
        <w:rPr>
          <w:rFonts w:hint="cs"/>
          <w:rtl/>
        </w:rPr>
        <w:t>חזרנו בקצרה על האגרות הללו</w:t>
      </w:r>
      <w:r w:rsidR="00BB5760">
        <w:rPr>
          <w:rFonts w:hint="cs"/>
          <w:rtl/>
        </w:rPr>
        <w:t>)</w:t>
      </w:r>
      <w:r>
        <w:rPr>
          <w:rFonts w:hint="cs"/>
          <w:rtl/>
        </w:rPr>
        <w:t xml:space="preserve">, </w:t>
      </w:r>
      <w:r w:rsidR="00BB5760">
        <w:rPr>
          <w:rFonts w:hint="cs"/>
          <w:rtl/>
        </w:rPr>
        <w:t>ו</w:t>
      </w:r>
      <w:r w:rsidR="006507E4">
        <w:rPr>
          <w:rFonts w:hint="cs"/>
          <w:rtl/>
        </w:rPr>
        <w:t>עסקנו</w:t>
      </w:r>
      <w:r>
        <w:rPr>
          <w:rFonts w:hint="cs"/>
          <w:rtl/>
        </w:rPr>
        <w:t xml:space="preserve"> בהרחבה באגרת לרבי עובדיה הגר, באגרת משנה תורה, ובאגרת לרבי פנחס הדיין:</w:t>
      </w:r>
    </w:p>
    <w:p w14:paraId="35CCE6D8" w14:textId="2FEFC646" w:rsidR="005B2984" w:rsidRDefault="005B2984" w:rsidP="001B640A">
      <w:pPr>
        <w:spacing w:after="40"/>
        <w:rPr>
          <w:rtl/>
        </w:rPr>
      </w:pPr>
      <w:r>
        <w:rPr>
          <w:rFonts w:hint="cs"/>
          <w:rtl/>
        </w:rPr>
        <w:t xml:space="preserve">א. </w:t>
      </w:r>
      <w:r w:rsidRPr="005B2984">
        <w:rPr>
          <w:rFonts w:hint="cs"/>
          <w:b/>
          <w:bCs/>
          <w:rtl/>
        </w:rPr>
        <w:t>באגרת לרבי עובדיה הגר</w:t>
      </w:r>
      <w:r w:rsidR="00522A6C">
        <w:rPr>
          <w:rFonts w:hint="cs"/>
          <w:b/>
          <w:bCs/>
          <w:rtl/>
        </w:rPr>
        <w:t xml:space="preserve"> </w:t>
      </w:r>
      <w:r w:rsidR="00522A6C">
        <w:rPr>
          <w:rFonts w:hint="cs"/>
          <w:rtl/>
        </w:rPr>
        <w:t>דן הרמב''ם במעמד הישמעאלים</w:t>
      </w:r>
      <w:r w:rsidR="001B4B92">
        <w:rPr>
          <w:rFonts w:hint="cs"/>
          <w:rtl/>
        </w:rPr>
        <w:t xml:space="preserve"> ו</w:t>
      </w:r>
      <w:r w:rsidR="003130E9">
        <w:rPr>
          <w:rFonts w:hint="cs"/>
          <w:rtl/>
        </w:rPr>
        <w:t xml:space="preserve">בשאלה </w:t>
      </w:r>
      <w:r w:rsidR="001A0926">
        <w:rPr>
          <w:rFonts w:hint="cs"/>
          <w:rtl/>
        </w:rPr>
        <w:t>האם דינם כעובדי עבודה זרה</w:t>
      </w:r>
      <w:r w:rsidR="00522A6C">
        <w:rPr>
          <w:rFonts w:hint="cs"/>
          <w:rtl/>
        </w:rPr>
        <w:t xml:space="preserve">, </w:t>
      </w:r>
      <w:r w:rsidR="00D02A25">
        <w:rPr>
          <w:rFonts w:hint="cs"/>
          <w:rtl/>
        </w:rPr>
        <w:t xml:space="preserve">עוד עסק בשאלה </w:t>
      </w:r>
      <w:r w:rsidR="00522A6C">
        <w:rPr>
          <w:rFonts w:hint="cs"/>
          <w:rtl/>
        </w:rPr>
        <w:t>האם גר יכול לומר בתפילה את הנוסח אלוקינו ואלוקי אבותינו, שהרי אבותיו היו גויים</w:t>
      </w:r>
      <w:r w:rsidR="0092748A">
        <w:rPr>
          <w:rFonts w:hint="cs"/>
          <w:rtl/>
        </w:rPr>
        <w:t xml:space="preserve"> (דבר הנתון במחלוקת הראשונים)</w:t>
      </w:r>
      <w:r w:rsidR="00522A6C">
        <w:rPr>
          <w:rFonts w:hint="cs"/>
          <w:rtl/>
        </w:rPr>
        <w:t>. ובשאלה האם נשיאת אשה היא דבר שנגזר מראש על האדם, או שדבר זה תלוי במעשיו.</w:t>
      </w:r>
      <w:r>
        <w:rPr>
          <w:rFonts w:hint="cs"/>
          <w:rtl/>
        </w:rPr>
        <w:t xml:space="preserve"> </w:t>
      </w:r>
    </w:p>
    <w:p w14:paraId="4CF2287A" w14:textId="1716DB83" w:rsidR="005B2984" w:rsidRDefault="005B2984" w:rsidP="001B640A">
      <w:pPr>
        <w:spacing w:after="40"/>
        <w:rPr>
          <w:rtl/>
        </w:rPr>
      </w:pPr>
      <w:r>
        <w:rPr>
          <w:rFonts w:hint="cs"/>
          <w:rtl/>
        </w:rPr>
        <w:t xml:space="preserve">ב. </w:t>
      </w:r>
      <w:r w:rsidRPr="005B2984">
        <w:rPr>
          <w:rFonts w:hint="cs"/>
          <w:b/>
          <w:bCs/>
          <w:rtl/>
        </w:rPr>
        <w:t>באגרת משנה תורה ו</w:t>
      </w:r>
      <w:r w:rsidR="00A822F2">
        <w:rPr>
          <w:rFonts w:hint="cs"/>
          <w:b/>
          <w:bCs/>
          <w:rtl/>
        </w:rPr>
        <w:t xml:space="preserve">באגרת </w:t>
      </w:r>
      <w:r w:rsidRPr="005B2984">
        <w:rPr>
          <w:rFonts w:hint="cs"/>
          <w:b/>
          <w:bCs/>
          <w:rtl/>
        </w:rPr>
        <w:t>לרבי פנחס הדיין</w:t>
      </w:r>
      <w:r w:rsidR="00E20EAE">
        <w:rPr>
          <w:rFonts w:hint="cs"/>
          <w:sz w:val="18"/>
          <w:szCs w:val="18"/>
          <w:rtl/>
        </w:rPr>
        <w:t xml:space="preserve"> </w:t>
      </w:r>
      <w:r w:rsidR="00E20EAE" w:rsidRPr="00E20EAE">
        <w:rPr>
          <w:rFonts w:hint="cs"/>
          <w:rtl/>
        </w:rPr>
        <w:t>דן</w:t>
      </w:r>
      <w:r w:rsidR="00E20EAE">
        <w:rPr>
          <w:rFonts w:hint="cs"/>
          <w:rtl/>
        </w:rPr>
        <w:t xml:space="preserve"> הרמב''ם בטעם שכתב את משנה תורה, </w:t>
      </w:r>
      <w:r w:rsidR="00724E88">
        <w:rPr>
          <w:rFonts w:hint="cs"/>
          <w:rtl/>
        </w:rPr>
        <w:t>ומנמק בין השאר</w:t>
      </w:r>
      <w:r w:rsidR="00E20EAE">
        <w:rPr>
          <w:rFonts w:hint="cs"/>
          <w:rtl/>
        </w:rPr>
        <w:t xml:space="preserve"> שמטרת התורה היא </w:t>
      </w:r>
      <w:r w:rsidR="00FA524D">
        <w:rPr>
          <w:rFonts w:hint="cs"/>
          <w:rtl/>
        </w:rPr>
        <w:t xml:space="preserve">ללמוד </w:t>
      </w:r>
      <w:r w:rsidR="00E20EAE">
        <w:rPr>
          <w:rFonts w:hint="cs"/>
          <w:rtl/>
        </w:rPr>
        <w:t xml:space="preserve">הלכה למעשה. </w:t>
      </w:r>
      <w:r w:rsidR="00FA524D">
        <w:rPr>
          <w:rFonts w:hint="cs"/>
          <w:rtl/>
        </w:rPr>
        <w:t xml:space="preserve">עוד מתייחס הרמב''ם לביקורות שהושמעו על משנה תורה (שלא </w:t>
      </w:r>
      <w:r w:rsidR="001566E6">
        <w:rPr>
          <w:rFonts w:hint="cs"/>
          <w:rtl/>
        </w:rPr>
        <w:t xml:space="preserve">כתב את </w:t>
      </w:r>
      <w:r w:rsidR="00FA524D">
        <w:rPr>
          <w:rFonts w:hint="cs"/>
          <w:rtl/>
        </w:rPr>
        <w:t xml:space="preserve">המקורות לדבריו, ושהשמיט את שמות החכמים), ודן </w:t>
      </w:r>
      <w:r w:rsidR="001566E6">
        <w:rPr>
          <w:rFonts w:hint="cs"/>
          <w:rtl/>
        </w:rPr>
        <w:t>גם</w:t>
      </w:r>
      <w:r w:rsidR="00FA524D">
        <w:rPr>
          <w:rFonts w:hint="cs"/>
          <w:rtl/>
        </w:rPr>
        <w:t xml:space="preserve"> בשאלה האם חובה לטבול מטומאת קרי.</w:t>
      </w:r>
    </w:p>
    <w:p w14:paraId="71C15CB8" w14:textId="3B1A6728" w:rsidR="00FA524D" w:rsidRDefault="00FA524D" w:rsidP="001B640A">
      <w:pPr>
        <w:spacing w:after="40"/>
        <w:rPr>
          <w:rtl/>
        </w:rPr>
      </w:pPr>
      <w:r>
        <w:rPr>
          <w:rFonts w:hint="cs"/>
          <w:rtl/>
        </w:rPr>
        <w:t xml:space="preserve">השבוע נעסוק במספר איגרות שנכתבו בעקבות מספר מחלוקות בין הרמב''ם לראש </w:t>
      </w:r>
      <w:r w:rsidR="00C65DC4">
        <w:rPr>
          <w:rFonts w:hint="cs"/>
          <w:rtl/>
        </w:rPr>
        <w:t xml:space="preserve">ישיבת 'גאון יעקב' </w:t>
      </w:r>
      <w:r w:rsidR="009558CC">
        <w:rPr>
          <w:rFonts w:hint="cs"/>
          <w:rtl/>
        </w:rPr>
        <w:t>בבגדד</w:t>
      </w:r>
      <w:r w:rsidR="00A92C2B">
        <w:rPr>
          <w:rFonts w:hint="cs"/>
          <w:rtl/>
        </w:rPr>
        <w:t>,</w:t>
      </w:r>
      <w:r w:rsidR="009558CC">
        <w:rPr>
          <w:rFonts w:hint="cs"/>
        </w:rPr>
        <w:t xml:space="preserve"> </w:t>
      </w:r>
      <w:r w:rsidR="00E851FE">
        <w:rPr>
          <w:rFonts w:hint="cs"/>
          <w:rtl/>
        </w:rPr>
        <w:t xml:space="preserve">רבי </w:t>
      </w:r>
      <w:r w:rsidR="009558CC">
        <w:rPr>
          <w:rFonts w:hint="cs"/>
          <w:rtl/>
        </w:rPr>
        <w:t>שמואל בן חפני</w:t>
      </w:r>
      <w:r>
        <w:rPr>
          <w:rFonts w:hint="cs"/>
          <w:rtl/>
        </w:rPr>
        <w:t>, כאשר המחלוקת המפורסמת ביותר היא האם מותר ל</w:t>
      </w:r>
      <w:r w:rsidR="001566E6">
        <w:rPr>
          <w:rFonts w:hint="cs"/>
          <w:rtl/>
        </w:rPr>
        <w:t>שוט</w:t>
      </w:r>
      <w:r>
        <w:rPr>
          <w:rFonts w:hint="cs"/>
          <w:rtl/>
        </w:rPr>
        <w:t xml:space="preserve"> בנהרות בשבת. כמו כן נעסוק באגרת תחיית המתים, אגרת שכתב הרמב''ם בתגובה לטוענים שהוא סובר שאין תחיית המתים, ובה הוא מבהיר את עמדתו ביחס לנושא זה.</w:t>
      </w:r>
    </w:p>
    <w:p w14:paraId="6F5562FE" w14:textId="711B7F39" w:rsidR="00FA524D" w:rsidRDefault="00C85DAC" w:rsidP="0048237F">
      <w:pPr>
        <w:spacing w:after="40"/>
        <w:rPr>
          <w:b/>
          <w:bCs/>
          <w:u w:val="single"/>
          <w:rtl/>
        </w:rPr>
      </w:pPr>
      <w:r>
        <w:rPr>
          <w:rFonts w:hint="cs"/>
          <w:b/>
          <w:bCs/>
          <w:u w:val="single"/>
          <w:rtl/>
        </w:rPr>
        <w:t>מעמד הישיבות בבבל</w:t>
      </w:r>
    </w:p>
    <w:p w14:paraId="600C8B01" w14:textId="5DDD0F79" w:rsidR="00FA524D" w:rsidRDefault="00C65DC4" w:rsidP="0048237F">
      <w:pPr>
        <w:spacing w:after="40"/>
        <w:rPr>
          <w:rtl/>
        </w:rPr>
      </w:pPr>
      <w:r>
        <w:rPr>
          <w:rFonts w:hint="cs"/>
          <w:rtl/>
        </w:rPr>
        <w:t>מעבר ל</w:t>
      </w:r>
      <w:r w:rsidR="00BB5760">
        <w:rPr>
          <w:rFonts w:hint="cs"/>
          <w:rtl/>
        </w:rPr>
        <w:t xml:space="preserve">מחלוקות סביב </w:t>
      </w:r>
      <w:r>
        <w:rPr>
          <w:rFonts w:hint="cs"/>
          <w:rtl/>
        </w:rPr>
        <w:t xml:space="preserve">חידושיו של הרמב''ם בענייני 'אמונות ודעות', שכללו הכנסת הפילוסופיה למשנה תורה, היחס לביולוגיה וכימיה כמעשה בראשית, ומטפיזיקה כמעשה מרכבה, </w:t>
      </w:r>
      <w:r w:rsidR="00F946C3">
        <w:rPr>
          <w:rFonts w:hint="cs"/>
          <w:rtl/>
        </w:rPr>
        <w:t xml:space="preserve">והדיון סביב תחיית המתים </w:t>
      </w:r>
      <w:r w:rsidR="00F946C3" w:rsidRPr="00E71677">
        <w:rPr>
          <w:rFonts w:hint="cs"/>
          <w:sz w:val="18"/>
          <w:szCs w:val="18"/>
          <w:rtl/>
        </w:rPr>
        <w:t>(אותו נראה להלן)</w:t>
      </w:r>
      <w:r w:rsidR="00E71677">
        <w:rPr>
          <w:rFonts w:hint="cs"/>
          <w:rtl/>
        </w:rPr>
        <w:t>.</w:t>
      </w:r>
      <w:r w:rsidR="00F946C3">
        <w:rPr>
          <w:rFonts w:hint="cs"/>
          <w:rtl/>
        </w:rPr>
        <w:t xml:space="preserve"> </w:t>
      </w:r>
      <w:r w:rsidR="00D47E9E">
        <w:rPr>
          <w:rFonts w:hint="cs"/>
          <w:rtl/>
        </w:rPr>
        <w:t xml:space="preserve">כפי שעולה מאגרת הרמב''ם </w:t>
      </w:r>
      <w:r w:rsidR="00D47E9E" w:rsidRPr="00C72E40">
        <w:rPr>
          <w:rFonts w:hint="cs"/>
          <w:b/>
          <w:bCs/>
          <w:rtl/>
        </w:rPr>
        <w:t>לר</w:t>
      </w:r>
      <w:r w:rsidR="00C72E40">
        <w:rPr>
          <w:rFonts w:hint="cs"/>
          <w:b/>
          <w:bCs/>
          <w:rtl/>
        </w:rPr>
        <w:t>בי</w:t>
      </w:r>
      <w:r w:rsidR="00D47E9E" w:rsidRPr="00C72E40">
        <w:rPr>
          <w:rFonts w:hint="cs"/>
          <w:b/>
          <w:bCs/>
          <w:rtl/>
        </w:rPr>
        <w:t xml:space="preserve"> יוס</w:t>
      </w:r>
      <w:r w:rsidR="00C72E40" w:rsidRPr="00C72E40">
        <w:rPr>
          <w:rFonts w:hint="cs"/>
          <w:b/>
          <w:bCs/>
          <w:rtl/>
        </w:rPr>
        <w:t>ף</w:t>
      </w:r>
      <w:r w:rsidR="00D47E9E">
        <w:rPr>
          <w:rFonts w:hint="cs"/>
          <w:rtl/>
        </w:rPr>
        <w:t xml:space="preserve"> תלמידו, נראה </w:t>
      </w:r>
      <w:r>
        <w:rPr>
          <w:rFonts w:hint="cs"/>
          <w:rtl/>
        </w:rPr>
        <w:t xml:space="preserve">שברקע המחלוקות </w:t>
      </w:r>
      <w:r w:rsidR="00567DAE">
        <w:rPr>
          <w:rFonts w:hint="cs"/>
          <w:rtl/>
        </w:rPr>
        <w:t>בינו לבין ראש הישיבה</w:t>
      </w:r>
      <w:r w:rsidR="00112B80">
        <w:rPr>
          <w:rFonts w:hint="cs"/>
          <w:rtl/>
        </w:rPr>
        <w:t>,</w:t>
      </w:r>
      <w:r w:rsidR="00567DAE">
        <w:rPr>
          <w:rFonts w:hint="cs"/>
          <w:rtl/>
        </w:rPr>
        <w:t xml:space="preserve"> </w:t>
      </w:r>
      <w:r>
        <w:rPr>
          <w:rFonts w:hint="cs"/>
          <w:rtl/>
        </w:rPr>
        <w:t xml:space="preserve">עומדת בין השאר השאלה </w:t>
      </w:r>
      <w:r w:rsidR="00BF15F1">
        <w:rPr>
          <w:rFonts w:hint="cs"/>
          <w:rtl/>
        </w:rPr>
        <w:t>מ</w:t>
      </w:r>
      <w:r w:rsidR="001B572C">
        <w:rPr>
          <w:rFonts w:hint="cs"/>
          <w:rtl/>
        </w:rPr>
        <w:t>ה</w:t>
      </w:r>
      <w:r w:rsidR="00BF15F1">
        <w:rPr>
          <w:rFonts w:hint="cs"/>
          <w:rtl/>
        </w:rPr>
        <w:t xml:space="preserve">י </w:t>
      </w:r>
      <w:r w:rsidR="002E1849">
        <w:rPr>
          <w:rFonts w:hint="cs"/>
          <w:rtl/>
        </w:rPr>
        <w:t xml:space="preserve">הסמכות הדתית </w:t>
      </w:r>
      <w:r w:rsidR="00E574BF">
        <w:rPr>
          <w:rFonts w:hint="cs"/>
          <w:rtl/>
        </w:rPr>
        <w:t>השלטת</w:t>
      </w:r>
      <w:r>
        <w:rPr>
          <w:rFonts w:hint="cs"/>
          <w:rtl/>
        </w:rPr>
        <w:t xml:space="preserve">. </w:t>
      </w:r>
    </w:p>
    <w:p w14:paraId="34427E0D" w14:textId="1CFE96CB" w:rsidR="00C65DC4" w:rsidRDefault="00C21C4B" w:rsidP="0048237F">
      <w:pPr>
        <w:spacing w:after="40"/>
        <w:rPr>
          <w:rtl/>
        </w:rPr>
      </w:pPr>
      <w:r>
        <w:rPr>
          <w:rFonts w:hint="cs"/>
          <w:rtl/>
        </w:rPr>
        <w:t xml:space="preserve">באופן כללי, </w:t>
      </w:r>
      <w:r w:rsidR="00C65DC4">
        <w:rPr>
          <w:rFonts w:hint="cs"/>
          <w:rtl/>
        </w:rPr>
        <w:t xml:space="preserve">במשך מאות שנים, </w:t>
      </w:r>
      <w:r>
        <w:rPr>
          <w:rFonts w:hint="cs"/>
          <w:rtl/>
        </w:rPr>
        <w:t xml:space="preserve">הסמכות התורנית הייתה בעיקר של </w:t>
      </w:r>
      <w:r w:rsidR="00C65DC4">
        <w:rPr>
          <w:rFonts w:hint="cs"/>
          <w:rtl/>
        </w:rPr>
        <w:t>ישיבות בבל, בראשות האמוראים ולאחר מכן</w:t>
      </w:r>
      <w:r w:rsidR="008E543F">
        <w:rPr>
          <w:rFonts w:hint="cs"/>
          <w:rtl/>
        </w:rPr>
        <w:t xml:space="preserve"> הגאונים. לאחר פטירת רב האי גאון ירד קרנה של יהדות בבל, והמרכז היהודי התפזר</w:t>
      </w:r>
      <w:r w:rsidR="00DF3A75">
        <w:rPr>
          <w:rFonts w:hint="cs"/>
          <w:rtl/>
        </w:rPr>
        <w:t xml:space="preserve"> למקומות שונים</w:t>
      </w:r>
      <w:r>
        <w:rPr>
          <w:rFonts w:hint="cs"/>
          <w:rtl/>
        </w:rPr>
        <w:t xml:space="preserve">. עם זאת, לעיתים לא קיבלו ראשי הישיבות בבבל </w:t>
      </w:r>
      <w:r w:rsidR="00E96188">
        <w:rPr>
          <w:rFonts w:hint="cs"/>
          <w:rtl/>
        </w:rPr>
        <w:t>מציאות</w:t>
      </w:r>
      <w:r>
        <w:rPr>
          <w:rFonts w:hint="cs"/>
          <w:rtl/>
        </w:rPr>
        <w:t xml:space="preserve"> </w:t>
      </w:r>
      <w:r w:rsidR="001566E6">
        <w:rPr>
          <w:rFonts w:hint="cs"/>
          <w:rtl/>
        </w:rPr>
        <w:t xml:space="preserve">חדשה </w:t>
      </w:r>
      <w:r w:rsidR="00E96188">
        <w:rPr>
          <w:rFonts w:hint="cs"/>
          <w:rtl/>
        </w:rPr>
        <w:t>זו</w:t>
      </w:r>
      <w:r>
        <w:rPr>
          <w:rFonts w:hint="cs"/>
          <w:rtl/>
        </w:rPr>
        <w:t xml:space="preserve">, </w:t>
      </w:r>
      <w:r w:rsidR="00930D69">
        <w:rPr>
          <w:rFonts w:hint="cs"/>
          <w:rtl/>
        </w:rPr>
        <w:t>ומשמע</w:t>
      </w:r>
      <w:r>
        <w:rPr>
          <w:rFonts w:hint="cs"/>
          <w:rtl/>
        </w:rPr>
        <w:t xml:space="preserve"> שזו הסיבה </w:t>
      </w:r>
      <w:r w:rsidR="002A6701">
        <w:rPr>
          <w:rFonts w:hint="cs"/>
          <w:rtl/>
        </w:rPr>
        <w:t xml:space="preserve">להתקפות הרבות של </w:t>
      </w:r>
      <w:r>
        <w:rPr>
          <w:rFonts w:hint="cs"/>
          <w:rtl/>
        </w:rPr>
        <w:t xml:space="preserve">רבי שמואל בן חפני </w:t>
      </w:r>
      <w:r w:rsidR="002A6701">
        <w:rPr>
          <w:rFonts w:hint="cs"/>
          <w:rtl/>
        </w:rPr>
        <w:t>על ה</w:t>
      </w:r>
      <w:r>
        <w:rPr>
          <w:rFonts w:hint="cs"/>
          <w:rtl/>
        </w:rPr>
        <w:t>רמב''ם.</w:t>
      </w:r>
    </w:p>
    <w:p w14:paraId="0D164791" w14:textId="0AA32DB2" w:rsidR="00C21C4B" w:rsidRDefault="00BB5A0B" w:rsidP="0048237F">
      <w:pPr>
        <w:spacing w:after="40"/>
        <w:rPr>
          <w:u w:val="single"/>
          <w:rtl/>
        </w:rPr>
      </w:pPr>
      <w:r>
        <w:rPr>
          <w:rFonts w:hint="cs"/>
          <w:u w:val="single"/>
          <w:rtl/>
        </w:rPr>
        <w:t>שייט</w:t>
      </w:r>
      <w:r w:rsidR="00C21C4B">
        <w:rPr>
          <w:rFonts w:hint="cs"/>
          <w:u w:val="single"/>
          <w:rtl/>
        </w:rPr>
        <w:t xml:space="preserve"> בנהרות בשבת</w:t>
      </w:r>
    </w:p>
    <w:p w14:paraId="6ABFBC1A" w14:textId="693404E1" w:rsidR="00697F0E" w:rsidRPr="00BB5760" w:rsidRDefault="002A6701" w:rsidP="0048237F">
      <w:pPr>
        <w:spacing w:after="40"/>
        <w:rPr>
          <w:rtl/>
        </w:rPr>
      </w:pPr>
      <w:r>
        <w:rPr>
          <w:rFonts w:hint="cs"/>
          <w:rtl/>
        </w:rPr>
        <w:t>המחלוקת</w:t>
      </w:r>
      <w:r w:rsidR="00697F0E">
        <w:rPr>
          <w:rFonts w:hint="cs"/>
          <w:rtl/>
        </w:rPr>
        <w:t xml:space="preserve"> ההלכתית</w:t>
      </w:r>
      <w:r>
        <w:rPr>
          <w:rFonts w:hint="cs"/>
          <w:rtl/>
        </w:rPr>
        <w:t xml:space="preserve"> בין </w:t>
      </w:r>
      <w:r w:rsidR="00B7045F">
        <w:rPr>
          <w:rFonts w:hint="cs"/>
          <w:rtl/>
        </w:rPr>
        <w:t>ראש הישיבה לרמב''ם, נגעה במספר נושאים וב</w:t>
      </w:r>
      <w:r w:rsidR="001566E6">
        <w:rPr>
          <w:rFonts w:hint="cs"/>
          <w:rtl/>
        </w:rPr>
        <w:t>י</w:t>
      </w:r>
      <w:r w:rsidR="00B7045F">
        <w:rPr>
          <w:rFonts w:hint="cs"/>
          <w:rtl/>
        </w:rPr>
        <w:t>ניהם מדוע הרמב''ם פוסק הלכה כרבי יהודה במלאכה שאינה צריכה לגופה</w:t>
      </w:r>
      <w:r w:rsidR="00BB5760">
        <w:rPr>
          <w:rFonts w:hint="cs"/>
          <w:rtl/>
        </w:rPr>
        <w:t xml:space="preserve">. </w:t>
      </w:r>
      <w:r w:rsidR="00541818">
        <w:rPr>
          <w:rFonts w:hint="cs"/>
          <w:rtl/>
        </w:rPr>
        <w:t xml:space="preserve">אולם </w:t>
      </w:r>
      <w:r w:rsidR="00194DF4">
        <w:rPr>
          <w:rFonts w:hint="cs"/>
          <w:rtl/>
        </w:rPr>
        <w:t xml:space="preserve">המחלוקת העיקרית ביניהם הייתה </w:t>
      </w:r>
      <w:r w:rsidR="00541818">
        <w:rPr>
          <w:rFonts w:hint="cs"/>
          <w:rtl/>
        </w:rPr>
        <w:t>ב</w:t>
      </w:r>
      <w:r w:rsidR="00194DF4">
        <w:rPr>
          <w:rFonts w:hint="cs"/>
          <w:rtl/>
        </w:rPr>
        <w:t xml:space="preserve">שאלה, האם </w:t>
      </w:r>
      <w:r w:rsidR="00BB5760">
        <w:rPr>
          <w:rFonts w:hint="cs"/>
          <w:rtl/>
        </w:rPr>
        <w:t>יש איסור תחומין (דהיינו האיסור הקובע שאין ללכת</w:t>
      </w:r>
      <w:r w:rsidR="009B1F73">
        <w:rPr>
          <w:rFonts w:hint="cs"/>
          <w:rtl/>
        </w:rPr>
        <w:t xml:space="preserve"> יותר מאלפיים אמה</w:t>
      </w:r>
      <w:r w:rsidR="00BB5760">
        <w:rPr>
          <w:rFonts w:hint="cs"/>
          <w:rtl/>
        </w:rPr>
        <w:t xml:space="preserve"> מחוץ לתחום העיר), כאשר היציאה מתבצעת באמצעות שיט בנהרות, ולא בהליכה ברגל: </w:t>
      </w:r>
    </w:p>
    <w:p w14:paraId="6E1A4030" w14:textId="7F507365" w:rsidR="008B4D41" w:rsidRPr="00BB5760" w:rsidRDefault="00194DF4" w:rsidP="0048237F">
      <w:pPr>
        <w:spacing w:after="40"/>
        <w:rPr>
          <w:color w:val="FF0000"/>
          <w:rtl/>
        </w:rPr>
      </w:pPr>
      <w:r>
        <w:rPr>
          <w:rFonts w:hint="cs"/>
          <w:rtl/>
        </w:rPr>
        <w:t xml:space="preserve">א. </w:t>
      </w:r>
      <w:r w:rsidRPr="00194DF4">
        <w:rPr>
          <w:rFonts w:hint="cs"/>
          <w:b/>
          <w:bCs/>
          <w:rtl/>
        </w:rPr>
        <w:t>הרמב''ם</w:t>
      </w:r>
      <w:r>
        <w:rPr>
          <w:rFonts w:hint="cs"/>
          <w:rtl/>
        </w:rPr>
        <w:t xml:space="preserve"> </w:t>
      </w:r>
      <w:r>
        <w:rPr>
          <w:rFonts w:hint="cs"/>
          <w:sz w:val="18"/>
          <w:szCs w:val="18"/>
          <w:rtl/>
        </w:rPr>
        <w:t xml:space="preserve">(עמ' רעז, ושו''ת </w:t>
      </w:r>
      <w:r w:rsidR="00B7742D">
        <w:rPr>
          <w:rFonts w:hint="cs"/>
          <w:sz w:val="18"/>
          <w:szCs w:val="18"/>
          <w:rtl/>
        </w:rPr>
        <w:t xml:space="preserve">סי' </w:t>
      </w:r>
      <w:r>
        <w:rPr>
          <w:rFonts w:hint="cs"/>
          <w:sz w:val="18"/>
          <w:szCs w:val="18"/>
          <w:rtl/>
        </w:rPr>
        <w:t>ש</w:t>
      </w:r>
      <w:r w:rsidR="008B4D41">
        <w:rPr>
          <w:rFonts w:hint="cs"/>
          <w:sz w:val="18"/>
          <w:szCs w:val="18"/>
          <w:rtl/>
        </w:rPr>
        <w:t>ח</w:t>
      </w:r>
      <w:r>
        <w:rPr>
          <w:rFonts w:hint="cs"/>
          <w:sz w:val="18"/>
          <w:szCs w:val="18"/>
          <w:rtl/>
        </w:rPr>
        <w:t>)</w:t>
      </w:r>
      <w:r>
        <w:rPr>
          <w:rFonts w:hint="cs"/>
          <w:rtl/>
        </w:rPr>
        <w:t xml:space="preserve"> סבר,</w:t>
      </w:r>
      <w:r w:rsidR="000839F6">
        <w:rPr>
          <w:rFonts w:hint="cs"/>
          <w:rtl/>
        </w:rPr>
        <w:t xml:space="preserve"> שכאשר המים גבוהים מעשרה טפחים, אין בנסיעה בהם איסור תחומין. בטעם הדבר נימק, שעל </w:t>
      </w:r>
      <w:r w:rsidR="00B80C0C">
        <w:rPr>
          <w:rFonts w:hint="cs"/>
          <w:rtl/>
        </w:rPr>
        <w:t xml:space="preserve">אף </w:t>
      </w:r>
      <w:r w:rsidR="000839F6">
        <w:rPr>
          <w:rFonts w:hint="cs"/>
          <w:rtl/>
        </w:rPr>
        <w:t xml:space="preserve">שהגמרא במסכת עירובין </w:t>
      </w:r>
      <w:r w:rsidR="000839F6">
        <w:rPr>
          <w:rFonts w:hint="cs"/>
          <w:sz w:val="18"/>
          <w:szCs w:val="18"/>
          <w:rtl/>
        </w:rPr>
        <w:t xml:space="preserve">(מג ע''א) </w:t>
      </w:r>
      <w:r w:rsidR="000839F6">
        <w:rPr>
          <w:rFonts w:hint="cs"/>
          <w:rtl/>
        </w:rPr>
        <w:t xml:space="preserve">דנה האם יש </w:t>
      </w:r>
      <w:r w:rsidR="00134A4F">
        <w:rPr>
          <w:rFonts w:hint="cs"/>
          <w:rtl/>
        </w:rPr>
        <w:t xml:space="preserve">איסור </w:t>
      </w:r>
      <w:r w:rsidR="000839F6">
        <w:rPr>
          <w:rFonts w:hint="cs"/>
          <w:rtl/>
        </w:rPr>
        <w:t xml:space="preserve">תחומין למעלה מעשרה, </w:t>
      </w:r>
      <w:r w:rsidR="00134A4F">
        <w:rPr>
          <w:rFonts w:hint="cs"/>
          <w:rtl/>
        </w:rPr>
        <w:t>ולמסקנה נראה שיש להחמיר בכך</w:t>
      </w:r>
      <w:r w:rsidR="000839F6">
        <w:rPr>
          <w:rFonts w:hint="cs"/>
          <w:rtl/>
        </w:rPr>
        <w:t>, דין זה נכון רק כאשר אדם נמצא ביבשה</w:t>
      </w:r>
      <w:r w:rsidR="00940C87">
        <w:rPr>
          <w:rFonts w:hint="cs"/>
          <w:rtl/>
        </w:rPr>
        <w:t xml:space="preserve"> ברשות הרבים</w:t>
      </w:r>
      <w:r w:rsidR="000839F6">
        <w:rPr>
          <w:rFonts w:hint="cs"/>
          <w:rtl/>
        </w:rPr>
        <w:t>. לעומת זאת ים</w:t>
      </w:r>
      <w:r w:rsidR="00940C87">
        <w:rPr>
          <w:rFonts w:hint="cs"/>
          <w:rtl/>
        </w:rPr>
        <w:t xml:space="preserve"> שדינו ככרמלית</w:t>
      </w:r>
      <w:r w:rsidR="000839F6">
        <w:rPr>
          <w:rFonts w:hint="cs"/>
          <w:rtl/>
        </w:rPr>
        <w:t>, ספקו לקולא.</w:t>
      </w:r>
      <w:r>
        <w:rPr>
          <w:rFonts w:hint="cs"/>
          <w:rtl/>
        </w:rPr>
        <w:t xml:space="preserve"> </w:t>
      </w:r>
    </w:p>
    <w:p w14:paraId="70699B5D" w14:textId="33E1CE22" w:rsidR="00940C87" w:rsidRDefault="008B4D41" w:rsidP="0048237F">
      <w:pPr>
        <w:spacing w:after="40"/>
        <w:rPr>
          <w:rtl/>
        </w:rPr>
      </w:pPr>
      <w:r>
        <w:rPr>
          <w:rFonts w:hint="cs"/>
          <w:rtl/>
        </w:rPr>
        <w:t>עוד הוסיף</w:t>
      </w:r>
      <w:r w:rsidR="00134A4F">
        <w:rPr>
          <w:rFonts w:hint="cs"/>
          <w:rtl/>
        </w:rPr>
        <w:t xml:space="preserve"> וכתב, שלמרות שכאשר גובה המים בנהר בוודאי נמוך מעשרה טפחים אסור לשוט בספינה, שכן במצב כזה נחשב האדם השט כהולך על גבי הקרקע. במקרה בו יש ספק</w:t>
      </w:r>
      <w:r>
        <w:rPr>
          <w:rFonts w:hint="cs"/>
          <w:rtl/>
        </w:rPr>
        <w:t xml:space="preserve"> האם </w:t>
      </w:r>
      <w:r w:rsidR="001B572C">
        <w:rPr>
          <w:rFonts w:hint="cs"/>
          <w:rtl/>
        </w:rPr>
        <w:t>המים</w:t>
      </w:r>
      <w:r>
        <w:rPr>
          <w:rFonts w:hint="cs"/>
          <w:rtl/>
        </w:rPr>
        <w:t xml:space="preserve"> גבוה</w:t>
      </w:r>
      <w:r w:rsidR="001B572C">
        <w:rPr>
          <w:rFonts w:hint="cs"/>
          <w:rtl/>
        </w:rPr>
        <w:t>ים</w:t>
      </w:r>
      <w:r>
        <w:rPr>
          <w:rFonts w:hint="cs"/>
          <w:rtl/>
        </w:rPr>
        <w:t xml:space="preserve"> מעשרה טפחים</w:t>
      </w:r>
      <w:r w:rsidR="009B1F73">
        <w:rPr>
          <w:rFonts w:hint="cs"/>
          <w:rtl/>
        </w:rPr>
        <w:t xml:space="preserve"> </w:t>
      </w:r>
      <w:r>
        <w:rPr>
          <w:rFonts w:hint="cs"/>
          <w:rtl/>
        </w:rPr>
        <w:t xml:space="preserve">מותר </w:t>
      </w:r>
      <w:r w:rsidR="00BB5760">
        <w:rPr>
          <w:rFonts w:hint="cs"/>
          <w:rtl/>
        </w:rPr>
        <w:t xml:space="preserve">לשוט </w:t>
      </w:r>
      <w:r>
        <w:rPr>
          <w:rFonts w:hint="cs"/>
          <w:rtl/>
        </w:rPr>
        <w:t>ב</w:t>
      </w:r>
      <w:r w:rsidR="00BB5760">
        <w:rPr>
          <w:rFonts w:hint="cs"/>
          <w:rtl/>
        </w:rPr>
        <w:t xml:space="preserve">ספינה, </w:t>
      </w:r>
      <w:r w:rsidR="00134A4F">
        <w:rPr>
          <w:rFonts w:hint="cs"/>
          <w:rtl/>
        </w:rPr>
        <w:t xml:space="preserve">שכן </w:t>
      </w:r>
      <w:r>
        <w:rPr>
          <w:rFonts w:hint="cs"/>
          <w:rtl/>
        </w:rPr>
        <w:t xml:space="preserve">איסור תחומין הוא מדרבנן, לכן יש </w:t>
      </w:r>
      <w:r w:rsidR="00940C87">
        <w:rPr>
          <w:rFonts w:hint="cs"/>
          <w:rtl/>
        </w:rPr>
        <w:t>להקל</w:t>
      </w:r>
      <w:r w:rsidR="009B1F73">
        <w:rPr>
          <w:rFonts w:hint="cs"/>
          <w:rtl/>
        </w:rPr>
        <w:t xml:space="preserve"> בו</w:t>
      </w:r>
      <w:r w:rsidR="00940C87">
        <w:rPr>
          <w:rFonts w:hint="cs"/>
          <w:rtl/>
        </w:rPr>
        <w:t xml:space="preserve">, וכדברי הגמרא במסכת עבודה זרה </w:t>
      </w:r>
      <w:r w:rsidR="00940C87">
        <w:rPr>
          <w:rFonts w:hint="cs"/>
          <w:sz w:val="18"/>
          <w:szCs w:val="18"/>
          <w:rtl/>
        </w:rPr>
        <w:t xml:space="preserve">(ז ע''ב) </w:t>
      </w:r>
      <w:r w:rsidR="00940C87">
        <w:rPr>
          <w:rFonts w:hint="cs"/>
          <w:rtl/>
        </w:rPr>
        <w:t>הפוסקת ש</w:t>
      </w:r>
      <w:r w:rsidR="009B1F73">
        <w:rPr>
          <w:rFonts w:hint="cs"/>
          <w:rtl/>
        </w:rPr>
        <w:t>ב</w:t>
      </w:r>
      <w:r w:rsidR="00940C87">
        <w:rPr>
          <w:rFonts w:hint="cs"/>
          <w:rtl/>
        </w:rPr>
        <w:t>ספק דרבנן הולכים לקולא. ובלשונו:</w:t>
      </w:r>
    </w:p>
    <w:p w14:paraId="18FA1FEE" w14:textId="679C2912" w:rsidR="00483A1D" w:rsidRDefault="00940C87" w:rsidP="00483A1D">
      <w:pPr>
        <w:spacing w:after="40"/>
        <w:ind w:left="720"/>
        <w:rPr>
          <w:rtl/>
        </w:rPr>
      </w:pPr>
      <w:r w:rsidRPr="00C709AC">
        <w:rPr>
          <w:rFonts w:cs="Arial" w:hint="cs"/>
          <w:rtl/>
        </w:rPr>
        <w:t>''</w:t>
      </w:r>
      <w:r w:rsidR="00483A1D" w:rsidRPr="00483A1D">
        <w:rPr>
          <w:rFonts w:cs="Arial"/>
          <w:rtl/>
        </w:rPr>
        <w:t>ואם יהיה לנו ספק באותן המים אם בגבהן עשרה אם לאו</w:t>
      </w:r>
      <w:r w:rsidR="00483A1D">
        <w:rPr>
          <w:rFonts w:cs="Arial" w:hint="cs"/>
          <w:rtl/>
        </w:rPr>
        <w:t>,</w:t>
      </w:r>
      <w:r w:rsidR="00483A1D" w:rsidRPr="00483A1D">
        <w:rPr>
          <w:rFonts w:cs="Arial"/>
          <w:rtl/>
        </w:rPr>
        <w:t xml:space="preserve"> מותר ללכת בהם בשבת</w:t>
      </w:r>
      <w:r w:rsidR="00483A1D">
        <w:rPr>
          <w:rFonts w:cs="Arial" w:hint="cs"/>
          <w:rtl/>
        </w:rPr>
        <w:t>,</w:t>
      </w:r>
      <w:r w:rsidR="00483A1D" w:rsidRPr="00483A1D">
        <w:rPr>
          <w:rFonts w:cs="Arial"/>
          <w:rtl/>
        </w:rPr>
        <w:t xml:space="preserve"> הואיל ואותה הספינה הקטנה ואותו צואר של קורות שטים על פני המים שלא נודע עמקם. והראיה על זה השורש המוסכם עליו</w:t>
      </w:r>
      <w:r w:rsidR="00483A1D">
        <w:rPr>
          <w:rFonts w:cs="Arial" w:hint="cs"/>
          <w:rtl/>
        </w:rPr>
        <w:t>,</w:t>
      </w:r>
      <w:r w:rsidR="00483A1D" w:rsidRPr="00483A1D">
        <w:rPr>
          <w:rFonts w:cs="Arial"/>
          <w:rtl/>
        </w:rPr>
        <w:t xml:space="preserve"> והוא אמרם ז"ל ספיקא דרבנן לקולא ודאורייתא לחומרא</w:t>
      </w:r>
      <w:r w:rsidR="00A11C9A">
        <w:rPr>
          <w:rFonts w:cs="Arial" w:hint="cs"/>
          <w:rtl/>
        </w:rPr>
        <w:t>,</w:t>
      </w:r>
      <w:r w:rsidR="00483A1D" w:rsidRPr="00483A1D">
        <w:rPr>
          <w:rFonts w:cs="Arial"/>
          <w:rtl/>
        </w:rPr>
        <w:t xml:space="preserve"> ואמרם ז"ל תחומין דרבנן</w:t>
      </w:r>
      <w:r w:rsidR="00483A1D">
        <w:rPr>
          <w:rFonts w:cs="Arial" w:hint="cs"/>
          <w:rtl/>
        </w:rPr>
        <w:t>.''</w:t>
      </w:r>
      <w:r w:rsidR="00483A1D" w:rsidRPr="00483A1D">
        <w:rPr>
          <w:rFonts w:cs="Arial"/>
          <w:rtl/>
        </w:rPr>
        <w:t xml:space="preserve"> </w:t>
      </w:r>
    </w:p>
    <w:p w14:paraId="6A6C54B5" w14:textId="15E8A477" w:rsidR="006948A3" w:rsidRDefault="0001194A" w:rsidP="00483A1D">
      <w:pPr>
        <w:spacing w:after="40"/>
        <w:rPr>
          <w:rtl/>
        </w:rPr>
      </w:pPr>
      <w:r>
        <w:rPr>
          <w:rFonts w:hint="cs"/>
          <w:rtl/>
        </w:rPr>
        <w:t xml:space="preserve">ב. </w:t>
      </w:r>
      <w:r w:rsidR="00314E14" w:rsidRPr="00314E14">
        <w:rPr>
          <w:rFonts w:hint="cs"/>
          <w:b/>
          <w:bCs/>
          <w:rtl/>
        </w:rPr>
        <w:t>הרב שמואל בן עלי</w:t>
      </w:r>
      <w:r w:rsidR="00314E14">
        <w:rPr>
          <w:rFonts w:hint="cs"/>
          <w:b/>
          <w:bCs/>
          <w:rtl/>
        </w:rPr>
        <w:t xml:space="preserve"> </w:t>
      </w:r>
      <w:r w:rsidR="00314E14" w:rsidRPr="00314E14">
        <w:rPr>
          <w:rFonts w:hint="cs"/>
          <w:sz w:val="18"/>
          <w:szCs w:val="18"/>
          <w:rtl/>
        </w:rPr>
        <w:t>(שם, שט)</w:t>
      </w:r>
      <w:r w:rsidR="00314E14">
        <w:rPr>
          <w:rFonts w:hint="cs"/>
          <w:sz w:val="18"/>
          <w:szCs w:val="18"/>
          <w:rtl/>
        </w:rPr>
        <w:t xml:space="preserve"> </w:t>
      </w:r>
      <w:r w:rsidR="00314E14">
        <w:rPr>
          <w:rFonts w:hint="cs"/>
          <w:rtl/>
        </w:rPr>
        <w:t xml:space="preserve">חלק וסבר, שאסור לנסוע בנהרות </w:t>
      </w:r>
      <w:r w:rsidR="008D0B2E">
        <w:rPr>
          <w:rFonts w:hint="cs"/>
          <w:rtl/>
        </w:rPr>
        <w:t xml:space="preserve">שיש בהם ספק </w:t>
      </w:r>
      <w:r w:rsidR="00C65E97">
        <w:rPr>
          <w:rFonts w:hint="cs"/>
          <w:rtl/>
        </w:rPr>
        <w:t>עשרה</w:t>
      </w:r>
      <w:r w:rsidR="008D0B2E">
        <w:rPr>
          <w:rFonts w:hint="cs"/>
          <w:rtl/>
        </w:rPr>
        <w:t xml:space="preserve"> טפחים של מים בשבת</w:t>
      </w:r>
      <w:r w:rsidR="00314E14">
        <w:rPr>
          <w:rFonts w:hint="cs"/>
          <w:rtl/>
        </w:rPr>
        <w:t>.</w:t>
      </w:r>
      <w:r w:rsidR="00C06BE4">
        <w:rPr>
          <w:rFonts w:hint="cs"/>
          <w:rtl/>
        </w:rPr>
        <w:t xml:space="preserve"> </w:t>
      </w:r>
      <w:r w:rsidR="00BB5A0B">
        <w:rPr>
          <w:rFonts w:hint="cs"/>
          <w:rtl/>
        </w:rPr>
        <w:t>לטענתו</w:t>
      </w:r>
      <w:r w:rsidR="00C06BE4">
        <w:rPr>
          <w:rFonts w:hint="cs"/>
          <w:rtl/>
        </w:rPr>
        <w:t xml:space="preserve">, הרמב''ם מתבסס על ההנחה שתחומין דרבנן, ולכן </w:t>
      </w:r>
      <w:r w:rsidR="00943910">
        <w:rPr>
          <w:rFonts w:hint="cs"/>
          <w:rtl/>
        </w:rPr>
        <w:t>יש להקל במקום ספק</w:t>
      </w:r>
      <w:r w:rsidR="00E00193">
        <w:rPr>
          <w:rFonts w:hint="cs"/>
          <w:rtl/>
        </w:rPr>
        <w:t xml:space="preserve">, אבל הרי בהליכה </w:t>
      </w:r>
      <w:r w:rsidR="00BB5A0B">
        <w:rPr>
          <w:rFonts w:hint="cs"/>
          <w:rtl/>
        </w:rPr>
        <w:t xml:space="preserve">של </w:t>
      </w:r>
      <w:r w:rsidR="00E00193">
        <w:rPr>
          <w:rFonts w:hint="cs"/>
          <w:rtl/>
        </w:rPr>
        <w:t>יותר מי''ב מיל יש איסור דאורייתא</w:t>
      </w:r>
      <w:r w:rsidR="00FB628E">
        <w:rPr>
          <w:rFonts w:hint="cs"/>
          <w:rtl/>
        </w:rPr>
        <w:t xml:space="preserve"> כפי שכותבת הגמרא </w:t>
      </w:r>
      <w:r w:rsidR="00FB628E">
        <w:rPr>
          <w:rFonts w:hint="cs"/>
          <w:sz w:val="18"/>
          <w:szCs w:val="18"/>
          <w:rtl/>
        </w:rPr>
        <w:t xml:space="preserve">(שם יג ע''א) </w:t>
      </w:r>
      <w:r w:rsidR="00FB628E">
        <w:rPr>
          <w:rFonts w:hint="cs"/>
          <w:rtl/>
        </w:rPr>
        <w:t>שלוקים על יציאה מחוץ לתחום</w:t>
      </w:r>
      <w:r w:rsidR="0012790E">
        <w:rPr>
          <w:rFonts w:hint="cs"/>
          <w:rtl/>
        </w:rPr>
        <w:t xml:space="preserve"> - </w:t>
      </w:r>
      <w:r w:rsidR="00E00193">
        <w:rPr>
          <w:rFonts w:hint="cs"/>
          <w:rtl/>
        </w:rPr>
        <w:t xml:space="preserve">ולכן </w:t>
      </w:r>
      <w:r w:rsidR="00EA73DC">
        <w:rPr>
          <w:rFonts w:hint="cs"/>
          <w:rtl/>
        </w:rPr>
        <w:t>צריך לומר שספק דאורייתא לחומרא.</w:t>
      </w:r>
    </w:p>
    <w:p w14:paraId="00E91EC3" w14:textId="5882C3B1" w:rsidR="00C06BE4" w:rsidRDefault="006948A3" w:rsidP="0048237F">
      <w:pPr>
        <w:spacing w:after="40"/>
        <w:rPr>
          <w:rtl/>
        </w:rPr>
      </w:pPr>
      <w:r>
        <w:rPr>
          <w:rFonts w:hint="cs"/>
          <w:rtl/>
        </w:rPr>
        <w:t>עוד הוסיף, שגם בנהרות העמוקים כמו הפרת והחידקל (עליהם נשאלה השאלה), אין לשוט בשבת.</w:t>
      </w:r>
      <w:r w:rsidR="00EA73DC">
        <w:rPr>
          <w:rFonts w:hint="cs"/>
          <w:rtl/>
        </w:rPr>
        <w:t xml:space="preserve"> </w:t>
      </w:r>
      <w:r>
        <w:rPr>
          <w:rFonts w:hint="cs"/>
          <w:rtl/>
        </w:rPr>
        <w:t>שכן בניגוד לים הגדול בו אין ספק שיש מים עמוקים הגבוהים למעלה מ</w:t>
      </w:r>
      <w:r w:rsidR="00C65E97">
        <w:rPr>
          <w:rFonts w:hint="cs"/>
          <w:rtl/>
        </w:rPr>
        <w:t xml:space="preserve">עשרה </w:t>
      </w:r>
      <w:r>
        <w:rPr>
          <w:rFonts w:hint="cs"/>
          <w:rtl/>
        </w:rPr>
        <w:t xml:space="preserve">טפחים, </w:t>
      </w:r>
      <w:r w:rsidR="00BB5A0B">
        <w:rPr>
          <w:rFonts w:hint="cs"/>
          <w:rtl/>
        </w:rPr>
        <w:t>הרי ש</w:t>
      </w:r>
      <w:r w:rsidR="00247849">
        <w:rPr>
          <w:rFonts w:hint="cs"/>
          <w:rtl/>
        </w:rPr>
        <w:t>בנהרות יש מקומות נמוכים, ולכן גם אם לא עוברים במקום ספציפי עליו מסופקים, מחמת הספק הכללי אסור לשוט בכל הנהר. ובלשונו:</w:t>
      </w:r>
    </w:p>
    <w:p w14:paraId="0ECDA902" w14:textId="1AA1583A" w:rsidR="00247849" w:rsidRDefault="001464B7" w:rsidP="0048237F">
      <w:pPr>
        <w:spacing w:after="40"/>
        <w:ind w:left="720"/>
        <w:rPr>
          <w:rtl/>
        </w:rPr>
      </w:pPr>
      <w:r>
        <w:rPr>
          <w:rFonts w:cs="Arial" w:hint="cs"/>
          <w:rtl/>
        </w:rPr>
        <w:t xml:space="preserve">''אם </w:t>
      </w:r>
      <w:r w:rsidRPr="001464B7">
        <w:rPr>
          <w:rFonts w:cs="Arial"/>
          <w:rtl/>
        </w:rPr>
        <w:t>כן נתבאר לנו עתה מכל זה</w:t>
      </w:r>
      <w:r w:rsidR="00867F13">
        <w:rPr>
          <w:rFonts w:cs="Arial" w:hint="cs"/>
          <w:rtl/>
        </w:rPr>
        <w:t>,</w:t>
      </w:r>
      <w:r w:rsidRPr="001464B7">
        <w:rPr>
          <w:rFonts w:cs="Arial"/>
          <w:rtl/>
        </w:rPr>
        <w:t xml:space="preserve"> מנהרות שהולכות בהן הספינות וצ</w:t>
      </w:r>
      <w:r>
        <w:rPr>
          <w:rFonts w:cs="Arial" w:hint="cs"/>
          <w:rtl/>
        </w:rPr>
        <w:t>ו</w:t>
      </w:r>
      <w:r w:rsidRPr="001464B7">
        <w:rPr>
          <w:rFonts w:cs="Arial"/>
          <w:rtl/>
        </w:rPr>
        <w:t>ואר של קורות</w:t>
      </w:r>
      <w:r>
        <w:rPr>
          <w:rFonts w:cs="Arial" w:hint="cs"/>
          <w:rtl/>
        </w:rPr>
        <w:t>,</w:t>
      </w:r>
      <w:r w:rsidRPr="001464B7">
        <w:rPr>
          <w:rFonts w:cs="Arial"/>
          <w:rtl/>
        </w:rPr>
        <w:t xml:space="preserve"> והם ספק אם הם למטה מעשרה אם לאו</w:t>
      </w:r>
      <w:r>
        <w:rPr>
          <w:rFonts w:cs="Arial" w:hint="cs"/>
          <w:rtl/>
        </w:rPr>
        <w:t>,</w:t>
      </w:r>
      <w:r w:rsidRPr="001464B7">
        <w:rPr>
          <w:rFonts w:cs="Arial"/>
          <w:rtl/>
        </w:rPr>
        <w:t xml:space="preserve"> שהם ספיקא דאוריתא ולחומרא. והגאונים ז"ל</w:t>
      </w:r>
      <w:r w:rsidR="00997712">
        <w:rPr>
          <w:rFonts w:cs="Arial" w:hint="cs"/>
          <w:rtl/>
        </w:rPr>
        <w:t xml:space="preserve"> </w:t>
      </w:r>
      <w:r w:rsidRPr="001464B7">
        <w:rPr>
          <w:rFonts w:cs="Arial"/>
          <w:rtl/>
        </w:rPr>
        <w:t>הוראתם מצויות בא</w:t>
      </w:r>
      <w:r>
        <w:rPr>
          <w:rFonts w:cs="Arial" w:hint="cs"/>
          <w:rtl/>
        </w:rPr>
        <w:t>י</w:t>
      </w:r>
      <w:r w:rsidRPr="001464B7">
        <w:rPr>
          <w:rFonts w:cs="Arial"/>
          <w:rtl/>
        </w:rPr>
        <w:t>סור ההליכה בהם</w:t>
      </w:r>
      <w:r w:rsidR="00867F13">
        <w:rPr>
          <w:rFonts w:cs="Arial" w:hint="cs"/>
          <w:rtl/>
        </w:rPr>
        <w:t>,</w:t>
      </w:r>
      <w:r w:rsidRPr="001464B7">
        <w:rPr>
          <w:rFonts w:cs="Arial"/>
          <w:rtl/>
        </w:rPr>
        <w:t xml:space="preserve"> וכבר שאלו חכמי מערב לרב</w:t>
      </w:r>
      <w:r w:rsidR="00867F13">
        <w:rPr>
          <w:rFonts w:cs="Arial" w:hint="cs"/>
          <w:rtl/>
        </w:rPr>
        <w:t>ות</w:t>
      </w:r>
      <w:r w:rsidRPr="001464B7">
        <w:rPr>
          <w:rFonts w:cs="Arial"/>
          <w:rtl/>
        </w:rPr>
        <w:t>י</w:t>
      </w:r>
      <w:r w:rsidR="00867F13">
        <w:rPr>
          <w:rFonts w:cs="Arial" w:hint="cs"/>
          <w:rtl/>
        </w:rPr>
        <w:t>נו</w:t>
      </w:r>
      <w:r w:rsidRPr="001464B7">
        <w:rPr>
          <w:rFonts w:cs="Arial"/>
          <w:rtl/>
        </w:rPr>
        <w:t xml:space="preserve"> ז"ל וזולתו מן החכמים המפורסמים בח</w:t>
      </w:r>
      <w:r w:rsidR="006C4D03">
        <w:rPr>
          <w:rFonts w:cs="Arial" w:hint="cs"/>
          <w:rtl/>
        </w:rPr>
        <w:t>ו</w:t>
      </w:r>
      <w:r w:rsidRPr="001464B7">
        <w:rPr>
          <w:rFonts w:cs="Arial"/>
          <w:rtl/>
        </w:rPr>
        <w:t>כמת התלמוד ובהוראה</w:t>
      </w:r>
      <w:r w:rsidR="00867F13">
        <w:rPr>
          <w:rFonts w:cs="Arial" w:hint="cs"/>
          <w:rtl/>
        </w:rPr>
        <w:t>,</w:t>
      </w:r>
      <w:r w:rsidRPr="001464B7">
        <w:rPr>
          <w:rFonts w:cs="Arial"/>
          <w:rtl/>
        </w:rPr>
        <w:t xml:space="preserve"> וב</w:t>
      </w:r>
      <w:r>
        <w:rPr>
          <w:rFonts w:cs="Arial" w:hint="cs"/>
          <w:rtl/>
        </w:rPr>
        <w:t>י</w:t>
      </w:r>
      <w:r w:rsidRPr="001464B7">
        <w:rPr>
          <w:rFonts w:cs="Arial"/>
          <w:rtl/>
        </w:rPr>
        <w:t>ארו א</w:t>
      </w:r>
      <w:r>
        <w:rPr>
          <w:rFonts w:cs="Arial" w:hint="cs"/>
          <w:rtl/>
        </w:rPr>
        <w:t>י</w:t>
      </w:r>
      <w:r w:rsidRPr="001464B7">
        <w:rPr>
          <w:rFonts w:cs="Arial"/>
          <w:rtl/>
        </w:rPr>
        <w:t>סורו</w:t>
      </w:r>
      <w:r>
        <w:rPr>
          <w:rFonts w:cs="Arial" w:hint="cs"/>
          <w:rtl/>
        </w:rPr>
        <w:t>.''</w:t>
      </w:r>
      <w:r>
        <w:rPr>
          <w:rtl/>
        </w:rPr>
        <w:tab/>
      </w:r>
    </w:p>
    <w:p w14:paraId="01E3208B" w14:textId="6E5E873B" w:rsidR="006948A3" w:rsidRDefault="00C06BE4" w:rsidP="0048237F">
      <w:pPr>
        <w:spacing w:after="40"/>
        <w:rPr>
          <w:rtl/>
        </w:rPr>
      </w:pPr>
      <w:r w:rsidRPr="00AC5F8A">
        <w:rPr>
          <w:rFonts w:hint="cs"/>
          <w:b/>
          <w:bCs/>
          <w:rtl/>
        </w:rPr>
        <w:t>הרמב''ם</w:t>
      </w:r>
      <w:r>
        <w:rPr>
          <w:rFonts w:hint="cs"/>
          <w:rtl/>
        </w:rPr>
        <w:t xml:space="preserve"> השיב </w:t>
      </w:r>
      <w:r w:rsidR="00567328">
        <w:rPr>
          <w:rFonts w:hint="cs"/>
          <w:sz w:val="18"/>
          <w:szCs w:val="18"/>
          <w:rtl/>
        </w:rPr>
        <w:t xml:space="preserve">(שם, סי' שי) </w:t>
      </w:r>
      <w:r>
        <w:rPr>
          <w:rFonts w:hint="cs"/>
          <w:rtl/>
        </w:rPr>
        <w:t>להשגות</w:t>
      </w:r>
      <w:r w:rsidR="008D0B2E">
        <w:rPr>
          <w:rFonts w:hint="cs"/>
          <w:rtl/>
        </w:rPr>
        <w:t>יו</w:t>
      </w:r>
      <w:r w:rsidR="00BB5A0B">
        <w:rPr>
          <w:rFonts w:hint="cs"/>
          <w:rtl/>
        </w:rPr>
        <w:t xml:space="preserve"> של הרב שמואל בן עלי</w:t>
      </w:r>
      <w:r w:rsidR="008D0B2E">
        <w:rPr>
          <w:rFonts w:hint="cs"/>
          <w:rtl/>
        </w:rPr>
        <w:t>, וטען שהם נכתבו מחוסר תשומת לב</w:t>
      </w:r>
      <w:r>
        <w:rPr>
          <w:rFonts w:hint="cs"/>
          <w:rtl/>
        </w:rPr>
        <w:t>.</w:t>
      </w:r>
      <w:r w:rsidR="007C41CD">
        <w:rPr>
          <w:rFonts w:hint="cs"/>
          <w:rtl/>
        </w:rPr>
        <w:t xml:space="preserve"> הוא תמה, כיצד ייתכן לומר שהוא </w:t>
      </w:r>
      <w:r w:rsidR="00BB5A0B">
        <w:rPr>
          <w:rFonts w:hint="cs"/>
          <w:rtl/>
        </w:rPr>
        <w:t xml:space="preserve">(הרמב"ם) </w:t>
      </w:r>
      <w:r w:rsidR="007C41CD">
        <w:rPr>
          <w:rFonts w:hint="cs"/>
          <w:rtl/>
        </w:rPr>
        <w:t xml:space="preserve">לא שם לב </w:t>
      </w:r>
      <w:r w:rsidR="00780E3D">
        <w:rPr>
          <w:rFonts w:hint="cs"/>
          <w:rtl/>
        </w:rPr>
        <w:t>שב</w:t>
      </w:r>
      <w:r w:rsidR="00EA73DC">
        <w:rPr>
          <w:rFonts w:hint="cs"/>
          <w:rtl/>
        </w:rPr>
        <w:t>יותר מי''ב מיל יש איסור דאורייתא</w:t>
      </w:r>
      <w:r w:rsidR="007C41CD">
        <w:rPr>
          <w:rFonts w:hint="cs"/>
          <w:rtl/>
        </w:rPr>
        <w:t>? והרי הוא כתב כך</w:t>
      </w:r>
      <w:r w:rsidR="00EA73DC">
        <w:rPr>
          <w:rFonts w:hint="cs"/>
          <w:rtl/>
        </w:rPr>
        <w:t xml:space="preserve"> </w:t>
      </w:r>
      <w:r w:rsidR="007C41CD">
        <w:rPr>
          <w:rFonts w:hint="cs"/>
          <w:rtl/>
        </w:rPr>
        <w:t xml:space="preserve">במשנה תורה </w:t>
      </w:r>
      <w:r w:rsidR="003260E7">
        <w:rPr>
          <w:rFonts w:hint="cs"/>
          <w:sz w:val="18"/>
          <w:szCs w:val="18"/>
          <w:rtl/>
        </w:rPr>
        <w:t>(</w:t>
      </w:r>
      <w:r w:rsidR="007C41CD">
        <w:rPr>
          <w:rFonts w:hint="cs"/>
          <w:sz w:val="18"/>
          <w:szCs w:val="18"/>
          <w:rtl/>
        </w:rPr>
        <w:t xml:space="preserve">שבת </w:t>
      </w:r>
      <w:r w:rsidR="003260E7">
        <w:rPr>
          <w:rFonts w:hint="cs"/>
          <w:sz w:val="18"/>
          <w:szCs w:val="18"/>
          <w:rtl/>
        </w:rPr>
        <w:t>כז, א)</w:t>
      </w:r>
      <w:r w:rsidR="008D0B2E">
        <w:rPr>
          <w:rFonts w:hint="cs"/>
          <w:rtl/>
        </w:rPr>
        <w:t xml:space="preserve"> ובספר </w:t>
      </w:r>
      <w:r w:rsidR="004A4926">
        <w:rPr>
          <w:rFonts w:hint="cs"/>
          <w:rtl/>
        </w:rPr>
        <w:t xml:space="preserve">המצוות </w:t>
      </w:r>
      <w:r w:rsidR="004A4926">
        <w:rPr>
          <w:rFonts w:hint="cs"/>
          <w:sz w:val="18"/>
          <w:szCs w:val="18"/>
          <w:rtl/>
        </w:rPr>
        <w:t>(מצווה שכא)</w:t>
      </w:r>
      <w:r w:rsidR="004A4926">
        <w:rPr>
          <w:rFonts w:hint="cs"/>
          <w:rtl/>
        </w:rPr>
        <w:t xml:space="preserve">. אלא, שראש הישיבה לא שם לב לחילוק בין היבשה </w:t>
      </w:r>
      <w:r w:rsidR="00366EC9">
        <w:rPr>
          <w:rFonts w:hint="cs"/>
          <w:rtl/>
        </w:rPr>
        <w:t xml:space="preserve">בה </w:t>
      </w:r>
      <w:r w:rsidR="006948A3">
        <w:rPr>
          <w:rFonts w:hint="cs"/>
          <w:rtl/>
        </w:rPr>
        <w:t xml:space="preserve">מדובר </w:t>
      </w:r>
      <w:r w:rsidR="004A4926">
        <w:rPr>
          <w:rFonts w:hint="cs"/>
          <w:rtl/>
        </w:rPr>
        <w:t xml:space="preserve">באיסור דאורייתא, </w:t>
      </w:r>
      <w:r w:rsidR="00366EC9">
        <w:rPr>
          <w:rFonts w:hint="cs"/>
          <w:rtl/>
        </w:rPr>
        <w:t>ל</w:t>
      </w:r>
      <w:r w:rsidR="004A4926">
        <w:rPr>
          <w:rFonts w:hint="cs"/>
          <w:rtl/>
        </w:rPr>
        <w:t xml:space="preserve">ים </w:t>
      </w:r>
      <w:r w:rsidR="00366EC9">
        <w:rPr>
          <w:rFonts w:hint="cs"/>
          <w:rtl/>
        </w:rPr>
        <w:t xml:space="preserve">בו </w:t>
      </w:r>
      <w:r w:rsidR="004A4926">
        <w:rPr>
          <w:rFonts w:hint="cs"/>
          <w:rtl/>
        </w:rPr>
        <w:t xml:space="preserve">מדובר </w:t>
      </w:r>
      <w:r w:rsidR="006948A3">
        <w:rPr>
          <w:rFonts w:hint="cs"/>
          <w:rtl/>
        </w:rPr>
        <w:t>באיסור דרבנן</w:t>
      </w:r>
      <w:r w:rsidR="00366EC9">
        <w:rPr>
          <w:rFonts w:hint="cs"/>
          <w:rtl/>
        </w:rPr>
        <w:t>.</w:t>
      </w:r>
    </w:p>
    <w:p w14:paraId="140AE593" w14:textId="5EF795D4" w:rsidR="00697F0E" w:rsidRDefault="006948A3" w:rsidP="00735D2E">
      <w:pPr>
        <w:rPr>
          <w:rtl/>
        </w:rPr>
      </w:pPr>
      <w:r>
        <w:rPr>
          <w:rFonts w:hint="cs"/>
          <w:rtl/>
        </w:rPr>
        <w:t xml:space="preserve">עוד </w:t>
      </w:r>
      <w:r w:rsidR="006C4D03">
        <w:rPr>
          <w:rFonts w:hint="cs"/>
          <w:rtl/>
        </w:rPr>
        <w:t>טען הרמב''ם</w:t>
      </w:r>
      <w:r>
        <w:rPr>
          <w:rFonts w:hint="cs"/>
          <w:rtl/>
        </w:rPr>
        <w:t xml:space="preserve">, שגם אם </w:t>
      </w:r>
      <w:r w:rsidR="006C4D03">
        <w:rPr>
          <w:rFonts w:hint="cs"/>
          <w:rtl/>
        </w:rPr>
        <w:t>נקבל את הטענה שתחומין בים מדאורייתא, עדיין אין זו סיבה</w:t>
      </w:r>
      <w:r w:rsidR="009641FF">
        <w:rPr>
          <w:rFonts w:hint="cs"/>
          <w:rtl/>
        </w:rPr>
        <w:t xml:space="preserve"> לאסור לשוט בפרת ובחידקל. שכן כאשר נפסק שספק דאורייתא לחומרא</w:t>
      </w:r>
      <w:r w:rsidR="00B06070">
        <w:rPr>
          <w:rFonts w:hint="cs"/>
          <w:rtl/>
        </w:rPr>
        <w:t>, אין הכוונה שיש לחשוש בכל מקרה</w:t>
      </w:r>
      <w:r w:rsidR="00FC1ECA">
        <w:rPr>
          <w:rFonts w:hint="cs"/>
          <w:rtl/>
        </w:rPr>
        <w:t xml:space="preserve"> רחוק</w:t>
      </w:r>
      <w:r w:rsidR="00B06070">
        <w:rPr>
          <w:rFonts w:hint="cs"/>
          <w:rtl/>
        </w:rPr>
        <w:t xml:space="preserve"> שמא מדובר בספק ויש להחמיר, אלא רק כאשר יש ספק אמיתי עם בסיס הגיוני יש לחשוש</w:t>
      </w:r>
      <w:r w:rsidR="00BB667C">
        <w:rPr>
          <w:rFonts w:hint="cs"/>
          <w:rtl/>
        </w:rPr>
        <w:t xml:space="preserve"> - ספק שלא קיים בנהרות הגדולים</w:t>
      </w:r>
      <w:r w:rsidR="00E72A20">
        <w:rPr>
          <w:rFonts w:hint="cs"/>
          <w:rtl/>
        </w:rPr>
        <w:t xml:space="preserve"> </w:t>
      </w:r>
      <w:r w:rsidR="00E72A20">
        <w:rPr>
          <w:rFonts w:hint="cs"/>
          <w:sz w:val="18"/>
          <w:szCs w:val="18"/>
          <w:rtl/>
        </w:rPr>
        <w:t>(ועיין הערה</w:t>
      </w:r>
      <w:r w:rsidR="00E72A20" w:rsidRPr="00E427A5">
        <w:rPr>
          <w:rStyle w:val="a5"/>
          <w:rtl/>
        </w:rPr>
        <w:footnoteReference w:id="2"/>
      </w:r>
      <w:r w:rsidR="00E72A20">
        <w:rPr>
          <w:rFonts w:hint="cs"/>
          <w:sz w:val="18"/>
          <w:szCs w:val="18"/>
          <w:rtl/>
        </w:rPr>
        <w:t>)</w:t>
      </w:r>
      <w:r w:rsidR="00B06070">
        <w:rPr>
          <w:rFonts w:hint="cs"/>
          <w:rtl/>
        </w:rPr>
        <w:t>.</w:t>
      </w:r>
      <w:r>
        <w:rPr>
          <w:rFonts w:hint="cs"/>
          <w:rtl/>
        </w:rPr>
        <w:t xml:space="preserve"> </w:t>
      </w:r>
    </w:p>
    <w:p w14:paraId="7DB1E092" w14:textId="09C92E90" w:rsidR="002A6701" w:rsidRDefault="000C4CC9" w:rsidP="00C21C4B">
      <w:pPr>
        <w:rPr>
          <w:b/>
          <w:bCs/>
          <w:u w:val="single"/>
          <w:rtl/>
        </w:rPr>
      </w:pPr>
      <w:r>
        <w:rPr>
          <w:rFonts w:hint="cs"/>
          <w:b/>
          <w:bCs/>
          <w:u w:val="single"/>
          <w:rtl/>
        </w:rPr>
        <w:lastRenderedPageBreak/>
        <w:t xml:space="preserve">אגרת </w:t>
      </w:r>
      <w:r w:rsidR="00997712" w:rsidRPr="00997712">
        <w:rPr>
          <w:rFonts w:hint="cs"/>
          <w:b/>
          <w:bCs/>
          <w:u w:val="single"/>
          <w:rtl/>
        </w:rPr>
        <w:t>תחיית המתים</w:t>
      </w:r>
    </w:p>
    <w:p w14:paraId="60A4EBBD" w14:textId="66FDAA2C" w:rsidR="00230741" w:rsidRDefault="00A90ED2" w:rsidP="00EA2297">
      <w:pPr>
        <w:rPr>
          <w:rtl/>
        </w:rPr>
      </w:pPr>
      <w:r w:rsidRPr="008A6537">
        <w:rPr>
          <w:rFonts w:hint="cs"/>
          <w:b/>
          <w:bCs/>
          <w:rtl/>
        </w:rPr>
        <w:t>באגרת לרבי יוסף תלמידו</w:t>
      </w:r>
      <w:r>
        <w:rPr>
          <w:rFonts w:hint="cs"/>
          <w:rtl/>
        </w:rPr>
        <w:t xml:space="preserve"> </w:t>
      </w:r>
      <w:r>
        <w:rPr>
          <w:rFonts w:hint="cs"/>
          <w:sz w:val="18"/>
          <w:szCs w:val="18"/>
          <w:rtl/>
        </w:rPr>
        <w:t>(עמ' שט)</w:t>
      </w:r>
      <w:r>
        <w:rPr>
          <w:rFonts w:hint="cs"/>
          <w:rtl/>
        </w:rPr>
        <w:t xml:space="preserve">, מתייחס </w:t>
      </w:r>
      <w:r w:rsidRPr="009126BF">
        <w:rPr>
          <w:rFonts w:hint="cs"/>
          <w:b/>
          <w:bCs/>
          <w:rtl/>
        </w:rPr>
        <w:t xml:space="preserve">הרמב''ם </w:t>
      </w:r>
      <w:r>
        <w:rPr>
          <w:rFonts w:hint="cs"/>
          <w:rtl/>
        </w:rPr>
        <w:t>לאגרת נוספת שכתב ראש הישיבה כנגדו, ובה הוא מאשים את הרמב''ם בכך שסבר שלא תהיה תחיית המתים.</w:t>
      </w:r>
      <w:r w:rsidR="000C4CC9">
        <w:rPr>
          <w:rFonts w:hint="cs"/>
          <w:rtl/>
        </w:rPr>
        <w:t xml:space="preserve"> הרמב''ם תמה על האשמה זו</w:t>
      </w:r>
      <w:r w:rsidR="003C75D0">
        <w:rPr>
          <w:rFonts w:hint="cs"/>
          <w:rtl/>
        </w:rPr>
        <w:t xml:space="preserve"> וכתב באגרת </w:t>
      </w:r>
      <w:r w:rsidR="003C75D0" w:rsidRPr="003C75D0">
        <w:rPr>
          <w:rFonts w:hint="cs"/>
          <w:b/>
          <w:bCs/>
          <w:rtl/>
        </w:rPr>
        <w:t>למר יוסף אבן ג'אבר</w:t>
      </w:r>
      <w:r w:rsidR="003C75D0">
        <w:rPr>
          <w:rFonts w:hint="cs"/>
          <w:rtl/>
        </w:rPr>
        <w:t xml:space="preserve"> </w:t>
      </w:r>
      <w:r w:rsidR="003C75D0">
        <w:rPr>
          <w:rFonts w:hint="cs"/>
          <w:sz w:val="18"/>
          <w:szCs w:val="18"/>
          <w:rtl/>
        </w:rPr>
        <w:t xml:space="preserve">(עמ' תט) </w:t>
      </w:r>
      <w:r w:rsidR="003C75D0">
        <w:rPr>
          <w:rFonts w:hint="cs"/>
          <w:rtl/>
        </w:rPr>
        <w:t>שהוציאו עליו שם רע</w:t>
      </w:r>
      <w:r w:rsidR="000C4CC9">
        <w:rPr>
          <w:rFonts w:hint="cs"/>
          <w:rtl/>
        </w:rPr>
        <w:t xml:space="preserve">, שהרי בהקדמה לפרק חלק </w:t>
      </w:r>
      <w:r w:rsidR="000C4CC9">
        <w:rPr>
          <w:rFonts w:hint="cs"/>
          <w:sz w:val="18"/>
          <w:szCs w:val="18"/>
          <w:rtl/>
        </w:rPr>
        <w:t xml:space="preserve">(ד''ה ותחיית) </w:t>
      </w:r>
      <w:r w:rsidR="000C4CC9">
        <w:rPr>
          <w:rFonts w:hint="cs"/>
          <w:rtl/>
        </w:rPr>
        <w:t>כתב בפירוש שתחיית המתים היא ייסוד מתורת משה.</w:t>
      </w:r>
      <w:r w:rsidR="00230741">
        <w:rPr>
          <w:rFonts w:hint="cs"/>
          <w:rtl/>
        </w:rPr>
        <w:t xml:space="preserve"> למרות זאת, כדי להסיר את הטענות </w:t>
      </w:r>
      <w:r w:rsidR="00BB5A0B">
        <w:rPr>
          <w:rFonts w:hint="cs"/>
          <w:rtl/>
        </w:rPr>
        <w:t xml:space="preserve">כנגדו, </w:t>
      </w:r>
      <w:r w:rsidR="00230741">
        <w:rPr>
          <w:rFonts w:hint="cs"/>
          <w:rtl/>
        </w:rPr>
        <w:t xml:space="preserve">כתב הרמב''ם את </w:t>
      </w:r>
      <w:r w:rsidR="00230741" w:rsidRPr="002D4539">
        <w:rPr>
          <w:rFonts w:hint="cs"/>
          <w:b/>
          <w:bCs/>
          <w:rtl/>
        </w:rPr>
        <w:t>אגרת תחיית המתים</w:t>
      </w:r>
      <w:r w:rsidR="00EA2297">
        <w:rPr>
          <w:rFonts w:hint="cs"/>
          <w:rtl/>
        </w:rPr>
        <w:t xml:space="preserve"> בה </w:t>
      </w:r>
      <w:r w:rsidR="002D4124">
        <w:rPr>
          <w:rFonts w:hint="cs"/>
          <w:rtl/>
        </w:rPr>
        <w:t>בנוסף ל</w:t>
      </w:r>
      <w:r w:rsidR="00BB5A0B">
        <w:rPr>
          <w:rFonts w:hint="cs"/>
          <w:rtl/>
        </w:rPr>
        <w:t xml:space="preserve">נושא </w:t>
      </w:r>
      <w:r w:rsidR="002D4124">
        <w:rPr>
          <w:rFonts w:hint="cs"/>
          <w:rtl/>
        </w:rPr>
        <w:t xml:space="preserve">תחיית המתים </w:t>
      </w:r>
      <w:r w:rsidR="00EA2297">
        <w:rPr>
          <w:rFonts w:hint="cs"/>
          <w:rtl/>
        </w:rPr>
        <w:t>הוא דן במספר עניינים</w:t>
      </w:r>
      <w:r w:rsidR="003C75D0">
        <w:rPr>
          <w:rFonts w:hint="cs"/>
          <w:rtl/>
        </w:rPr>
        <w:t>:</w:t>
      </w:r>
      <w:r w:rsidR="00230741">
        <w:rPr>
          <w:rFonts w:hint="cs"/>
          <w:rtl/>
        </w:rPr>
        <w:t xml:space="preserve"> </w:t>
      </w:r>
    </w:p>
    <w:p w14:paraId="1FC4544A" w14:textId="506ADCA4" w:rsidR="004D6899" w:rsidRDefault="00E21D29" w:rsidP="009566AF">
      <w:pPr>
        <w:rPr>
          <w:rtl/>
        </w:rPr>
      </w:pPr>
      <w:r>
        <w:rPr>
          <w:rFonts w:hint="cs"/>
          <w:rtl/>
        </w:rPr>
        <w:t xml:space="preserve">א. </w:t>
      </w:r>
      <w:r w:rsidR="00EA2297">
        <w:rPr>
          <w:rFonts w:hint="cs"/>
          <w:rtl/>
        </w:rPr>
        <w:t xml:space="preserve">הרמב''ם </w:t>
      </w:r>
      <w:r w:rsidR="00230741">
        <w:rPr>
          <w:rFonts w:hint="cs"/>
          <w:rtl/>
        </w:rPr>
        <w:t>פותח את האגרת ב</w:t>
      </w:r>
      <w:r w:rsidR="00C2594D">
        <w:rPr>
          <w:rFonts w:hint="cs"/>
          <w:rtl/>
        </w:rPr>
        <w:t xml:space="preserve">הסבר מדוע </w:t>
      </w:r>
      <w:r w:rsidR="00230741">
        <w:rPr>
          <w:rFonts w:hint="cs"/>
          <w:rtl/>
        </w:rPr>
        <w:t>הכניס את עיקרי האמונה לתוך ספרו ההלכתי. ו</w:t>
      </w:r>
      <w:r w:rsidR="00C2594D">
        <w:rPr>
          <w:rFonts w:hint="cs"/>
          <w:rtl/>
        </w:rPr>
        <w:t>הוא מ</w:t>
      </w:r>
      <w:r w:rsidR="00230741">
        <w:rPr>
          <w:rFonts w:hint="cs"/>
          <w:rtl/>
        </w:rPr>
        <w:t>באר, שלאחר שראה את הבורות שיש בעם ואף בתלמידי החכמים ביחס לתפיסות מחשבתיות בסיסיות</w:t>
      </w:r>
      <w:r w:rsidR="009B1F73">
        <w:rPr>
          <w:rFonts w:hint="cs"/>
          <w:rtl/>
        </w:rPr>
        <w:t xml:space="preserve"> (כמו הקביעה שלקב''ה אין גוף)</w:t>
      </w:r>
      <w:r w:rsidR="00230741">
        <w:rPr>
          <w:rFonts w:hint="cs"/>
          <w:rtl/>
        </w:rPr>
        <w:t>,</w:t>
      </w:r>
      <w:r w:rsidR="001A026E">
        <w:rPr>
          <w:rFonts w:hint="cs"/>
          <w:rtl/>
        </w:rPr>
        <w:t xml:space="preserve"> </w:t>
      </w:r>
      <w:r w:rsidR="00230741">
        <w:rPr>
          <w:rFonts w:hint="cs"/>
          <w:rtl/>
        </w:rPr>
        <w:t xml:space="preserve">החליט שלא ייתכן לכתוב את ההלכות </w:t>
      </w:r>
      <w:r w:rsidR="001A026E">
        <w:rPr>
          <w:rFonts w:hint="cs"/>
          <w:rtl/>
        </w:rPr>
        <w:t>בלי</w:t>
      </w:r>
      <w:r w:rsidR="00230741">
        <w:rPr>
          <w:rFonts w:hint="cs"/>
          <w:rtl/>
        </w:rPr>
        <w:t xml:space="preserve"> להכניס את השורשים עליהם הכל בנוי</w:t>
      </w:r>
      <w:r w:rsidR="00AB79C6">
        <w:rPr>
          <w:rFonts w:hint="cs"/>
          <w:rtl/>
        </w:rPr>
        <w:t xml:space="preserve"> והם העיקר</w:t>
      </w:r>
      <w:r w:rsidR="00230741">
        <w:rPr>
          <w:rStyle w:val="a5"/>
          <w:rtl/>
        </w:rPr>
        <w:footnoteReference w:id="3"/>
      </w:r>
      <w:r w:rsidR="00230741">
        <w:rPr>
          <w:rFonts w:hint="cs"/>
          <w:rtl/>
        </w:rPr>
        <w:t>.</w:t>
      </w:r>
      <w:r w:rsidR="004D6899">
        <w:rPr>
          <w:rFonts w:hint="cs"/>
          <w:rtl/>
        </w:rPr>
        <w:t xml:space="preserve"> ובלשונו:</w:t>
      </w:r>
    </w:p>
    <w:p w14:paraId="79ECAE59" w14:textId="0AAF77F0" w:rsidR="00E21D29" w:rsidRDefault="009566AF" w:rsidP="009126BF">
      <w:pPr>
        <w:ind w:left="720"/>
        <w:rPr>
          <w:rtl/>
        </w:rPr>
      </w:pPr>
      <w:r>
        <w:rPr>
          <w:rFonts w:cs="Arial" w:hint="cs"/>
          <w:rtl/>
        </w:rPr>
        <w:t>''</w:t>
      </w:r>
      <w:r w:rsidRPr="009566AF">
        <w:rPr>
          <w:rFonts w:cs="Arial"/>
          <w:rtl/>
        </w:rPr>
        <w:t>וכאשר נחלצנו לזה ראינו שאינו מן הדין לדון למה שנרצה, ורוצה לומר לבאר ולקרב סעיפי הדת ולהניח ש</w:t>
      </w:r>
      <w:r w:rsidR="00CC1D97">
        <w:rPr>
          <w:rFonts w:cs="Arial" w:hint="cs"/>
          <w:rtl/>
        </w:rPr>
        <w:t>ו</w:t>
      </w:r>
      <w:r w:rsidRPr="009566AF">
        <w:rPr>
          <w:rFonts w:cs="Arial"/>
          <w:rtl/>
        </w:rPr>
        <w:t>רשיו נעזבים שלא אבארם ולא אישיר אמ</w:t>
      </w:r>
      <w:r w:rsidR="003D5AB5">
        <w:rPr>
          <w:rFonts w:cs="Arial" w:hint="cs"/>
          <w:rtl/>
        </w:rPr>
        <w:t>י</w:t>
      </w:r>
      <w:r w:rsidRPr="009566AF">
        <w:rPr>
          <w:rFonts w:cs="Arial"/>
          <w:rtl/>
        </w:rPr>
        <w:t>תתם, וכל שכן שכבר פגשנו אדם שהיה נחשב שהיה מחכמי ישראל וחי השם יודע היה דרך משא ומתן במלחמתה של תורה לפי מחשבתו מנעוריו, והוא היה מסופק אם השם גשם בעל עין יד ורגל בני מעיים</w:t>
      </w:r>
      <w:r>
        <w:rPr>
          <w:rFonts w:cs="Arial" w:hint="cs"/>
          <w:rtl/>
        </w:rPr>
        <w:t>.''</w:t>
      </w:r>
    </w:p>
    <w:p w14:paraId="246D078D" w14:textId="4AD376CB" w:rsidR="00986882" w:rsidRDefault="00E21D29" w:rsidP="00230741">
      <w:pPr>
        <w:rPr>
          <w:rtl/>
        </w:rPr>
      </w:pPr>
      <w:r>
        <w:rPr>
          <w:rFonts w:hint="cs"/>
          <w:rtl/>
        </w:rPr>
        <w:t xml:space="preserve">ב. עוד כותב באגרת, שהפסוק </w:t>
      </w:r>
      <w:r w:rsidR="00986882">
        <w:rPr>
          <w:rFonts w:hint="cs"/>
          <w:rtl/>
        </w:rPr>
        <w:t xml:space="preserve">'וגר זאב עם כבש' הוא משל. הסיבה </w:t>
      </w:r>
      <w:r w:rsidR="00657038">
        <w:rPr>
          <w:rFonts w:hint="cs"/>
          <w:rtl/>
        </w:rPr>
        <w:t xml:space="preserve">לפרש </w:t>
      </w:r>
      <w:r w:rsidR="0097125E">
        <w:rPr>
          <w:rFonts w:hint="cs"/>
          <w:rtl/>
        </w:rPr>
        <w:t>כך היא</w:t>
      </w:r>
      <w:r w:rsidR="00986882">
        <w:rPr>
          <w:rFonts w:hint="cs"/>
          <w:rtl/>
        </w:rPr>
        <w:t>, שלמרות שאין מניעה שהקב''ה יעשה נס וישנה את הטבע,</w:t>
      </w:r>
      <w:r w:rsidR="0097125E">
        <w:rPr>
          <w:rFonts w:hint="cs"/>
          <w:rtl/>
        </w:rPr>
        <w:t xml:space="preserve"> מכל מקום כאשר אפשר ליישב את הדברים עם השכל</w:t>
      </w:r>
      <w:r w:rsidR="00A771E0">
        <w:rPr>
          <w:rFonts w:hint="cs"/>
          <w:rtl/>
        </w:rPr>
        <w:t xml:space="preserve"> -</w:t>
      </w:r>
      <w:r w:rsidR="00C2594D" w:rsidRPr="00C2594D">
        <w:rPr>
          <w:rFonts w:hint="cs"/>
          <w:rtl/>
        </w:rPr>
        <w:t xml:space="preserve"> </w:t>
      </w:r>
      <w:r w:rsidR="00C2594D">
        <w:rPr>
          <w:rFonts w:hint="cs"/>
          <w:rtl/>
        </w:rPr>
        <w:t>כך</w:t>
      </w:r>
      <w:r w:rsidR="0097125E">
        <w:rPr>
          <w:rFonts w:hint="cs"/>
          <w:rtl/>
        </w:rPr>
        <w:t xml:space="preserve"> עדיף לעשות ('הפך השתדלות ההמון'), שכן ממילא אי אפשר לדעת כיצד </w:t>
      </w:r>
      <w:r w:rsidR="00E87FA7">
        <w:rPr>
          <w:rFonts w:hint="cs"/>
          <w:rtl/>
        </w:rPr>
        <w:t>דברים אלו</w:t>
      </w:r>
      <w:r w:rsidR="0097125E">
        <w:rPr>
          <w:rFonts w:hint="cs"/>
          <w:rtl/>
        </w:rPr>
        <w:t xml:space="preserve"> יתרחשו, </w:t>
      </w:r>
      <w:r w:rsidR="00D00ADC">
        <w:rPr>
          <w:rFonts w:hint="cs"/>
          <w:rtl/>
        </w:rPr>
        <w:t>ו</w:t>
      </w:r>
      <w:r w:rsidR="0097125E">
        <w:rPr>
          <w:rFonts w:hint="cs"/>
          <w:rtl/>
        </w:rPr>
        <w:t>עדיף לחיות בהווה ולא בדמיונות.</w:t>
      </w:r>
    </w:p>
    <w:p w14:paraId="47CA4F5A" w14:textId="3EA7D276" w:rsidR="004D6899" w:rsidRDefault="00E21D29" w:rsidP="00763786">
      <w:pPr>
        <w:rPr>
          <w:rtl/>
        </w:rPr>
      </w:pPr>
      <w:r>
        <w:rPr>
          <w:rFonts w:hint="cs"/>
          <w:rtl/>
        </w:rPr>
        <w:t xml:space="preserve">עם זאת, את הפסוק המדבר על תחיית המתים </w:t>
      </w:r>
      <w:r w:rsidR="00C2594D">
        <w:rPr>
          <w:rFonts w:hint="cs"/>
          <w:rtl/>
        </w:rPr>
        <w:t xml:space="preserve">הוא </w:t>
      </w:r>
      <w:r>
        <w:rPr>
          <w:rFonts w:hint="cs"/>
          <w:rtl/>
        </w:rPr>
        <w:t>מפרש כפשוטו. הסיבה ל</w:t>
      </w:r>
      <w:r w:rsidR="00C2594D">
        <w:rPr>
          <w:rFonts w:hint="cs"/>
          <w:rtl/>
        </w:rPr>
        <w:t>הבדל</w:t>
      </w:r>
      <w:r>
        <w:rPr>
          <w:rFonts w:hint="cs"/>
          <w:rtl/>
        </w:rPr>
        <w:t xml:space="preserve"> בין פסוק זה </w:t>
      </w:r>
      <w:r w:rsidR="00D93CBE">
        <w:rPr>
          <w:rFonts w:hint="cs"/>
          <w:rtl/>
        </w:rPr>
        <w:t>ל</w:t>
      </w:r>
      <w:r w:rsidR="00C2594D">
        <w:rPr>
          <w:rFonts w:hint="cs"/>
          <w:rtl/>
        </w:rPr>
        <w:t xml:space="preserve">בין </w:t>
      </w:r>
      <w:r>
        <w:rPr>
          <w:rFonts w:hint="cs"/>
          <w:rtl/>
        </w:rPr>
        <w:t>'גר זאב עם כבש', ש</w:t>
      </w:r>
      <w:r w:rsidR="00763786">
        <w:rPr>
          <w:rFonts w:hint="cs"/>
          <w:rtl/>
        </w:rPr>
        <w:t xml:space="preserve">בניגוד לזאב שלא יטרוף, </w:t>
      </w:r>
      <w:r w:rsidR="00C2594D">
        <w:rPr>
          <w:rFonts w:hint="cs"/>
          <w:rtl/>
        </w:rPr>
        <w:t xml:space="preserve">שהוא </w:t>
      </w:r>
      <w:r w:rsidR="00763786">
        <w:rPr>
          <w:rFonts w:hint="cs"/>
          <w:rtl/>
        </w:rPr>
        <w:t xml:space="preserve">דבר המשנה את </w:t>
      </w:r>
      <w:r w:rsidR="00487A3E">
        <w:rPr>
          <w:rFonts w:hint="cs"/>
          <w:rtl/>
        </w:rPr>
        <w:t>סדרי בראשית</w:t>
      </w:r>
      <w:r w:rsidR="00763786">
        <w:rPr>
          <w:rFonts w:hint="cs"/>
          <w:rtl/>
        </w:rPr>
        <w:t xml:space="preserve">, </w:t>
      </w:r>
      <w:r w:rsidR="00C2594D">
        <w:rPr>
          <w:rFonts w:hint="cs"/>
          <w:rtl/>
        </w:rPr>
        <w:t>הרי ש</w:t>
      </w:r>
      <w:r>
        <w:rPr>
          <w:rFonts w:hint="cs"/>
          <w:rtl/>
        </w:rPr>
        <w:t>תחיית המתים היא מופת חד פעמי, וכיוון שמופתים אפשרים</w:t>
      </w:r>
      <w:r w:rsidR="00487A3E">
        <w:rPr>
          <w:rFonts w:hint="cs"/>
          <w:rtl/>
        </w:rPr>
        <w:t xml:space="preserve"> ואף נעשו בעבר ממספר סיבות</w:t>
      </w:r>
      <w:r w:rsidR="001A026E">
        <w:rPr>
          <w:rFonts w:hint="cs"/>
          <w:rtl/>
        </w:rPr>
        <w:t>,</w:t>
      </w:r>
      <w:r>
        <w:rPr>
          <w:rFonts w:hint="cs"/>
          <w:rtl/>
        </w:rPr>
        <w:t xml:space="preserve"> אין סיבה לשנות את הפסוקים מפשטם ללא צורך. </w:t>
      </w:r>
    </w:p>
    <w:p w14:paraId="1E2690B5" w14:textId="742361B6" w:rsidR="00A77516" w:rsidRDefault="004D6899" w:rsidP="00D76841">
      <w:pPr>
        <w:rPr>
          <w:rtl/>
        </w:rPr>
      </w:pPr>
      <w:r>
        <w:rPr>
          <w:rFonts w:hint="cs"/>
          <w:rtl/>
        </w:rPr>
        <w:t>על בסיס אותו היגיון הסביר, מדוע יש פסוקים רבים מהם עולה שהמתים לא יקומו אחרי מותם</w:t>
      </w:r>
      <w:r w:rsidR="00A77516">
        <w:rPr>
          <w:rFonts w:hint="cs"/>
          <w:rtl/>
        </w:rPr>
        <w:t xml:space="preserve"> כמו הפסוק באיוב </w:t>
      </w:r>
      <w:r w:rsidR="00A77516">
        <w:rPr>
          <w:rFonts w:hint="cs"/>
          <w:sz w:val="18"/>
          <w:szCs w:val="18"/>
          <w:rtl/>
        </w:rPr>
        <w:t xml:space="preserve">(ג, ג) </w:t>
      </w:r>
      <w:r w:rsidR="00A77516">
        <w:rPr>
          <w:rFonts w:hint="cs"/>
          <w:rtl/>
        </w:rPr>
        <w:t>''אם ימות גבר היחיה?!''</w:t>
      </w:r>
      <w:r w:rsidR="002F2DE4">
        <w:rPr>
          <w:rFonts w:hint="cs"/>
          <w:rtl/>
        </w:rPr>
        <w:t xml:space="preserve"> או בתהילים </w:t>
      </w:r>
      <w:r w:rsidR="002F2DE4">
        <w:rPr>
          <w:rFonts w:hint="cs"/>
          <w:sz w:val="18"/>
          <w:szCs w:val="18"/>
          <w:rtl/>
        </w:rPr>
        <w:t>(עח, לט)</w:t>
      </w:r>
      <w:r>
        <w:rPr>
          <w:rFonts w:hint="cs"/>
          <w:rtl/>
        </w:rPr>
        <w:t xml:space="preserve"> </w:t>
      </w:r>
      <w:r w:rsidR="002F2DE4">
        <w:rPr>
          <w:rFonts w:hint="cs"/>
          <w:rtl/>
        </w:rPr>
        <w:t xml:space="preserve">''רוח הולך ולא ישוב'', </w:t>
      </w:r>
      <w:r>
        <w:rPr>
          <w:rFonts w:hint="cs"/>
          <w:rtl/>
        </w:rPr>
        <w:t>שכ</w:t>
      </w:r>
      <w:r w:rsidR="00763786">
        <w:rPr>
          <w:rFonts w:hint="cs"/>
          <w:rtl/>
        </w:rPr>
        <w:t xml:space="preserve">ן </w:t>
      </w:r>
      <w:r w:rsidR="00D54774">
        <w:rPr>
          <w:rFonts w:hint="cs"/>
          <w:rtl/>
        </w:rPr>
        <w:t>תחיית המתים היא מופת ונס, ו</w:t>
      </w:r>
      <w:r w:rsidR="002F2DE4">
        <w:rPr>
          <w:rFonts w:hint="cs"/>
          <w:rtl/>
        </w:rPr>
        <w:t xml:space="preserve">מטרת </w:t>
      </w:r>
      <w:r w:rsidR="00D54774">
        <w:rPr>
          <w:rFonts w:hint="cs"/>
          <w:rtl/>
        </w:rPr>
        <w:t xml:space="preserve">פסוקים </w:t>
      </w:r>
      <w:r w:rsidR="002F2DE4">
        <w:rPr>
          <w:rFonts w:hint="cs"/>
          <w:rtl/>
        </w:rPr>
        <w:t xml:space="preserve">אלו לתאר את </w:t>
      </w:r>
      <w:r w:rsidR="00D54774">
        <w:rPr>
          <w:rFonts w:hint="cs"/>
          <w:rtl/>
        </w:rPr>
        <w:t>המציאות הטבעית</w:t>
      </w:r>
      <w:r w:rsidR="002F2DE4">
        <w:rPr>
          <w:rFonts w:hint="cs"/>
          <w:rtl/>
        </w:rPr>
        <w:t xml:space="preserve"> ולא אירוע חריג של תחיית המתים. ובלשונו:</w:t>
      </w:r>
      <w:r w:rsidR="00D54774">
        <w:rPr>
          <w:rFonts w:hint="cs"/>
          <w:rtl/>
        </w:rPr>
        <w:t xml:space="preserve"> </w:t>
      </w:r>
    </w:p>
    <w:p w14:paraId="49439E7F" w14:textId="67A4C90A" w:rsidR="00D76841" w:rsidRDefault="00D76841" w:rsidP="00A5613B">
      <w:pPr>
        <w:ind w:left="720"/>
        <w:rPr>
          <w:rtl/>
        </w:rPr>
      </w:pPr>
      <w:r>
        <w:rPr>
          <w:rFonts w:cs="Arial" w:hint="cs"/>
          <w:rtl/>
        </w:rPr>
        <w:t>''</w:t>
      </w:r>
      <w:r w:rsidRPr="00D76841">
        <w:rPr>
          <w:rFonts w:cs="Arial"/>
          <w:rtl/>
        </w:rPr>
        <w:t>אומר במענה השאלה הראשונה, שדברי הנביאים ולשון הספרים אמנם באו מספרים טבע המציאות הנהוגה, וידוע שטבע זו המציאות הוא התחבר נקבות בעלי חיים וזכריהם והולידם הדומה, וצמיחת הנולד מעט מעט עד שימות האיש ההוא, ואין מן הטבע שישוב האיש ההוא ויתהוה שנית אחר מותו</w:t>
      </w:r>
      <w:r>
        <w:rPr>
          <w:rFonts w:cs="Arial" w:hint="cs"/>
          <w:rtl/>
        </w:rPr>
        <w:t>.''</w:t>
      </w:r>
    </w:p>
    <w:p w14:paraId="0E4B382D" w14:textId="78DED1AA" w:rsidR="004D6899" w:rsidRDefault="00D54774" w:rsidP="00E263F4">
      <w:pPr>
        <w:rPr>
          <w:rtl/>
        </w:rPr>
      </w:pPr>
      <w:r>
        <w:rPr>
          <w:rFonts w:hint="cs"/>
          <w:rtl/>
        </w:rPr>
        <w:t xml:space="preserve">במענה לשאלה מדוע התורה לא כתבה </w:t>
      </w:r>
      <w:r w:rsidR="00C2594D">
        <w:rPr>
          <w:rFonts w:hint="cs"/>
          <w:rtl/>
        </w:rPr>
        <w:t>על</w:t>
      </w:r>
      <w:r>
        <w:rPr>
          <w:rFonts w:hint="cs"/>
          <w:rtl/>
        </w:rPr>
        <w:t xml:space="preserve"> תחיית המתים השיב, </w:t>
      </w:r>
      <w:r w:rsidR="003B0CFB">
        <w:rPr>
          <w:rFonts w:hint="cs"/>
          <w:rtl/>
        </w:rPr>
        <w:t>שבזמן התורה</w:t>
      </w:r>
      <w:r w:rsidR="00A77516">
        <w:rPr>
          <w:rFonts w:hint="cs"/>
          <w:rtl/>
        </w:rPr>
        <w:t xml:space="preserve"> </w:t>
      </w:r>
      <w:r w:rsidR="00E263F4">
        <w:rPr>
          <w:rFonts w:hint="cs"/>
          <w:rtl/>
        </w:rPr>
        <w:t>האמינו כולם שהעולם קדמון, שלא ניתן לעשות ניסים ושאין נבואה.</w:t>
      </w:r>
      <w:r w:rsidR="003B0CFB">
        <w:rPr>
          <w:rFonts w:hint="cs"/>
          <w:rtl/>
        </w:rPr>
        <w:t xml:space="preserve"> </w:t>
      </w:r>
      <w:r w:rsidR="00E263F4">
        <w:rPr>
          <w:rFonts w:hint="cs"/>
          <w:rtl/>
        </w:rPr>
        <w:t xml:space="preserve">משום כך, אם בתורה היה הקב''ה </w:t>
      </w:r>
      <w:r w:rsidR="00C2594D">
        <w:rPr>
          <w:rFonts w:hint="cs"/>
          <w:rtl/>
        </w:rPr>
        <w:t xml:space="preserve">כותב </w:t>
      </w:r>
      <w:r w:rsidR="00E263F4">
        <w:rPr>
          <w:rFonts w:hint="cs"/>
          <w:rtl/>
        </w:rPr>
        <w:t>שלעתיד יהיה מופת שהמתים יקומו מקברם, לא יאמינו בני ישראל בתורה ויזנחו אותה מכל וכל. רק לאחר שנים, שהיסודות התאמתו, ניתן היה לספר על תחיית המתים.</w:t>
      </w:r>
    </w:p>
    <w:p w14:paraId="426B79D8" w14:textId="13A73DE6" w:rsidR="00FA1296" w:rsidRDefault="00FA1296" w:rsidP="00230741">
      <w:pPr>
        <w:rPr>
          <w:u w:val="single"/>
          <w:rtl/>
        </w:rPr>
      </w:pPr>
      <w:r>
        <w:rPr>
          <w:rFonts w:hint="cs"/>
          <w:u w:val="single"/>
          <w:rtl/>
        </w:rPr>
        <w:t>כיצד תראה תחיית המתים</w:t>
      </w:r>
    </w:p>
    <w:p w14:paraId="247A1ED8" w14:textId="7F972434" w:rsidR="00FA1296" w:rsidRDefault="00FA1296" w:rsidP="00230741">
      <w:pPr>
        <w:rPr>
          <w:rtl/>
        </w:rPr>
      </w:pPr>
      <w:r>
        <w:rPr>
          <w:rFonts w:hint="cs"/>
          <w:rtl/>
        </w:rPr>
        <w:t>כיצד תראה תחיית המתים? כפי שראינו ב</w:t>
      </w:r>
      <w:r w:rsidR="00C163AC">
        <w:rPr>
          <w:rFonts w:hint="cs"/>
          <w:rtl/>
        </w:rPr>
        <w:t>הרחבה ב</w:t>
      </w:r>
      <w:r>
        <w:rPr>
          <w:rFonts w:hint="cs"/>
          <w:rtl/>
        </w:rPr>
        <w:t>עבר</w:t>
      </w:r>
      <w:r w:rsidR="00C163AC">
        <w:rPr>
          <w:rFonts w:hint="cs"/>
          <w:rtl/>
        </w:rPr>
        <w:t xml:space="preserve"> </w:t>
      </w:r>
      <w:r w:rsidR="00C163AC">
        <w:rPr>
          <w:rFonts w:hint="cs"/>
          <w:sz w:val="18"/>
          <w:szCs w:val="18"/>
          <w:rtl/>
        </w:rPr>
        <w:t>(נשא שנה ב')</w:t>
      </w:r>
      <w:r>
        <w:rPr>
          <w:rFonts w:hint="cs"/>
          <w:rtl/>
        </w:rPr>
        <w:t>, נחלקו בשאלה זו הרמב''ם והרמב''ן:</w:t>
      </w:r>
    </w:p>
    <w:p w14:paraId="1E8330A4" w14:textId="594C0B1D" w:rsidR="00FA1296" w:rsidRDefault="00D32A04" w:rsidP="00230741">
      <w:pPr>
        <w:rPr>
          <w:sz w:val="18"/>
          <w:szCs w:val="18"/>
          <w:rtl/>
        </w:rPr>
      </w:pPr>
      <w:r>
        <w:rPr>
          <w:rFonts w:hint="cs"/>
          <w:rtl/>
        </w:rPr>
        <w:t xml:space="preserve">א. </w:t>
      </w:r>
      <w:r w:rsidR="008A7DB8" w:rsidRPr="008A7DB8">
        <w:rPr>
          <w:rFonts w:hint="cs"/>
          <w:b/>
          <w:bCs/>
          <w:rtl/>
        </w:rPr>
        <w:t>הרמב''ם</w:t>
      </w:r>
      <w:r w:rsidR="008A7DB8">
        <w:rPr>
          <w:rFonts w:hint="cs"/>
          <w:rtl/>
        </w:rPr>
        <w:t xml:space="preserve"> </w:t>
      </w:r>
      <w:r w:rsidR="008A7DB8">
        <w:rPr>
          <w:rFonts w:hint="cs"/>
          <w:sz w:val="18"/>
          <w:szCs w:val="18"/>
          <w:rtl/>
        </w:rPr>
        <w:t>(עמ' שמג)</w:t>
      </w:r>
      <w:r w:rsidR="008A7DB8">
        <w:rPr>
          <w:rFonts w:hint="cs"/>
          <w:rtl/>
        </w:rPr>
        <w:t xml:space="preserve"> סבר, שלמעשה תחיית המתים היא שלב בדרך לעולם הבא. דהיינו, לאחר שהאדם מת הוא עולה לעולם הנשמות, שם הוא נמצא עד שעת התחייה</w:t>
      </w:r>
      <w:r w:rsidR="004442A8">
        <w:rPr>
          <w:rFonts w:hint="cs"/>
          <w:rtl/>
        </w:rPr>
        <w:t xml:space="preserve">. </w:t>
      </w:r>
      <w:r w:rsidR="008A7DB8">
        <w:rPr>
          <w:rFonts w:hint="cs"/>
          <w:rtl/>
        </w:rPr>
        <w:t xml:space="preserve">אם הוא </w:t>
      </w:r>
      <w:r w:rsidR="000B65B3">
        <w:rPr>
          <w:rFonts w:hint="cs"/>
          <w:rtl/>
        </w:rPr>
        <w:t xml:space="preserve">רשע נכרת ברשעו, ואם </w:t>
      </w:r>
      <w:r w:rsidR="008A7DB8">
        <w:rPr>
          <w:rFonts w:hint="cs"/>
          <w:rtl/>
        </w:rPr>
        <w:t>זכאי</w:t>
      </w:r>
      <w:r w:rsidR="00B411E3">
        <w:rPr>
          <w:rFonts w:hint="cs"/>
          <w:rtl/>
        </w:rPr>
        <w:t>,</w:t>
      </w:r>
      <w:r w:rsidR="008A7DB8">
        <w:rPr>
          <w:rFonts w:hint="cs"/>
          <w:rtl/>
        </w:rPr>
        <w:t xml:space="preserve"> הוא קם לתחייה בתחיית המתים, חי את חייו שוב, ולאחר מכן נפטר ועולה לעולם הבא, </w:t>
      </w:r>
      <w:r w:rsidR="00B411E3">
        <w:rPr>
          <w:rFonts w:hint="cs"/>
          <w:rtl/>
        </w:rPr>
        <w:t xml:space="preserve">שם </w:t>
      </w:r>
      <w:r w:rsidR="008A7DB8">
        <w:rPr>
          <w:rFonts w:hint="cs"/>
          <w:rtl/>
        </w:rPr>
        <w:t>קבלת השכר.</w:t>
      </w:r>
      <w:r w:rsidR="008A7DB8">
        <w:rPr>
          <w:rFonts w:hint="cs"/>
          <w:sz w:val="18"/>
          <w:szCs w:val="18"/>
          <w:rtl/>
        </w:rPr>
        <w:t xml:space="preserve"> </w:t>
      </w:r>
    </w:p>
    <w:p w14:paraId="532E162B" w14:textId="2EF8F107" w:rsidR="00ED5B19" w:rsidRDefault="004442A8" w:rsidP="00C163AC">
      <w:pPr>
        <w:rPr>
          <w:rtl/>
        </w:rPr>
      </w:pPr>
      <w:r w:rsidRPr="004442A8">
        <w:rPr>
          <w:rFonts w:hint="cs"/>
          <w:rtl/>
        </w:rPr>
        <w:t xml:space="preserve">בביאור תפיסתו </w:t>
      </w:r>
      <w:r w:rsidR="00D800C3">
        <w:rPr>
          <w:rFonts w:hint="cs"/>
          <w:rtl/>
        </w:rPr>
        <w:t xml:space="preserve">כתב </w:t>
      </w:r>
      <w:r w:rsidR="00082E7A">
        <w:rPr>
          <w:rFonts w:hint="cs"/>
          <w:sz w:val="18"/>
          <w:szCs w:val="18"/>
          <w:rtl/>
        </w:rPr>
        <w:t>(עמ' שנה)</w:t>
      </w:r>
      <w:r w:rsidR="00C163AC">
        <w:rPr>
          <w:rFonts w:hint="cs"/>
          <w:rtl/>
        </w:rPr>
        <w:t>,</w:t>
      </w:r>
      <w:r w:rsidR="001D70E9">
        <w:rPr>
          <w:rFonts w:hint="cs"/>
          <w:rtl/>
        </w:rPr>
        <w:t xml:space="preserve"> </w:t>
      </w:r>
      <w:r w:rsidR="0086707F">
        <w:rPr>
          <w:rFonts w:hint="cs"/>
          <w:rtl/>
        </w:rPr>
        <w:t>ש</w:t>
      </w:r>
      <w:r w:rsidR="00082E7A">
        <w:rPr>
          <w:rFonts w:hint="cs"/>
          <w:rtl/>
        </w:rPr>
        <w:t xml:space="preserve">הנחת המוצא </w:t>
      </w:r>
      <w:r w:rsidR="00ED5B19">
        <w:rPr>
          <w:rFonts w:hint="cs"/>
          <w:rtl/>
        </w:rPr>
        <w:t xml:space="preserve">היא </w:t>
      </w:r>
      <w:r w:rsidR="00082E7A">
        <w:rPr>
          <w:rFonts w:hint="cs"/>
          <w:rtl/>
        </w:rPr>
        <w:t>שהקב''ה אינ</w:t>
      </w:r>
      <w:r w:rsidR="00B411E3">
        <w:rPr>
          <w:rFonts w:hint="cs"/>
          <w:rtl/>
        </w:rPr>
        <w:t>ו</w:t>
      </w:r>
      <w:r w:rsidR="00082E7A">
        <w:rPr>
          <w:rFonts w:hint="cs"/>
          <w:rtl/>
        </w:rPr>
        <w:t xml:space="preserve"> בורא שום דבר לבטלה. משום כך, לא ייתכן שלעתיד לבוא יחיה האדם במעין גוף מזוכך ולא יצטרך לאכילה, שתייה</w:t>
      </w:r>
      <w:r w:rsidR="00B411E3">
        <w:rPr>
          <w:rFonts w:hint="cs"/>
          <w:rtl/>
        </w:rPr>
        <w:t>,</w:t>
      </w:r>
      <w:r w:rsidR="00082E7A">
        <w:rPr>
          <w:rFonts w:hint="cs"/>
          <w:rtl/>
        </w:rPr>
        <w:t xml:space="preserve"> פרייה ורבייה, שהרי כלי הגוף מכוונים למטרות אלו</w:t>
      </w:r>
      <w:r w:rsidR="00AC48E9">
        <w:rPr>
          <w:rFonts w:hint="cs"/>
          <w:rtl/>
        </w:rPr>
        <w:t xml:space="preserve">. </w:t>
      </w:r>
      <w:r w:rsidR="0070226D">
        <w:rPr>
          <w:rFonts w:hint="cs"/>
          <w:rtl/>
        </w:rPr>
        <w:t xml:space="preserve">אלא </w:t>
      </w:r>
      <w:r w:rsidR="0024591F">
        <w:rPr>
          <w:rFonts w:hint="cs"/>
          <w:rtl/>
        </w:rPr>
        <w:t xml:space="preserve">וודאי </w:t>
      </w:r>
      <w:r w:rsidR="00AC48E9">
        <w:rPr>
          <w:rFonts w:hint="cs"/>
          <w:rtl/>
        </w:rPr>
        <w:t>שבעולם הבא לא יהיה גוף</w:t>
      </w:r>
      <w:r w:rsidR="00C163AC">
        <w:rPr>
          <w:rFonts w:hint="cs"/>
          <w:rtl/>
        </w:rPr>
        <w:t xml:space="preserve">, אלא נשמות שמשיגות את הקב''ה באמצעות הדעות שהשיגו </w:t>
      </w:r>
      <w:r w:rsidR="00C163AC">
        <w:rPr>
          <w:rFonts w:hint="cs"/>
          <w:sz w:val="18"/>
          <w:szCs w:val="18"/>
          <w:rtl/>
        </w:rPr>
        <w:t>(הלכות תשובה ח, ב)</w:t>
      </w:r>
      <w:r w:rsidR="00082E7A">
        <w:rPr>
          <w:rFonts w:hint="cs"/>
          <w:rtl/>
        </w:rPr>
        <w:t xml:space="preserve">. </w:t>
      </w:r>
    </w:p>
    <w:p w14:paraId="214B0F90" w14:textId="4673F737" w:rsidR="00230741" w:rsidRDefault="00D84DD7" w:rsidP="00C163AC">
      <w:pPr>
        <w:rPr>
          <w:rtl/>
        </w:rPr>
      </w:pPr>
      <w:r>
        <w:rPr>
          <w:rFonts w:hint="cs"/>
          <w:rtl/>
        </w:rPr>
        <w:t xml:space="preserve">משום כך הוסיף וכתב, שאין </w:t>
      </w:r>
      <w:r w:rsidR="003D5DD8">
        <w:rPr>
          <w:rFonts w:hint="cs"/>
          <w:rtl/>
        </w:rPr>
        <w:t xml:space="preserve">סתירה לדבריו </w:t>
      </w:r>
      <w:r>
        <w:rPr>
          <w:rFonts w:hint="cs"/>
          <w:rtl/>
        </w:rPr>
        <w:t>ממשה ואליהו שחיו תקופה ללא אוכל ומים</w:t>
      </w:r>
      <w:r w:rsidR="003D5DD8">
        <w:rPr>
          <w:rFonts w:hint="cs"/>
          <w:rtl/>
        </w:rPr>
        <w:t xml:space="preserve"> כפי שיש שרצו להוכיח מהם</w:t>
      </w:r>
      <w:r>
        <w:rPr>
          <w:rFonts w:hint="cs"/>
          <w:rtl/>
        </w:rPr>
        <w:t xml:space="preserve"> שכך יהיה לאחר תחיית המתים, שכן משה ואליהו </w:t>
      </w:r>
      <w:r w:rsidR="003D5DD8">
        <w:rPr>
          <w:rFonts w:hint="cs"/>
          <w:rtl/>
        </w:rPr>
        <w:t xml:space="preserve">ברוב מוחלט של חייהם </w:t>
      </w:r>
      <w:r>
        <w:rPr>
          <w:rFonts w:hint="cs"/>
          <w:rtl/>
        </w:rPr>
        <w:t xml:space="preserve">חיו בעולם הזה, והשתמשו בגוף שלהם למטרתו, </w:t>
      </w:r>
      <w:r w:rsidR="003D5DD8">
        <w:rPr>
          <w:rFonts w:hint="cs"/>
          <w:rtl/>
        </w:rPr>
        <w:t>כך שגופם לא נברא לבטלה. מה שאין כן לעתיד לבוא, שכל מטרת בריאת הגוף</w:t>
      </w:r>
      <w:r w:rsidR="00B411E3">
        <w:rPr>
          <w:rFonts w:hint="cs"/>
          <w:rtl/>
        </w:rPr>
        <w:t>,</w:t>
      </w:r>
      <w:r w:rsidR="003D5DD8">
        <w:rPr>
          <w:rFonts w:hint="cs"/>
          <w:rtl/>
        </w:rPr>
        <w:t xml:space="preserve"> תהיה לחינם. </w:t>
      </w:r>
      <w:r w:rsidR="00082E7A">
        <w:rPr>
          <w:rFonts w:hint="cs"/>
          <w:rtl/>
        </w:rPr>
        <w:t>ובלשונו:</w:t>
      </w:r>
    </w:p>
    <w:p w14:paraId="520C9B2C" w14:textId="73C49559" w:rsidR="00997712" w:rsidRDefault="00D84DD7" w:rsidP="00D84DD7">
      <w:pPr>
        <w:ind w:left="720"/>
        <w:rPr>
          <w:rtl/>
        </w:rPr>
      </w:pPr>
      <w:r w:rsidRPr="00D84DD7">
        <w:rPr>
          <w:rFonts w:cs="Arial"/>
          <w:rtl/>
        </w:rPr>
        <w:t>וכבר סתר מי שסתר דעתנו זה באמרו: הנה משה ואליהו עליהם השלום עמדו זמן בלא אכילה ושתיה והם גופות?! כן יהיו בני העולם הבא! לא עליכם כל עוברי דרך! הביטו וראו משה אליהו כליהם לא היו לבטלה, ששניהם היו אנשים מבני העולם הזה, אכלו ושתו בהם לפני המופת ואחריו, ואיך יקישו מזה למציאות הנמשך אשר אין תכלית לו</w:t>
      </w:r>
      <w:r>
        <w:rPr>
          <w:rFonts w:cs="Arial" w:hint="cs"/>
          <w:rtl/>
        </w:rPr>
        <w:t>?!''</w:t>
      </w:r>
      <w:r w:rsidR="00A90ED2">
        <w:rPr>
          <w:rFonts w:hint="cs"/>
          <w:rtl/>
        </w:rPr>
        <w:t xml:space="preserve"> </w:t>
      </w:r>
    </w:p>
    <w:p w14:paraId="249A7625" w14:textId="6A502181" w:rsidR="007D6BDF" w:rsidRDefault="007D6BDF" w:rsidP="00C21C4B">
      <w:pPr>
        <w:rPr>
          <w:rtl/>
        </w:rPr>
      </w:pPr>
      <w:r>
        <w:rPr>
          <w:rFonts w:hint="cs"/>
          <w:rtl/>
        </w:rPr>
        <w:t>ב.</w:t>
      </w:r>
      <w:r w:rsidR="00D84DD7">
        <w:rPr>
          <w:rFonts w:hint="cs"/>
          <w:rtl/>
        </w:rPr>
        <w:t xml:space="preserve"> </w:t>
      </w:r>
      <w:r w:rsidR="00D84DD7" w:rsidRPr="00804380">
        <w:rPr>
          <w:rFonts w:hint="cs"/>
          <w:b/>
          <w:bCs/>
          <w:rtl/>
        </w:rPr>
        <w:t>הרמב''ן</w:t>
      </w:r>
      <w:r w:rsidR="00344568">
        <w:rPr>
          <w:rFonts w:hint="cs"/>
          <w:b/>
          <w:bCs/>
          <w:rtl/>
        </w:rPr>
        <w:t xml:space="preserve"> </w:t>
      </w:r>
      <w:r w:rsidR="00344568" w:rsidRPr="00344568">
        <w:rPr>
          <w:rFonts w:hint="cs"/>
          <w:sz w:val="18"/>
          <w:szCs w:val="18"/>
          <w:rtl/>
        </w:rPr>
        <w:t>(</w:t>
      </w:r>
      <w:r w:rsidR="00344568">
        <w:rPr>
          <w:rFonts w:hint="cs"/>
          <w:sz w:val="18"/>
          <w:szCs w:val="18"/>
          <w:rtl/>
        </w:rPr>
        <w:t>שער הגמול</w:t>
      </w:r>
      <w:r w:rsidR="00344568" w:rsidRPr="00344568">
        <w:rPr>
          <w:rFonts w:hint="cs"/>
          <w:sz w:val="18"/>
          <w:szCs w:val="18"/>
          <w:rtl/>
        </w:rPr>
        <w:t>)</w:t>
      </w:r>
      <w:r w:rsidR="00D84DD7">
        <w:rPr>
          <w:rFonts w:hint="cs"/>
          <w:rtl/>
        </w:rPr>
        <w:t xml:space="preserve"> חלק וסבר,</w:t>
      </w:r>
      <w:r w:rsidR="00344568">
        <w:rPr>
          <w:rFonts w:hint="cs"/>
          <w:rtl/>
        </w:rPr>
        <w:t xml:space="preserve"> שלעתיד לבוא </w:t>
      </w:r>
      <w:r w:rsidR="00737BE3">
        <w:rPr>
          <w:rFonts w:hint="cs"/>
          <w:rtl/>
        </w:rPr>
        <w:t>אכן יחיה האדם בגוף מזוכך, שלא יצטרך לאכילה ולשתייה. בעוד שהרמב''ם פירש ש</w:t>
      </w:r>
      <w:r w:rsidR="00B411E3">
        <w:rPr>
          <w:rFonts w:hint="cs"/>
          <w:rtl/>
        </w:rPr>
        <w:t xml:space="preserve">אצל </w:t>
      </w:r>
      <w:r w:rsidR="00737BE3">
        <w:rPr>
          <w:rFonts w:hint="cs"/>
          <w:rtl/>
        </w:rPr>
        <w:t>משה ואליהו היה מצב חריג שלא ניתן ללמוד ממנו, להבנת הרמב''ן משה ואליהו מסמלים את האידיאל אליו יש לשאוף, מצב בו הגוף מזוכך ומתקיים מאור השכינה</w:t>
      </w:r>
      <w:r w:rsidR="008D3011">
        <w:rPr>
          <w:rFonts w:hint="cs"/>
          <w:rtl/>
        </w:rPr>
        <w:t xml:space="preserve"> - ולמעשה במצב זה היה אדם הראשון לפני שחטא.</w:t>
      </w:r>
    </w:p>
    <w:p w14:paraId="072BADCC" w14:textId="3C2679D1" w:rsidR="00230741" w:rsidRDefault="00663D3A" w:rsidP="00C21C4B">
      <w:pPr>
        <w:rPr>
          <w:rtl/>
        </w:rPr>
      </w:pPr>
      <w:r>
        <w:rPr>
          <w:rFonts w:hint="cs"/>
          <w:rtl/>
        </w:rPr>
        <w:t xml:space="preserve">על בסיס אותו עיקרון הוסיף </w:t>
      </w:r>
      <w:r w:rsidRPr="00663D3A">
        <w:rPr>
          <w:rtl/>
        </w:rPr>
        <w:t>הרמב''ן</w:t>
      </w:r>
      <w:r>
        <w:rPr>
          <w:rtl/>
        </w:rPr>
        <w:t xml:space="preserve"> </w:t>
      </w:r>
      <w:r>
        <w:rPr>
          <w:sz w:val="18"/>
          <w:szCs w:val="18"/>
          <w:rtl/>
        </w:rPr>
        <w:t>(ויקרא כו, יא)</w:t>
      </w:r>
      <w:r>
        <w:rPr>
          <w:rtl/>
        </w:rPr>
        <w:t xml:space="preserve">, </w:t>
      </w:r>
      <w:r>
        <w:rPr>
          <w:rFonts w:hint="cs"/>
          <w:rtl/>
        </w:rPr>
        <w:t>ש</w:t>
      </w:r>
      <w:r>
        <w:rPr>
          <w:rtl/>
        </w:rPr>
        <w:t>כאשר עם ישראל הלך בדרכי ה' בצורה מושלמת, המחלות היו תוצר של פגם רוחני. אדם שהתנהג בצורה לא תקינה, היה מקבל את עונשו באמצעות מחלות וכדומה</w:t>
      </w:r>
      <w:r w:rsidR="00284E6B">
        <w:rPr>
          <w:rFonts w:hint="cs"/>
          <w:rtl/>
        </w:rPr>
        <w:t xml:space="preserve">, </w:t>
      </w:r>
      <w:r w:rsidR="00B411E3">
        <w:rPr>
          <w:rFonts w:hint="cs"/>
          <w:rtl/>
        </w:rPr>
        <w:t>ו</w:t>
      </w:r>
      <w:r w:rsidR="00284E6B">
        <w:rPr>
          <w:rFonts w:hint="cs"/>
          <w:rtl/>
        </w:rPr>
        <w:t xml:space="preserve">למעשה המוות והמחלות של הגוף הן תוצר של החטא </w:t>
      </w:r>
      <w:r w:rsidR="00284E6B">
        <w:rPr>
          <w:rFonts w:hint="cs"/>
          <w:sz w:val="18"/>
          <w:szCs w:val="18"/>
          <w:rtl/>
        </w:rPr>
        <w:t>(</w:t>
      </w:r>
      <w:r w:rsidR="00C56701">
        <w:rPr>
          <w:rFonts w:hint="cs"/>
          <w:b/>
          <w:bCs/>
          <w:sz w:val="18"/>
          <w:szCs w:val="18"/>
          <w:rtl/>
        </w:rPr>
        <w:t>ו</w:t>
      </w:r>
      <w:r w:rsidR="00284E6B" w:rsidRPr="004F13B5">
        <w:rPr>
          <w:rFonts w:hint="cs"/>
          <w:b/>
          <w:bCs/>
          <w:sz w:val="18"/>
          <w:szCs w:val="18"/>
          <w:rtl/>
        </w:rPr>
        <w:t>הרמב''ם</w:t>
      </w:r>
      <w:r w:rsidR="00284E6B">
        <w:rPr>
          <w:rFonts w:hint="cs"/>
          <w:sz w:val="18"/>
          <w:szCs w:val="18"/>
          <w:rtl/>
        </w:rPr>
        <w:t xml:space="preserve"> בפירוש ל</w:t>
      </w:r>
      <w:r w:rsidR="0054232E">
        <w:rPr>
          <w:rFonts w:hint="cs"/>
          <w:sz w:val="18"/>
          <w:szCs w:val="18"/>
          <w:rtl/>
        </w:rPr>
        <w:t>משנה ב</w:t>
      </w:r>
      <w:r w:rsidR="00284E6B">
        <w:rPr>
          <w:rFonts w:hint="cs"/>
          <w:sz w:val="18"/>
          <w:szCs w:val="18"/>
          <w:rtl/>
        </w:rPr>
        <w:t xml:space="preserve">מסכת פסחים ד, י </w:t>
      </w:r>
      <w:r w:rsidR="002F0974">
        <w:rPr>
          <w:rFonts w:hint="cs"/>
          <w:sz w:val="18"/>
          <w:szCs w:val="18"/>
          <w:rtl/>
        </w:rPr>
        <w:t xml:space="preserve">חלק </w:t>
      </w:r>
      <w:r w:rsidR="00284E6B">
        <w:rPr>
          <w:rFonts w:hint="cs"/>
          <w:sz w:val="18"/>
          <w:szCs w:val="18"/>
          <w:rtl/>
        </w:rPr>
        <w:t>גם על עיקרון זה)</w:t>
      </w:r>
      <w:r w:rsidR="00284E6B">
        <w:rPr>
          <w:rFonts w:hint="cs"/>
          <w:rtl/>
        </w:rPr>
        <w:t xml:space="preserve">. </w:t>
      </w:r>
    </w:p>
    <w:p w14:paraId="2A820427" w14:textId="1892842E" w:rsidR="00230741" w:rsidRPr="00357D02" w:rsidRDefault="00230741" w:rsidP="00230741">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w:t>
      </w:r>
    </w:p>
    <w:sectPr w:rsidR="00230741" w:rsidRPr="00357D02" w:rsidSect="0082163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BC3D" w14:textId="77777777" w:rsidR="00330D9F" w:rsidRDefault="00330D9F" w:rsidP="00194DF4">
      <w:pPr>
        <w:spacing w:after="0" w:line="240" w:lineRule="auto"/>
      </w:pPr>
      <w:r>
        <w:separator/>
      </w:r>
    </w:p>
  </w:endnote>
  <w:endnote w:type="continuationSeparator" w:id="0">
    <w:p w14:paraId="31A6352B" w14:textId="77777777" w:rsidR="00330D9F" w:rsidRDefault="00330D9F" w:rsidP="00194DF4">
      <w:pPr>
        <w:spacing w:after="0" w:line="240" w:lineRule="auto"/>
      </w:pPr>
      <w:r>
        <w:continuationSeparator/>
      </w:r>
    </w:p>
  </w:endnote>
  <w:endnote w:type="continuationNotice" w:id="1">
    <w:p w14:paraId="08CC8916" w14:textId="77777777" w:rsidR="00330D9F" w:rsidRDefault="00330D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2D037" w14:textId="77777777" w:rsidR="00330D9F" w:rsidRDefault="00330D9F" w:rsidP="00194DF4">
      <w:pPr>
        <w:spacing w:after="0" w:line="240" w:lineRule="auto"/>
      </w:pPr>
      <w:r>
        <w:separator/>
      </w:r>
    </w:p>
  </w:footnote>
  <w:footnote w:type="continuationSeparator" w:id="0">
    <w:p w14:paraId="393B26AE" w14:textId="77777777" w:rsidR="00330D9F" w:rsidRDefault="00330D9F" w:rsidP="00194DF4">
      <w:pPr>
        <w:spacing w:after="0" w:line="240" w:lineRule="auto"/>
      </w:pPr>
      <w:r>
        <w:continuationSeparator/>
      </w:r>
    </w:p>
  </w:footnote>
  <w:footnote w:type="continuationNotice" w:id="1">
    <w:p w14:paraId="322DA6ED" w14:textId="77777777" w:rsidR="00330D9F" w:rsidRDefault="00330D9F">
      <w:pPr>
        <w:spacing w:after="0" w:line="240" w:lineRule="auto"/>
      </w:pPr>
    </w:p>
  </w:footnote>
  <w:footnote w:id="2">
    <w:p w14:paraId="451EADA0" w14:textId="5A7F219A" w:rsidR="00E72A20" w:rsidRDefault="00E72A20">
      <w:pPr>
        <w:pStyle w:val="a3"/>
        <w:rPr>
          <w:rtl/>
        </w:rPr>
      </w:pPr>
      <w:r>
        <w:rPr>
          <w:rStyle w:val="a5"/>
        </w:rPr>
        <w:footnoteRef/>
      </w:r>
      <w:r>
        <w:rPr>
          <w:rtl/>
        </w:rPr>
        <w:t xml:space="preserve"> </w:t>
      </w:r>
      <w:r w:rsidR="00E96188">
        <w:rPr>
          <w:rFonts w:hint="cs"/>
          <w:rtl/>
        </w:rPr>
        <w:t xml:space="preserve">כפי שמובא בציטוט, </w:t>
      </w:r>
      <w:r>
        <w:rPr>
          <w:rFonts w:hint="cs"/>
          <w:rtl/>
        </w:rPr>
        <w:t xml:space="preserve">ראש הישיבה מציין בנוסף </w:t>
      </w:r>
      <w:r w:rsidR="00C2594D">
        <w:rPr>
          <w:rFonts w:hint="cs"/>
          <w:rtl/>
        </w:rPr>
        <w:t xml:space="preserve">לכך, </w:t>
      </w:r>
      <w:r>
        <w:rPr>
          <w:rFonts w:hint="cs"/>
          <w:rtl/>
        </w:rPr>
        <w:t>שכל הגאונים הסכימו לפסק זה. על כך עונה הרמב''ם, שגם אם אכן כך</w:t>
      </w:r>
      <w:r w:rsidR="006E038D">
        <w:rPr>
          <w:rFonts w:hint="cs"/>
          <w:rtl/>
        </w:rPr>
        <w:t xml:space="preserve"> (דבר כשלעצמו הרמב''ם מפקפק בו)</w:t>
      </w:r>
      <w:r>
        <w:rPr>
          <w:rFonts w:hint="cs"/>
          <w:rtl/>
        </w:rPr>
        <w:t>, אין זו סיבה לפסוק כמותם, וכדי לאסור</w:t>
      </w:r>
      <w:r w:rsidR="006E038D">
        <w:rPr>
          <w:rFonts w:hint="cs"/>
          <w:rtl/>
        </w:rPr>
        <w:t xml:space="preserve"> דבר צריך ראייה. מה עוד, שכל החכמים במקומו כמו רבי יצחק אבן גיאות והר''י מיגאש מעולם לא פסקו לאסור דבר זה, </w:t>
      </w:r>
      <w:r w:rsidR="005131E1">
        <w:rPr>
          <w:rFonts w:hint="cs"/>
          <w:rtl/>
        </w:rPr>
        <w:t>והסיבה שהם אינם גרים בבבל אינה סיבה לבטל את דעתם.</w:t>
      </w:r>
    </w:p>
  </w:footnote>
  <w:footnote w:id="3">
    <w:p w14:paraId="159CDE18" w14:textId="5B155CEA" w:rsidR="00230741" w:rsidRPr="00230741" w:rsidRDefault="00230741">
      <w:pPr>
        <w:pStyle w:val="a3"/>
        <w:rPr>
          <w:rtl/>
        </w:rPr>
      </w:pPr>
      <w:r>
        <w:rPr>
          <w:rStyle w:val="a5"/>
        </w:rPr>
        <w:footnoteRef/>
      </w:r>
      <w:r>
        <w:rPr>
          <w:rtl/>
        </w:rPr>
        <w:t xml:space="preserve"> </w:t>
      </w:r>
      <w:r>
        <w:rPr>
          <w:rFonts w:hint="cs"/>
          <w:rtl/>
        </w:rPr>
        <w:t xml:space="preserve">למרות שהרמב''ם במורה נבוכים </w:t>
      </w:r>
      <w:r>
        <w:rPr>
          <w:rFonts w:hint="cs"/>
          <w:sz w:val="16"/>
          <w:szCs w:val="16"/>
          <w:rtl/>
        </w:rPr>
        <w:t xml:space="preserve">(ג, נא) </w:t>
      </w:r>
      <w:r>
        <w:rPr>
          <w:rFonts w:hint="cs"/>
          <w:rtl/>
        </w:rPr>
        <w:t>במשל הארמון כותב שכדי להידבק בה' בצורה המיטבית יש להבין את עיקרי האמונה, ולא רק לדקלמם, בכל זאת הוא רואה ערך גם באמונה ללא הבנה.</w:t>
      </w:r>
      <w:r w:rsidR="00832869">
        <w:rPr>
          <w:rFonts w:hint="cs"/>
          <w:rtl/>
        </w:rPr>
        <w:t xml:space="preserve"> בטעם הדבר </w:t>
      </w:r>
      <w:r w:rsidR="00C2594D">
        <w:rPr>
          <w:rFonts w:hint="cs"/>
          <w:rtl/>
        </w:rPr>
        <w:t>ש</w:t>
      </w:r>
      <w:r w:rsidR="00832869">
        <w:rPr>
          <w:rFonts w:hint="cs"/>
          <w:rtl/>
        </w:rPr>
        <w:t>במשנה תורה לא הרחיב לבאר את הנימוקים</w:t>
      </w:r>
      <w:r w:rsidR="00C2594D">
        <w:rPr>
          <w:rFonts w:hint="cs"/>
          <w:rtl/>
        </w:rPr>
        <w:t>,</w:t>
      </w:r>
      <w:r w:rsidR="00832869">
        <w:rPr>
          <w:rFonts w:hint="cs"/>
          <w:rtl/>
        </w:rPr>
        <w:t xml:space="preserve"> </w:t>
      </w:r>
      <w:r w:rsidR="00484A96">
        <w:rPr>
          <w:rFonts w:hint="cs"/>
          <w:rtl/>
        </w:rPr>
        <w:t>נימק שלהבנת עניינים אלו דרוש</w:t>
      </w:r>
      <w:r w:rsidR="00C2594D">
        <w:rPr>
          <w:rFonts w:hint="cs"/>
          <w:rtl/>
        </w:rPr>
        <w:t>ות</w:t>
      </w:r>
      <w:r w:rsidR="00484A96">
        <w:rPr>
          <w:rFonts w:hint="cs"/>
          <w:rtl/>
        </w:rPr>
        <w:t xml:space="preserve"> </w:t>
      </w:r>
      <w:r w:rsidR="00BB25E8">
        <w:rPr>
          <w:rFonts w:hint="cs"/>
          <w:rtl/>
        </w:rPr>
        <w:t>מיומנויו</w:t>
      </w:r>
      <w:r w:rsidR="00BB25E8">
        <w:rPr>
          <w:rFonts w:hint="eastAsia"/>
          <w:rtl/>
        </w:rPr>
        <w:t>ת</w:t>
      </w:r>
      <w:r w:rsidR="00484A96">
        <w:rPr>
          <w:rFonts w:hint="cs"/>
          <w:rtl/>
        </w:rPr>
        <w:t xml:space="preserve"> רבות, 'שהתלמודיים' אינם בקיאים בה</w:t>
      </w:r>
      <w:r w:rsidR="00C2594D">
        <w:rPr>
          <w:rFonts w:hint="cs"/>
          <w:rtl/>
        </w:rPr>
        <w:t>ן</w:t>
      </w:r>
      <w:r w:rsidR="00134A4F">
        <w:rPr>
          <w:rFonts w:hint="cs"/>
          <w:rtl/>
        </w:rPr>
        <w:t xml:space="preserve"> </w:t>
      </w:r>
      <w:r w:rsidR="00134A4F">
        <w:rPr>
          <w:rFonts w:hint="cs"/>
          <w:sz w:val="16"/>
          <w:szCs w:val="16"/>
          <w:rtl/>
        </w:rPr>
        <w:t>(ועיין עוד בהקדמה למורה נבוכים)</w:t>
      </w:r>
      <w:r w:rsidR="00484A96">
        <w:rPr>
          <w:rFonts w:hint="cs"/>
          <w:rtl/>
        </w:rPr>
        <w:t>.</w:t>
      </w:r>
    </w:p>
  </w:footnote>
  <w:footnote w:id="4">
    <w:p w14:paraId="58E617FF" w14:textId="77777777" w:rsidR="00230741" w:rsidRDefault="00230741" w:rsidP="00230741">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CD"/>
    <w:rsid w:val="000103F7"/>
    <w:rsid w:val="0001194A"/>
    <w:rsid w:val="00060DB0"/>
    <w:rsid w:val="000740E1"/>
    <w:rsid w:val="00082E7A"/>
    <w:rsid w:val="000839F6"/>
    <w:rsid w:val="000A79BE"/>
    <w:rsid w:val="000B0DE7"/>
    <w:rsid w:val="000B65B3"/>
    <w:rsid w:val="000B6CEF"/>
    <w:rsid w:val="000C426A"/>
    <w:rsid w:val="000C4CC9"/>
    <w:rsid w:val="000F300D"/>
    <w:rsid w:val="001058A9"/>
    <w:rsid w:val="00112B80"/>
    <w:rsid w:val="00115C9A"/>
    <w:rsid w:val="00120354"/>
    <w:rsid w:val="0012790E"/>
    <w:rsid w:val="00134A4F"/>
    <w:rsid w:val="001464B7"/>
    <w:rsid w:val="001566E6"/>
    <w:rsid w:val="001576EF"/>
    <w:rsid w:val="00194DF4"/>
    <w:rsid w:val="00197300"/>
    <w:rsid w:val="001975AA"/>
    <w:rsid w:val="001A026E"/>
    <w:rsid w:val="001A0926"/>
    <w:rsid w:val="001B4B92"/>
    <w:rsid w:val="001B572C"/>
    <w:rsid w:val="001B640A"/>
    <w:rsid w:val="001B7FCF"/>
    <w:rsid w:val="001D70E9"/>
    <w:rsid w:val="00230741"/>
    <w:rsid w:val="0024591F"/>
    <w:rsid w:val="00247849"/>
    <w:rsid w:val="00283A63"/>
    <w:rsid w:val="00284E6B"/>
    <w:rsid w:val="002A6701"/>
    <w:rsid w:val="002A72F1"/>
    <w:rsid w:val="002B5095"/>
    <w:rsid w:val="002D4124"/>
    <w:rsid w:val="002D4539"/>
    <w:rsid w:val="002E1849"/>
    <w:rsid w:val="002F0974"/>
    <w:rsid w:val="002F2DE4"/>
    <w:rsid w:val="002F6C70"/>
    <w:rsid w:val="00303304"/>
    <w:rsid w:val="003130E9"/>
    <w:rsid w:val="00314E14"/>
    <w:rsid w:val="00324ADF"/>
    <w:rsid w:val="003260E7"/>
    <w:rsid w:val="00330D9F"/>
    <w:rsid w:val="00344568"/>
    <w:rsid w:val="0035650F"/>
    <w:rsid w:val="00366EC9"/>
    <w:rsid w:val="003B0CFB"/>
    <w:rsid w:val="003C75D0"/>
    <w:rsid w:val="003D3F23"/>
    <w:rsid w:val="003D5AB5"/>
    <w:rsid w:val="003D5DD8"/>
    <w:rsid w:val="0040772F"/>
    <w:rsid w:val="0044263D"/>
    <w:rsid w:val="004442A8"/>
    <w:rsid w:val="0048237F"/>
    <w:rsid w:val="00483A1D"/>
    <w:rsid w:val="00484A96"/>
    <w:rsid w:val="00487A3E"/>
    <w:rsid w:val="004A4926"/>
    <w:rsid w:val="004D6899"/>
    <w:rsid w:val="004F13B5"/>
    <w:rsid w:val="0050743D"/>
    <w:rsid w:val="00507C8B"/>
    <w:rsid w:val="005131E1"/>
    <w:rsid w:val="00522A6C"/>
    <w:rsid w:val="0053176B"/>
    <w:rsid w:val="00541818"/>
    <w:rsid w:val="0054232E"/>
    <w:rsid w:val="00545B00"/>
    <w:rsid w:val="00567328"/>
    <w:rsid w:val="00567DAE"/>
    <w:rsid w:val="005A6A64"/>
    <w:rsid w:val="005B1D07"/>
    <w:rsid w:val="005B2984"/>
    <w:rsid w:val="00617B0D"/>
    <w:rsid w:val="006257D3"/>
    <w:rsid w:val="006507E4"/>
    <w:rsid w:val="00652FE2"/>
    <w:rsid w:val="00657038"/>
    <w:rsid w:val="00660167"/>
    <w:rsid w:val="00663D3A"/>
    <w:rsid w:val="00674A55"/>
    <w:rsid w:val="0068087C"/>
    <w:rsid w:val="00693646"/>
    <w:rsid w:val="006948A3"/>
    <w:rsid w:val="00695D7E"/>
    <w:rsid w:val="00697F0E"/>
    <w:rsid w:val="006C4D03"/>
    <w:rsid w:val="006E038D"/>
    <w:rsid w:val="0070226D"/>
    <w:rsid w:val="0071394D"/>
    <w:rsid w:val="00724E88"/>
    <w:rsid w:val="00730862"/>
    <w:rsid w:val="00735D2E"/>
    <w:rsid w:val="00737BE3"/>
    <w:rsid w:val="00763786"/>
    <w:rsid w:val="00780E3D"/>
    <w:rsid w:val="007C41CD"/>
    <w:rsid w:val="007D6BDF"/>
    <w:rsid w:val="00804380"/>
    <w:rsid w:val="00821635"/>
    <w:rsid w:val="00821B70"/>
    <w:rsid w:val="00832869"/>
    <w:rsid w:val="00843FF4"/>
    <w:rsid w:val="0086707F"/>
    <w:rsid w:val="00867F13"/>
    <w:rsid w:val="00884BF3"/>
    <w:rsid w:val="00896FA0"/>
    <w:rsid w:val="008A1139"/>
    <w:rsid w:val="008A6537"/>
    <w:rsid w:val="008A7DB8"/>
    <w:rsid w:val="008B4D41"/>
    <w:rsid w:val="008D0B2E"/>
    <w:rsid w:val="008D3011"/>
    <w:rsid w:val="008E543F"/>
    <w:rsid w:val="00901AF3"/>
    <w:rsid w:val="009126BF"/>
    <w:rsid w:val="0092748A"/>
    <w:rsid w:val="00930D69"/>
    <w:rsid w:val="00940C87"/>
    <w:rsid w:val="00943910"/>
    <w:rsid w:val="009558CC"/>
    <w:rsid w:val="009566AF"/>
    <w:rsid w:val="009641FF"/>
    <w:rsid w:val="0097125E"/>
    <w:rsid w:val="0098351A"/>
    <w:rsid w:val="00986882"/>
    <w:rsid w:val="00997712"/>
    <w:rsid w:val="009B1F73"/>
    <w:rsid w:val="009F0F8A"/>
    <w:rsid w:val="009F7460"/>
    <w:rsid w:val="00A11C9A"/>
    <w:rsid w:val="00A22C82"/>
    <w:rsid w:val="00A258B7"/>
    <w:rsid w:val="00A43559"/>
    <w:rsid w:val="00A51D59"/>
    <w:rsid w:val="00A5613B"/>
    <w:rsid w:val="00A771E0"/>
    <w:rsid w:val="00A77516"/>
    <w:rsid w:val="00A81C7E"/>
    <w:rsid w:val="00A822F2"/>
    <w:rsid w:val="00A90ED2"/>
    <w:rsid w:val="00A92C2B"/>
    <w:rsid w:val="00AB79C6"/>
    <w:rsid w:val="00AC48E9"/>
    <w:rsid w:val="00AC5F8A"/>
    <w:rsid w:val="00B06070"/>
    <w:rsid w:val="00B33DF9"/>
    <w:rsid w:val="00B36DE2"/>
    <w:rsid w:val="00B411E3"/>
    <w:rsid w:val="00B529F0"/>
    <w:rsid w:val="00B623FC"/>
    <w:rsid w:val="00B62DD8"/>
    <w:rsid w:val="00B6314F"/>
    <w:rsid w:val="00B7045F"/>
    <w:rsid w:val="00B7742D"/>
    <w:rsid w:val="00B80C0C"/>
    <w:rsid w:val="00B81BB8"/>
    <w:rsid w:val="00B85A42"/>
    <w:rsid w:val="00BB25E8"/>
    <w:rsid w:val="00BB5760"/>
    <w:rsid w:val="00BB5A0B"/>
    <w:rsid w:val="00BB667C"/>
    <w:rsid w:val="00BB7BA8"/>
    <w:rsid w:val="00BF15F1"/>
    <w:rsid w:val="00BF3832"/>
    <w:rsid w:val="00BF769A"/>
    <w:rsid w:val="00C06BE4"/>
    <w:rsid w:val="00C104CD"/>
    <w:rsid w:val="00C163AC"/>
    <w:rsid w:val="00C21C4B"/>
    <w:rsid w:val="00C2594D"/>
    <w:rsid w:val="00C44DEE"/>
    <w:rsid w:val="00C56701"/>
    <w:rsid w:val="00C65DC4"/>
    <w:rsid w:val="00C65E97"/>
    <w:rsid w:val="00C709AC"/>
    <w:rsid w:val="00C72E40"/>
    <w:rsid w:val="00C85DAC"/>
    <w:rsid w:val="00CC1D97"/>
    <w:rsid w:val="00CD7124"/>
    <w:rsid w:val="00CF4379"/>
    <w:rsid w:val="00CF70AB"/>
    <w:rsid w:val="00CF7E3B"/>
    <w:rsid w:val="00D00ADC"/>
    <w:rsid w:val="00D02A25"/>
    <w:rsid w:val="00D24226"/>
    <w:rsid w:val="00D3207C"/>
    <w:rsid w:val="00D32A04"/>
    <w:rsid w:val="00D47E9E"/>
    <w:rsid w:val="00D54774"/>
    <w:rsid w:val="00D765B1"/>
    <w:rsid w:val="00D76841"/>
    <w:rsid w:val="00D800C3"/>
    <w:rsid w:val="00D84DD7"/>
    <w:rsid w:val="00D93CBE"/>
    <w:rsid w:val="00DE3224"/>
    <w:rsid w:val="00DF3A75"/>
    <w:rsid w:val="00E00193"/>
    <w:rsid w:val="00E20EAE"/>
    <w:rsid w:val="00E21D29"/>
    <w:rsid w:val="00E263F4"/>
    <w:rsid w:val="00E427A5"/>
    <w:rsid w:val="00E46EAB"/>
    <w:rsid w:val="00E574BF"/>
    <w:rsid w:val="00E71677"/>
    <w:rsid w:val="00E72A20"/>
    <w:rsid w:val="00E835DA"/>
    <w:rsid w:val="00E851FE"/>
    <w:rsid w:val="00E85C5A"/>
    <w:rsid w:val="00E87FA7"/>
    <w:rsid w:val="00E96188"/>
    <w:rsid w:val="00EA2297"/>
    <w:rsid w:val="00EA73DC"/>
    <w:rsid w:val="00ED5B19"/>
    <w:rsid w:val="00F22D98"/>
    <w:rsid w:val="00F66ABA"/>
    <w:rsid w:val="00F946C3"/>
    <w:rsid w:val="00FA1296"/>
    <w:rsid w:val="00FA524D"/>
    <w:rsid w:val="00FB0390"/>
    <w:rsid w:val="00FB628E"/>
    <w:rsid w:val="00FC1ECA"/>
    <w:rsid w:val="00FD19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7399"/>
  <w15:chartTrackingRefBased/>
  <w15:docId w15:val="{8D842977-A9D4-408B-A208-3B178278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94DF4"/>
    <w:pPr>
      <w:spacing w:after="0" w:line="240" w:lineRule="auto"/>
    </w:pPr>
    <w:rPr>
      <w:sz w:val="20"/>
      <w:szCs w:val="20"/>
    </w:rPr>
  </w:style>
  <w:style w:type="character" w:customStyle="1" w:styleId="a4">
    <w:name w:val="טקסט הערת שוליים תו"/>
    <w:basedOn w:val="a0"/>
    <w:link w:val="a3"/>
    <w:uiPriority w:val="99"/>
    <w:rsid w:val="00194DF4"/>
    <w:rPr>
      <w:sz w:val="20"/>
      <w:szCs w:val="20"/>
    </w:rPr>
  </w:style>
  <w:style w:type="character" w:styleId="a5">
    <w:name w:val="footnote reference"/>
    <w:basedOn w:val="a0"/>
    <w:uiPriority w:val="99"/>
    <w:semiHidden/>
    <w:unhideWhenUsed/>
    <w:rsid w:val="00194DF4"/>
    <w:rPr>
      <w:vertAlign w:val="superscript"/>
    </w:rPr>
  </w:style>
  <w:style w:type="character" w:styleId="Hyperlink">
    <w:name w:val="Hyperlink"/>
    <w:basedOn w:val="a0"/>
    <w:uiPriority w:val="99"/>
    <w:unhideWhenUsed/>
    <w:rsid w:val="00230741"/>
    <w:rPr>
      <w:color w:val="0000FF"/>
      <w:u w:val="single"/>
    </w:rPr>
  </w:style>
  <w:style w:type="paragraph" w:styleId="a6">
    <w:name w:val="header"/>
    <w:basedOn w:val="a"/>
    <w:link w:val="a7"/>
    <w:uiPriority w:val="99"/>
    <w:unhideWhenUsed/>
    <w:rsid w:val="00BB5760"/>
    <w:pPr>
      <w:tabs>
        <w:tab w:val="center" w:pos="4153"/>
        <w:tab w:val="right" w:pos="8306"/>
      </w:tabs>
      <w:spacing w:after="0" w:line="240" w:lineRule="auto"/>
    </w:pPr>
  </w:style>
  <w:style w:type="character" w:customStyle="1" w:styleId="a7">
    <w:name w:val="כותרת עליונה תו"/>
    <w:basedOn w:val="a0"/>
    <w:link w:val="a6"/>
    <w:uiPriority w:val="99"/>
    <w:rsid w:val="00BB5760"/>
  </w:style>
  <w:style w:type="paragraph" w:styleId="a8">
    <w:name w:val="footer"/>
    <w:basedOn w:val="a"/>
    <w:link w:val="a9"/>
    <w:uiPriority w:val="99"/>
    <w:unhideWhenUsed/>
    <w:rsid w:val="00BB5760"/>
    <w:pPr>
      <w:tabs>
        <w:tab w:val="center" w:pos="4153"/>
        <w:tab w:val="right" w:pos="8306"/>
      </w:tabs>
      <w:spacing w:after="0" w:line="240" w:lineRule="auto"/>
    </w:pPr>
  </w:style>
  <w:style w:type="character" w:customStyle="1" w:styleId="a9">
    <w:name w:val="כותרת תחתונה תו"/>
    <w:basedOn w:val="a0"/>
    <w:link w:val="a8"/>
    <w:uiPriority w:val="99"/>
    <w:rsid w:val="00BB5760"/>
  </w:style>
  <w:style w:type="paragraph" w:styleId="aa">
    <w:name w:val="Revision"/>
    <w:hidden/>
    <w:uiPriority w:val="99"/>
    <w:semiHidden/>
    <w:rsid w:val="00BB576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2</Pages>
  <Words>1492</Words>
  <Characters>7462</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15</cp:revision>
  <dcterms:created xsi:type="dcterms:W3CDTF">2023-03-07T17:36:00Z</dcterms:created>
  <dcterms:modified xsi:type="dcterms:W3CDTF">2023-03-08T06:18:00Z</dcterms:modified>
</cp:coreProperties>
</file>