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B64EE2" w14:textId="4F81D964" w:rsidR="0050743D" w:rsidRDefault="00A36537" w:rsidP="0005479A">
      <w:pPr>
        <w:spacing w:after="80"/>
        <w:rPr>
          <w:b/>
          <w:bCs/>
          <w:sz w:val="36"/>
          <w:szCs w:val="36"/>
          <w:rtl/>
        </w:rPr>
      </w:pPr>
      <w:r>
        <w:rPr>
          <w:rFonts w:hint="cs"/>
          <w:rtl/>
        </w:rPr>
        <w:t>בס''ד</w:t>
      </w:r>
      <w:r>
        <w:rPr>
          <w:rtl/>
        </w:rPr>
        <w:tab/>
      </w:r>
      <w:r>
        <w:rPr>
          <w:rFonts w:hint="cs"/>
          <w:rtl/>
        </w:rPr>
        <w:t xml:space="preserve">  </w:t>
      </w:r>
      <w:r w:rsidR="00853A69">
        <w:rPr>
          <w:rFonts w:hint="cs"/>
          <w:rtl/>
        </w:rPr>
        <w:t xml:space="preserve">   </w:t>
      </w:r>
      <w:r w:rsidR="007C5084">
        <w:rPr>
          <w:rFonts w:hint="cs"/>
          <w:rtl/>
        </w:rPr>
        <w:t xml:space="preserve"> </w:t>
      </w:r>
      <w:r w:rsidR="00853A69">
        <w:rPr>
          <w:rFonts w:hint="cs"/>
          <w:rtl/>
        </w:rPr>
        <w:t xml:space="preserve"> </w:t>
      </w:r>
      <w:r>
        <w:rPr>
          <w:rFonts w:hint="cs"/>
          <w:b/>
          <w:bCs/>
          <w:sz w:val="36"/>
          <w:szCs w:val="36"/>
          <w:rtl/>
        </w:rPr>
        <w:t xml:space="preserve"> </w:t>
      </w:r>
      <w:r w:rsidRPr="00A36537">
        <w:rPr>
          <w:rFonts w:hint="cs"/>
          <w:b/>
          <w:bCs/>
          <w:sz w:val="36"/>
          <w:szCs w:val="36"/>
          <w:rtl/>
        </w:rPr>
        <w:t>פרשת משפטים:</w:t>
      </w:r>
      <w:r w:rsidRPr="00A36537">
        <w:rPr>
          <w:rFonts w:hint="cs"/>
          <w:b/>
          <w:bCs/>
          <w:sz w:val="36"/>
          <w:szCs w:val="36"/>
        </w:rPr>
        <w:t xml:space="preserve"> </w:t>
      </w:r>
      <w:r w:rsidR="00853A69">
        <w:rPr>
          <w:rFonts w:hint="cs"/>
          <w:b/>
          <w:bCs/>
          <w:sz w:val="36"/>
          <w:szCs w:val="36"/>
          <w:rtl/>
        </w:rPr>
        <w:t>ההבדל בין חוקי התורה ל</w:t>
      </w:r>
      <w:r w:rsidR="00554337">
        <w:rPr>
          <w:rFonts w:hint="cs"/>
          <w:b/>
          <w:bCs/>
          <w:sz w:val="36"/>
          <w:szCs w:val="36"/>
          <w:rtl/>
        </w:rPr>
        <w:t xml:space="preserve">בין </w:t>
      </w:r>
      <w:r w:rsidR="00853A69">
        <w:rPr>
          <w:rFonts w:hint="cs"/>
          <w:b/>
          <w:bCs/>
          <w:sz w:val="36"/>
          <w:szCs w:val="36"/>
          <w:rtl/>
        </w:rPr>
        <w:t>חוקי חמורבי</w:t>
      </w:r>
    </w:p>
    <w:p w14:paraId="214A21EB" w14:textId="78117E3E" w:rsidR="00A36537" w:rsidRDefault="00A36537" w:rsidP="0005479A">
      <w:pPr>
        <w:spacing w:after="80"/>
        <w:rPr>
          <w:b/>
          <w:bCs/>
          <w:u w:val="single"/>
          <w:rtl/>
        </w:rPr>
      </w:pPr>
      <w:r w:rsidRPr="00A36537">
        <w:rPr>
          <w:rFonts w:hint="cs"/>
          <w:b/>
          <w:bCs/>
          <w:u w:val="single"/>
          <w:rtl/>
        </w:rPr>
        <w:t>פתיחה</w:t>
      </w:r>
    </w:p>
    <w:p w14:paraId="5224F5AD" w14:textId="7A524D8D" w:rsidR="00B0217D" w:rsidRDefault="00B0217D" w:rsidP="0005479A">
      <w:pPr>
        <w:spacing w:after="80"/>
        <w:rPr>
          <w:rtl/>
        </w:rPr>
      </w:pPr>
      <w:r>
        <w:rPr>
          <w:rFonts w:hint="cs"/>
          <w:rtl/>
        </w:rPr>
        <w:t xml:space="preserve">בפרשת השבוע </w:t>
      </w:r>
      <w:r w:rsidR="0088718F">
        <w:rPr>
          <w:rFonts w:hint="cs"/>
          <w:rtl/>
        </w:rPr>
        <w:t xml:space="preserve">עוסקת התורה במשפטים שניתנו לעם ישראל, ולאחר מכן מבשרת שהקב''ה ישלח מלאך לשמור את עם ישראל בדרך, ויביא </w:t>
      </w:r>
      <w:r w:rsidR="00554337">
        <w:rPr>
          <w:rFonts w:hint="cs"/>
          <w:rtl/>
        </w:rPr>
        <w:t>אותו</w:t>
      </w:r>
      <w:r w:rsidR="0088718F">
        <w:rPr>
          <w:rFonts w:hint="cs"/>
          <w:rtl/>
        </w:rPr>
        <w:t xml:space="preserve"> אל המקום אשר הבטיח.</w:t>
      </w:r>
      <w:r w:rsidR="00382832">
        <w:rPr>
          <w:rFonts w:hint="cs"/>
          <w:rtl/>
        </w:rPr>
        <w:t xml:space="preserve"> מיהו אותו מלאך? </w:t>
      </w:r>
      <w:r w:rsidR="00382832" w:rsidRPr="00382832">
        <w:rPr>
          <w:rFonts w:hint="cs"/>
          <w:b/>
          <w:bCs/>
          <w:rtl/>
        </w:rPr>
        <w:t>הבכור שור</w:t>
      </w:r>
      <w:r w:rsidR="00382832">
        <w:rPr>
          <w:rFonts w:hint="cs"/>
          <w:rtl/>
        </w:rPr>
        <w:t xml:space="preserve"> </w:t>
      </w:r>
      <w:r w:rsidR="00382832">
        <w:rPr>
          <w:rFonts w:hint="cs"/>
          <w:sz w:val="18"/>
          <w:szCs w:val="18"/>
          <w:rtl/>
        </w:rPr>
        <w:t>(כג, ג)</w:t>
      </w:r>
      <w:r w:rsidR="00382832">
        <w:rPr>
          <w:rFonts w:hint="cs"/>
          <w:rtl/>
        </w:rPr>
        <w:t xml:space="preserve"> פירש, שהכוונה לנביא שיוביל את עם ישראל בהמשך, בדומה לדברי הרמב''ם בפירושו למעשה סולם יעקב</w:t>
      </w:r>
      <w:r w:rsidR="00522F30">
        <w:rPr>
          <w:rFonts w:hint="cs"/>
          <w:rtl/>
        </w:rPr>
        <w:t xml:space="preserve"> וכפי שראינו בעבר</w:t>
      </w:r>
      <w:r w:rsidR="00382832">
        <w:rPr>
          <w:rFonts w:hint="cs"/>
          <w:rtl/>
        </w:rPr>
        <w:t xml:space="preserve"> </w:t>
      </w:r>
      <w:r w:rsidR="00382832">
        <w:rPr>
          <w:rFonts w:hint="cs"/>
          <w:sz w:val="18"/>
          <w:szCs w:val="18"/>
          <w:rtl/>
        </w:rPr>
        <w:t>(פרשת ויצא שנה ג')</w:t>
      </w:r>
      <w:r w:rsidR="00382832">
        <w:rPr>
          <w:rFonts w:hint="cs"/>
          <w:rtl/>
        </w:rPr>
        <w:t>.</w:t>
      </w:r>
    </w:p>
    <w:p w14:paraId="2C3FD999" w14:textId="1B821023" w:rsidR="00382832" w:rsidRDefault="00382832" w:rsidP="0005479A">
      <w:pPr>
        <w:spacing w:after="80"/>
        <w:rPr>
          <w:rtl/>
        </w:rPr>
      </w:pPr>
      <w:r w:rsidRPr="00382832">
        <w:rPr>
          <w:rFonts w:hint="cs"/>
          <w:b/>
          <w:bCs/>
          <w:rtl/>
        </w:rPr>
        <w:t xml:space="preserve">רש''י </w:t>
      </w:r>
      <w:r w:rsidRPr="00382832">
        <w:rPr>
          <w:rFonts w:hint="cs"/>
          <w:sz w:val="18"/>
          <w:szCs w:val="18"/>
          <w:rtl/>
        </w:rPr>
        <w:t>(ד''ה הנה)</w:t>
      </w:r>
      <w:r>
        <w:rPr>
          <w:rFonts w:hint="cs"/>
          <w:sz w:val="18"/>
          <w:szCs w:val="18"/>
          <w:rtl/>
        </w:rPr>
        <w:t xml:space="preserve"> </w:t>
      </w:r>
      <w:r>
        <w:rPr>
          <w:rFonts w:hint="cs"/>
          <w:rtl/>
        </w:rPr>
        <w:t xml:space="preserve">לעומת זאת פירש, שבפסוק זה רמז הקב''ה שעם ישראל עתיד לחטוא בחטא העגל, ובמקום שהקב''ה </w:t>
      </w:r>
      <w:r w:rsidR="00554337">
        <w:rPr>
          <w:rFonts w:hint="cs"/>
          <w:rtl/>
        </w:rPr>
        <w:t xml:space="preserve">בכבודו </w:t>
      </w:r>
      <w:r>
        <w:rPr>
          <w:rFonts w:hint="cs"/>
          <w:rtl/>
        </w:rPr>
        <w:t>יוביל אות</w:t>
      </w:r>
      <w:r w:rsidR="00554337">
        <w:rPr>
          <w:rFonts w:hint="cs"/>
          <w:rtl/>
        </w:rPr>
        <w:t>ו</w:t>
      </w:r>
      <w:r w:rsidR="00AC7FAC">
        <w:rPr>
          <w:rFonts w:hint="cs"/>
          <w:rtl/>
        </w:rPr>
        <w:t>,</w:t>
      </w:r>
      <w:r>
        <w:rPr>
          <w:rFonts w:hint="cs"/>
          <w:rtl/>
        </w:rPr>
        <w:t xml:space="preserve"> יוביל אות</w:t>
      </w:r>
      <w:r w:rsidR="00554337">
        <w:rPr>
          <w:rFonts w:hint="cs"/>
          <w:rtl/>
        </w:rPr>
        <w:t>ו</w:t>
      </w:r>
      <w:r>
        <w:rPr>
          <w:rFonts w:hint="cs"/>
          <w:rtl/>
        </w:rPr>
        <w:t xml:space="preserve"> מלאך. כפי שהעיר </w:t>
      </w:r>
      <w:r w:rsidRPr="00382832">
        <w:rPr>
          <w:rFonts w:hint="cs"/>
          <w:b/>
          <w:bCs/>
          <w:rtl/>
        </w:rPr>
        <w:t>השפתי חכמים</w:t>
      </w:r>
      <w:r>
        <w:rPr>
          <w:rFonts w:hint="cs"/>
          <w:rtl/>
        </w:rPr>
        <w:t xml:space="preserve"> </w:t>
      </w:r>
      <w:r>
        <w:rPr>
          <w:rFonts w:hint="cs"/>
          <w:sz w:val="18"/>
          <w:szCs w:val="18"/>
          <w:rtl/>
        </w:rPr>
        <w:t>(שם, ע)</w:t>
      </w:r>
      <w:r>
        <w:rPr>
          <w:rFonts w:hint="cs"/>
          <w:rtl/>
        </w:rPr>
        <w:t>, על אף שבסופו של דבר ביקש משה רחמים על עם ישראל והציל אות</w:t>
      </w:r>
      <w:r w:rsidR="00554337">
        <w:rPr>
          <w:rFonts w:hint="cs"/>
          <w:rtl/>
        </w:rPr>
        <w:t xml:space="preserve">ו </w:t>
      </w:r>
      <w:r>
        <w:rPr>
          <w:rFonts w:hint="cs"/>
          <w:rtl/>
        </w:rPr>
        <w:t>מגזירה זו, מכל מקום היא התקיימה</w:t>
      </w:r>
      <w:r w:rsidR="00554337">
        <w:rPr>
          <w:rFonts w:hint="cs"/>
          <w:rtl/>
        </w:rPr>
        <w:t xml:space="preserve"> אצל יהושע</w:t>
      </w:r>
      <w:r>
        <w:rPr>
          <w:rFonts w:hint="cs"/>
          <w:rtl/>
        </w:rPr>
        <w:t>, ובלשונם:</w:t>
      </w:r>
    </w:p>
    <w:p w14:paraId="267FF4CF" w14:textId="0FC8D41C" w:rsidR="00382832" w:rsidRDefault="00382832" w:rsidP="0005479A">
      <w:pPr>
        <w:spacing w:after="80"/>
        <w:ind w:left="720"/>
        <w:rPr>
          <w:b/>
          <w:bCs/>
          <w:rtl/>
        </w:rPr>
      </w:pPr>
      <w:r>
        <w:rPr>
          <w:rFonts w:cs="Arial" w:hint="cs"/>
          <w:rtl/>
        </w:rPr>
        <w:t>''</w:t>
      </w:r>
      <w:r w:rsidRPr="00382832">
        <w:rPr>
          <w:rFonts w:cs="Arial"/>
          <w:rtl/>
        </w:rPr>
        <w:t xml:space="preserve">הנה אנכי שולח מלאך - כאן נתבשרו </w:t>
      </w:r>
      <w:proofErr w:type="spellStart"/>
      <w:r w:rsidRPr="00382832">
        <w:rPr>
          <w:rFonts w:cs="Arial"/>
          <w:rtl/>
        </w:rPr>
        <w:t>שעתידין</w:t>
      </w:r>
      <w:proofErr w:type="spellEnd"/>
      <w:r w:rsidRPr="00382832">
        <w:rPr>
          <w:rFonts w:cs="Arial"/>
          <w:rtl/>
        </w:rPr>
        <w:t xml:space="preserve"> לחטוא, ושכינה אומרת להם </w:t>
      </w:r>
      <w:r w:rsidRPr="00382832">
        <w:rPr>
          <w:rFonts w:cs="Arial"/>
          <w:sz w:val="18"/>
          <w:szCs w:val="18"/>
          <w:rtl/>
        </w:rPr>
        <w:t xml:space="preserve">(שמות לג ג) </w:t>
      </w:r>
      <w:r w:rsidRPr="00382832">
        <w:rPr>
          <w:rFonts w:cs="Arial"/>
          <w:rtl/>
        </w:rPr>
        <w:t>כי לא אעלה בקרבך:</w:t>
      </w:r>
      <w:r>
        <w:rPr>
          <w:rFonts w:cs="Arial" w:hint="cs"/>
          <w:rtl/>
        </w:rPr>
        <w:t xml:space="preserve"> </w:t>
      </w:r>
      <w:r w:rsidRPr="00382832">
        <w:rPr>
          <w:rFonts w:cs="Arial"/>
          <w:rtl/>
        </w:rPr>
        <w:t>ואף על פי שמשה רבינו ע</w:t>
      </w:r>
      <w:r>
        <w:rPr>
          <w:rFonts w:cs="Arial" w:hint="cs"/>
          <w:rtl/>
        </w:rPr>
        <w:t xml:space="preserve">ליו השלום </w:t>
      </w:r>
      <w:r w:rsidRPr="00382832">
        <w:rPr>
          <w:rFonts w:cs="Arial"/>
          <w:rtl/>
        </w:rPr>
        <w:t>ביטל אותה גזירה</w:t>
      </w:r>
      <w:r>
        <w:rPr>
          <w:rFonts w:cs="Arial" w:hint="cs"/>
          <w:rtl/>
        </w:rPr>
        <w:t>,</w:t>
      </w:r>
      <w:r w:rsidRPr="00382832">
        <w:rPr>
          <w:rFonts w:cs="Arial"/>
          <w:rtl/>
        </w:rPr>
        <w:t xml:space="preserve"> שנאמר</w:t>
      </w:r>
      <w:r w:rsidR="00522F30">
        <w:rPr>
          <w:rFonts w:cs="Arial" w:hint="cs"/>
          <w:rtl/>
        </w:rPr>
        <w:t xml:space="preserve"> </w:t>
      </w:r>
      <w:r w:rsidR="00522F30">
        <w:rPr>
          <w:rFonts w:cs="Arial" w:hint="cs"/>
          <w:sz w:val="18"/>
          <w:szCs w:val="18"/>
          <w:rtl/>
        </w:rPr>
        <w:t>(לג, יד)</w:t>
      </w:r>
      <w:r w:rsidR="00522F30">
        <w:rPr>
          <w:rFonts w:cs="Arial" w:hint="cs"/>
          <w:rtl/>
        </w:rPr>
        <w:t>:</w:t>
      </w:r>
      <w:r w:rsidRPr="00382832">
        <w:rPr>
          <w:rFonts w:cs="Arial"/>
          <w:rtl/>
        </w:rPr>
        <w:t xml:space="preserve"> </w:t>
      </w:r>
      <w:r w:rsidR="00522F30">
        <w:rPr>
          <w:rFonts w:cs="Arial" w:hint="cs"/>
          <w:rtl/>
        </w:rPr>
        <w:t>'</w:t>
      </w:r>
      <w:r w:rsidRPr="00382832">
        <w:rPr>
          <w:rFonts w:cs="Arial"/>
          <w:rtl/>
        </w:rPr>
        <w:t xml:space="preserve">פני ילכו </w:t>
      </w:r>
      <w:proofErr w:type="spellStart"/>
      <w:r w:rsidR="00522F30">
        <w:rPr>
          <w:rFonts w:cs="Arial" w:hint="cs"/>
          <w:rtl/>
        </w:rPr>
        <w:t>והנחותי</w:t>
      </w:r>
      <w:proofErr w:type="spellEnd"/>
      <w:r w:rsidR="00522F30">
        <w:rPr>
          <w:rFonts w:cs="Arial" w:hint="cs"/>
          <w:rtl/>
        </w:rPr>
        <w:t xml:space="preserve"> לך',</w:t>
      </w:r>
      <w:r w:rsidRPr="00382832">
        <w:rPr>
          <w:rFonts w:cs="Arial"/>
          <w:rtl/>
        </w:rPr>
        <w:t xml:space="preserve"> מכל מקום בימי יהושע חזר</w:t>
      </w:r>
      <w:r w:rsidR="00522F30">
        <w:rPr>
          <w:rFonts w:cs="Arial" w:hint="cs"/>
          <w:rtl/>
        </w:rPr>
        <w:t>,</w:t>
      </w:r>
      <w:r w:rsidRPr="00382832">
        <w:rPr>
          <w:rFonts w:cs="Arial"/>
          <w:rtl/>
        </w:rPr>
        <w:t xml:space="preserve"> שנאמר אני שר צבא ה' עתה באתי</w:t>
      </w:r>
      <w:r w:rsidR="00522F30">
        <w:rPr>
          <w:rFonts w:cs="Arial" w:hint="cs"/>
          <w:rtl/>
        </w:rPr>
        <w:t>.</w:t>
      </w:r>
      <w:r>
        <w:rPr>
          <w:rFonts w:cs="Arial" w:hint="cs"/>
          <w:rtl/>
        </w:rPr>
        <w:t>''</w:t>
      </w:r>
    </w:p>
    <w:p w14:paraId="3A356B4C" w14:textId="6D967CB6" w:rsidR="00A141AF" w:rsidRDefault="00554337" w:rsidP="0005479A">
      <w:pPr>
        <w:spacing w:after="80"/>
        <w:rPr>
          <w:rtl/>
        </w:rPr>
      </w:pPr>
      <w:r>
        <w:rPr>
          <w:rFonts w:hint="cs"/>
          <w:rtl/>
        </w:rPr>
        <w:t>בפרשה</w:t>
      </w:r>
      <w:r w:rsidR="00AC7FAC">
        <w:rPr>
          <w:rFonts w:hint="cs"/>
          <w:rtl/>
        </w:rPr>
        <w:t xml:space="preserve"> זו</w:t>
      </w:r>
      <w:r w:rsidR="00FE612B">
        <w:rPr>
          <w:rFonts w:hint="cs"/>
          <w:rtl/>
        </w:rPr>
        <w:t xml:space="preserve"> דיני</w:t>
      </w:r>
      <w:r>
        <w:rPr>
          <w:rFonts w:hint="cs"/>
          <w:rtl/>
        </w:rPr>
        <w:t>ם רבים</w:t>
      </w:r>
      <w:r w:rsidR="00FE612B">
        <w:rPr>
          <w:rFonts w:hint="cs"/>
          <w:rtl/>
        </w:rPr>
        <w:t xml:space="preserve"> מדיני המשפטים, דיני עבד עברי, ההורג אדם בשוגג ובמזיד, נגיחת שור וחמור ודין הבא במחתרת</w:t>
      </w:r>
      <w:r>
        <w:rPr>
          <w:rFonts w:hint="cs"/>
          <w:rtl/>
        </w:rPr>
        <w:t xml:space="preserve"> ועוד</w:t>
      </w:r>
      <w:r w:rsidR="00FE612B">
        <w:rPr>
          <w:rFonts w:hint="cs"/>
          <w:rtl/>
        </w:rPr>
        <w:t>. בעקבות כך נעסוק השבוע בהשוואת דיני</w:t>
      </w:r>
      <w:r>
        <w:rPr>
          <w:rFonts w:hint="cs"/>
          <w:rtl/>
        </w:rPr>
        <w:t>ם</w:t>
      </w:r>
      <w:r w:rsidR="00FE612B">
        <w:rPr>
          <w:rFonts w:hint="cs"/>
          <w:rtl/>
        </w:rPr>
        <w:t xml:space="preserve"> אלו לחוקי חמורבי, קובץ חוקים מלפני כארבעת אלפים שנה. נראה את </w:t>
      </w:r>
      <w:r w:rsidR="00A141AF">
        <w:rPr>
          <w:rFonts w:hint="cs"/>
          <w:rtl/>
        </w:rPr>
        <w:t xml:space="preserve">השימוש שעשו </w:t>
      </w:r>
      <w:r>
        <w:rPr>
          <w:rFonts w:hint="cs"/>
          <w:rtl/>
        </w:rPr>
        <w:t xml:space="preserve">החוקרים </w:t>
      </w:r>
      <w:r w:rsidR="00A141AF">
        <w:rPr>
          <w:rFonts w:hint="cs"/>
          <w:rtl/>
        </w:rPr>
        <w:t>האנטישמיים והאנטי דתיים</w:t>
      </w:r>
      <w:r>
        <w:rPr>
          <w:rFonts w:hint="cs"/>
          <w:rtl/>
        </w:rPr>
        <w:t xml:space="preserve"> בקובץ זה</w:t>
      </w:r>
      <w:r w:rsidR="00A141AF">
        <w:rPr>
          <w:rFonts w:hint="cs"/>
          <w:rtl/>
        </w:rPr>
        <w:t>, ואת ההבדלים המוסריים המשמעותיים שהתגלו בסוף.</w:t>
      </w:r>
    </w:p>
    <w:p w14:paraId="210A906C" w14:textId="77777777" w:rsidR="00A141AF" w:rsidRDefault="00A141AF" w:rsidP="0005479A">
      <w:pPr>
        <w:spacing w:after="80"/>
        <w:rPr>
          <w:b/>
          <w:bCs/>
          <w:u w:val="single"/>
          <w:rtl/>
        </w:rPr>
      </w:pPr>
      <w:r>
        <w:rPr>
          <w:rFonts w:hint="cs"/>
          <w:b/>
          <w:bCs/>
          <w:u w:val="single"/>
          <w:rtl/>
        </w:rPr>
        <w:t>רקע היסטורי</w:t>
      </w:r>
    </w:p>
    <w:p w14:paraId="212E4E38" w14:textId="0217933B" w:rsidR="00070F53" w:rsidRDefault="005C00EB" w:rsidP="0005479A">
      <w:pPr>
        <w:spacing w:after="80"/>
        <w:rPr>
          <w:rtl/>
        </w:rPr>
      </w:pPr>
      <w:r>
        <w:rPr>
          <w:rFonts w:hint="cs"/>
          <w:rtl/>
        </w:rPr>
        <w:t>לפני כארבעת אלפים שנה חי בבבל מלך ששמו חמורבי</w:t>
      </w:r>
      <w:r w:rsidR="007B620F">
        <w:rPr>
          <w:rFonts w:hint="cs"/>
          <w:rtl/>
        </w:rPr>
        <w:t>, ששלט על פי ההערכות</w:t>
      </w:r>
      <w:r w:rsidR="00554337">
        <w:rPr>
          <w:rFonts w:hint="cs"/>
          <w:rtl/>
        </w:rPr>
        <w:t>,</w:t>
      </w:r>
      <w:r w:rsidR="007B620F">
        <w:rPr>
          <w:rFonts w:hint="cs"/>
          <w:rtl/>
        </w:rPr>
        <w:t xml:space="preserve"> בין נהר </w:t>
      </w:r>
      <w:r w:rsidR="00453B5A">
        <w:rPr>
          <w:rFonts w:hint="cs"/>
          <w:rtl/>
        </w:rPr>
        <w:t>ה</w:t>
      </w:r>
      <w:r w:rsidR="007B620F">
        <w:rPr>
          <w:rFonts w:hint="cs"/>
          <w:rtl/>
        </w:rPr>
        <w:t>חידקל לים הגדול</w:t>
      </w:r>
      <w:r>
        <w:rPr>
          <w:rFonts w:hint="cs"/>
          <w:rtl/>
        </w:rPr>
        <w:t>.</w:t>
      </w:r>
      <w:r w:rsidR="007B620F">
        <w:rPr>
          <w:rFonts w:hint="cs"/>
          <w:rtl/>
        </w:rPr>
        <w:t xml:space="preserve"> </w:t>
      </w:r>
      <w:r w:rsidR="00541F74">
        <w:rPr>
          <w:rFonts w:hint="cs"/>
          <w:rtl/>
        </w:rPr>
        <w:t xml:space="preserve">בנוסף לשרידים עתיקים מתקופה זו המעידים על מצבה הכלכלי של הממלכה, מנהגיה וחייה, נמצא לפני כמאה שנה בפרס על ידי חוקר צרפתי ששמו </w:t>
      </w:r>
      <w:proofErr w:type="spellStart"/>
      <w:r w:rsidR="00541F74">
        <w:rPr>
          <w:rFonts w:hint="cs"/>
          <w:rtl/>
        </w:rPr>
        <w:t>ז'קייה</w:t>
      </w:r>
      <w:proofErr w:type="spellEnd"/>
      <w:r w:rsidR="004D7892">
        <w:rPr>
          <w:rFonts w:hint="cs"/>
          <w:rtl/>
        </w:rPr>
        <w:t>,</w:t>
      </w:r>
      <w:r w:rsidR="00541F74">
        <w:rPr>
          <w:rFonts w:hint="cs"/>
          <w:rtl/>
        </w:rPr>
        <w:t xml:space="preserve"> קובץ חוקים </w:t>
      </w:r>
      <w:r w:rsidR="00554337">
        <w:rPr>
          <w:rFonts w:hint="cs"/>
          <w:rtl/>
        </w:rPr>
        <w:t>שנהגו</w:t>
      </w:r>
      <w:r w:rsidR="00554337" w:rsidRPr="004D7892">
        <w:rPr>
          <w:rFonts w:hint="cs"/>
          <w:sz w:val="18"/>
          <w:szCs w:val="18"/>
          <w:rtl/>
        </w:rPr>
        <w:t xml:space="preserve"> (או לפחות פורסמו) </w:t>
      </w:r>
      <w:r w:rsidR="00554337">
        <w:rPr>
          <w:rFonts w:hint="cs"/>
          <w:rtl/>
        </w:rPr>
        <w:t xml:space="preserve">בממלכה זו, </w:t>
      </w:r>
      <w:r w:rsidR="004D7892">
        <w:rPr>
          <w:rFonts w:hint="cs"/>
          <w:rtl/>
        </w:rPr>
        <w:t>הכתוב בכתב יתדות בשפה האכדית, המגולף על עמוד אבן גדול</w:t>
      </w:r>
      <w:r w:rsidR="00314108">
        <w:rPr>
          <w:rStyle w:val="a5"/>
          <w:rtl/>
        </w:rPr>
        <w:footnoteReference w:id="2"/>
      </w:r>
      <w:r w:rsidR="004D7892">
        <w:rPr>
          <w:rFonts w:hint="cs"/>
          <w:rtl/>
        </w:rPr>
        <w:t xml:space="preserve">. </w:t>
      </w:r>
    </w:p>
    <w:p w14:paraId="4F4B1F61" w14:textId="38718A0F" w:rsidR="00993240" w:rsidRDefault="00554337" w:rsidP="0005479A">
      <w:pPr>
        <w:spacing w:after="80"/>
        <w:rPr>
          <w:rtl/>
        </w:rPr>
      </w:pPr>
      <w:r>
        <w:rPr>
          <w:rFonts w:hint="cs"/>
          <w:rtl/>
        </w:rPr>
        <w:t xml:space="preserve">עם </w:t>
      </w:r>
      <w:r w:rsidR="00993240">
        <w:rPr>
          <w:rFonts w:hint="cs"/>
          <w:rtl/>
        </w:rPr>
        <w:t xml:space="preserve">פרסום הקובץ, מיד </w:t>
      </w:r>
      <w:r w:rsidR="007B30E0">
        <w:rPr>
          <w:rFonts w:hint="cs"/>
          <w:rtl/>
        </w:rPr>
        <w:t>עטו עלי</w:t>
      </w:r>
      <w:r w:rsidR="00AC7FAC">
        <w:rPr>
          <w:rFonts w:hint="cs"/>
          <w:rtl/>
        </w:rPr>
        <w:t>ו</w:t>
      </w:r>
      <w:r w:rsidR="00993240">
        <w:rPr>
          <w:rFonts w:hint="cs"/>
          <w:rtl/>
        </w:rPr>
        <w:t xml:space="preserve"> חוקרים אנטישמיים ואנטי דתיים רבים </w:t>
      </w:r>
      <w:r w:rsidR="004801B7">
        <w:rPr>
          <w:rFonts w:hint="cs"/>
          <w:rtl/>
        </w:rPr>
        <w:t>ו</w:t>
      </w:r>
      <w:r w:rsidR="00993240">
        <w:rPr>
          <w:rFonts w:hint="cs"/>
          <w:rtl/>
        </w:rPr>
        <w:t>ב</w:t>
      </w:r>
      <w:r>
        <w:rPr>
          <w:rFonts w:hint="cs"/>
          <w:rtl/>
        </w:rPr>
        <w:t>י</w:t>
      </w:r>
      <w:r w:rsidR="00993240">
        <w:rPr>
          <w:rFonts w:hint="cs"/>
          <w:rtl/>
        </w:rPr>
        <w:t xml:space="preserve">ניהם </w:t>
      </w:r>
      <w:r w:rsidR="00993240" w:rsidRPr="00DC55D1">
        <w:rPr>
          <w:rFonts w:hint="cs"/>
          <w:b/>
          <w:bCs/>
          <w:rtl/>
        </w:rPr>
        <w:t xml:space="preserve">פרידריך </w:t>
      </w:r>
      <w:proofErr w:type="spellStart"/>
      <w:r w:rsidR="00993240" w:rsidRPr="00DC55D1">
        <w:rPr>
          <w:rFonts w:hint="cs"/>
          <w:b/>
          <w:bCs/>
          <w:rtl/>
        </w:rPr>
        <w:t>דליטש</w:t>
      </w:r>
      <w:proofErr w:type="spellEnd"/>
      <w:r w:rsidR="00053F37">
        <w:rPr>
          <w:rFonts w:hint="cs"/>
          <w:b/>
          <w:bCs/>
          <w:rtl/>
        </w:rPr>
        <w:t xml:space="preserve"> </w:t>
      </w:r>
      <w:r w:rsidR="00053F37" w:rsidRPr="00053F37">
        <w:rPr>
          <w:rFonts w:hint="cs"/>
          <w:sz w:val="18"/>
          <w:szCs w:val="18"/>
          <w:rtl/>
        </w:rPr>
        <w:t>(</w:t>
      </w:r>
      <w:r w:rsidR="00053F37">
        <w:rPr>
          <w:rFonts w:hint="cs"/>
          <w:sz w:val="18"/>
          <w:szCs w:val="18"/>
          <w:rtl/>
        </w:rPr>
        <w:t>החקירה בכתבי הקודש)</w:t>
      </w:r>
      <w:r w:rsidR="004801B7">
        <w:rPr>
          <w:rFonts w:hint="cs"/>
          <w:rtl/>
        </w:rPr>
        <w:t xml:space="preserve">, </w:t>
      </w:r>
      <w:r w:rsidR="00993240">
        <w:rPr>
          <w:rFonts w:hint="cs"/>
          <w:rtl/>
        </w:rPr>
        <w:t xml:space="preserve">כיוון שלטענתם הקובץ מוכיח </w:t>
      </w:r>
      <w:r w:rsidR="00CE571A">
        <w:rPr>
          <w:rFonts w:hint="cs"/>
          <w:rtl/>
        </w:rPr>
        <w:t>שהתנ</w:t>
      </w:r>
      <w:r w:rsidR="00CE571A">
        <w:rPr>
          <w:rtl/>
        </w:rPr>
        <w:t>"ך</w:t>
      </w:r>
      <w:r w:rsidR="00993240">
        <w:rPr>
          <w:rFonts w:hint="cs"/>
          <w:rtl/>
        </w:rPr>
        <w:t xml:space="preserve"> הינו ספר ככל הספרים</w:t>
      </w:r>
      <w:r w:rsidR="00053F37">
        <w:rPr>
          <w:rFonts w:hint="cs"/>
          <w:rtl/>
        </w:rPr>
        <w:t>, ואין לו מקור אלוקי</w:t>
      </w:r>
      <w:r w:rsidR="00993240">
        <w:rPr>
          <w:rFonts w:hint="cs"/>
          <w:rtl/>
        </w:rPr>
        <w:t>. הסיבה שטענו כך היא, ש</w:t>
      </w:r>
      <w:r w:rsidR="00053F37">
        <w:rPr>
          <w:rFonts w:hint="cs"/>
          <w:rtl/>
        </w:rPr>
        <w:t xml:space="preserve">אכן </w:t>
      </w:r>
      <w:r w:rsidR="00BB5D1F">
        <w:rPr>
          <w:rFonts w:hint="cs"/>
          <w:rtl/>
        </w:rPr>
        <w:t>כפי שנראה</w:t>
      </w:r>
      <w:r w:rsidR="006813B9">
        <w:rPr>
          <w:rFonts w:hint="cs"/>
          <w:rtl/>
        </w:rPr>
        <w:t>,</w:t>
      </w:r>
      <w:r w:rsidR="00BB5D1F">
        <w:rPr>
          <w:rFonts w:hint="cs"/>
          <w:rtl/>
        </w:rPr>
        <w:t xml:space="preserve"> </w:t>
      </w:r>
      <w:r w:rsidR="00993240">
        <w:rPr>
          <w:rFonts w:hint="cs"/>
          <w:rtl/>
        </w:rPr>
        <w:t xml:space="preserve">חלק מהניסוחים </w:t>
      </w:r>
      <w:r w:rsidR="00EA340E">
        <w:rPr>
          <w:rFonts w:hint="cs"/>
          <w:rtl/>
        </w:rPr>
        <w:t xml:space="preserve">של </w:t>
      </w:r>
      <w:r w:rsidR="00CE571A">
        <w:rPr>
          <w:rFonts w:hint="cs"/>
          <w:rtl/>
        </w:rPr>
        <w:t>התנ</w:t>
      </w:r>
      <w:r w:rsidR="00CE571A">
        <w:rPr>
          <w:rtl/>
        </w:rPr>
        <w:t>"ך</w:t>
      </w:r>
      <w:r w:rsidR="00053F37">
        <w:rPr>
          <w:rFonts w:hint="cs"/>
          <w:rtl/>
        </w:rPr>
        <w:t xml:space="preserve"> </w:t>
      </w:r>
      <w:r w:rsidR="00EA340E">
        <w:rPr>
          <w:rFonts w:hint="cs"/>
          <w:rtl/>
        </w:rPr>
        <w:t xml:space="preserve">ושל </w:t>
      </w:r>
      <w:r w:rsidR="00053F37">
        <w:rPr>
          <w:rFonts w:hint="cs"/>
          <w:rtl/>
        </w:rPr>
        <w:t>חוקי חמורבי</w:t>
      </w:r>
      <w:r w:rsidR="00993240">
        <w:rPr>
          <w:rFonts w:hint="cs"/>
          <w:rtl/>
        </w:rPr>
        <w:t xml:space="preserve"> </w:t>
      </w:r>
      <w:r w:rsidR="00053F37">
        <w:rPr>
          <w:rFonts w:hint="cs"/>
          <w:rtl/>
        </w:rPr>
        <w:t>דומים</w:t>
      </w:r>
      <w:r w:rsidR="00455392">
        <w:rPr>
          <w:rFonts w:hint="cs"/>
          <w:rtl/>
        </w:rPr>
        <w:t xml:space="preserve"> </w:t>
      </w:r>
      <w:r w:rsidR="00314108">
        <w:rPr>
          <w:rFonts w:hint="cs"/>
          <w:rtl/>
        </w:rPr>
        <w:t xml:space="preserve">מאוד </w:t>
      </w:r>
      <w:r w:rsidR="00455392">
        <w:rPr>
          <w:rFonts w:hint="cs"/>
          <w:rtl/>
        </w:rPr>
        <w:t>בתוכנם ובסג</w:t>
      </w:r>
      <w:r w:rsidR="00845D2A">
        <w:rPr>
          <w:rFonts w:hint="cs"/>
          <w:rtl/>
        </w:rPr>
        <w:t>נ</w:t>
      </w:r>
      <w:r w:rsidR="00455392">
        <w:rPr>
          <w:rFonts w:hint="cs"/>
          <w:rtl/>
        </w:rPr>
        <w:t>ונם</w:t>
      </w:r>
      <w:r w:rsidR="00EA340E">
        <w:rPr>
          <w:rFonts w:hint="cs"/>
          <w:rtl/>
        </w:rPr>
        <w:t xml:space="preserve"> (וחוקי חמורבי קדמו למתן תורה).</w:t>
      </w:r>
    </w:p>
    <w:p w14:paraId="309EAF7D" w14:textId="35210B7F" w:rsidR="00455392" w:rsidRDefault="00455392" w:rsidP="0005479A">
      <w:pPr>
        <w:spacing w:after="80"/>
        <w:rPr>
          <w:rtl/>
        </w:rPr>
      </w:pPr>
      <w:r>
        <w:rPr>
          <w:rFonts w:hint="cs"/>
          <w:rtl/>
        </w:rPr>
        <w:t>למשל, בסעיף 196 בחוקי חמור</w:t>
      </w:r>
      <w:r w:rsidR="001155D4">
        <w:rPr>
          <w:rFonts w:hint="cs"/>
          <w:rtl/>
        </w:rPr>
        <w:t>ב</w:t>
      </w:r>
      <w:r>
        <w:rPr>
          <w:rFonts w:hint="cs"/>
          <w:rtl/>
        </w:rPr>
        <w:t>י כתוב 'איש כי ישחית את עין רעהו, עינו תושחת'. סעיף לאחר מכן מובא 'אם איבר איש יישבר, איברו יישבר'. ולאחר מכן '</w:t>
      </w:r>
      <w:r>
        <w:rPr>
          <w:rtl/>
        </w:rPr>
        <w:tab/>
      </w:r>
      <w:r>
        <w:rPr>
          <w:rFonts w:hint="cs"/>
          <w:rtl/>
        </w:rPr>
        <w:t>כי יפיל איש שן רעהו, שינו יפילו'. חוקים אלו דומים מאוד לחוקי התורה הקובעת עין תחת עין, שן תחת שן. למרות זאת בשנת 1950, לאחר ש</w:t>
      </w:r>
      <w:r w:rsidR="00BA3689">
        <w:rPr>
          <w:rFonts w:hint="cs"/>
          <w:rtl/>
        </w:rPr>
        <w:t xml:space="preserve">נעשתה עבודה רצינית של השוואה, התגלו הבדלים </w:t>
      </w:r>
      <w:r w:rsidR="00EA340E">
        <w:rPr>
          <w:rFonts w:hint="cs"/>
          <w:rtl/>
        </w:rPr>
        <w:t>רבים ה</w:t>
      </w:r>
      <w:r w:rsidR="00BA3689">
        <w:rPr>
          <w:rFonts w:hint="cs"/>
          <w:rtl/>
        </w:rPr>
        <w:t>משנים את התמונה לגמרי.</w:t>
      </w:r>
    </w:p>
    <w:p w14:paraId="0752686B" w14:textId="47AC02E8" w:rsidR="00BA3689" w:rsidRDefault="0034080E" w:rsidP="0005479A">
      <w:pPr>
        <w:spacing w:after="80"/>
        <w:rPr>
          <w:u w:val="single"/>
          <w:rtl/>
        </w:rPr>
      </w:pPr>
      <w:r>
        <w:rPr>
          <w:rFonts w:hint="cs"/>
          <w:u w:val="single"/>
          <w:rtl/>
        </w:rPr>
        <w:t>אמירות</w:t>
      </w:r>
      <w:r w:rsidR="00BA3689">
        <w:rPr>
          <w:rFonts w:hint="cs"/>
          <w:u w:val="single"/>
          <w:rtl/>
        </w:rPr>
        <w:t xml:space="preserve"> </w:t>
      </w:r>
      <w:r w:rsidR="001802EF">
        <w:rPr>
          <w:rFonts w:hint="cs"/>
          <w:u w:val="single"/>
          <w:rtl/>
        </w:rPr>
        <w:t>מוסריות</w:t>
      </w:r>
    </w:p>
    <w:p w14:paraId="3B48A295" w14:textId="3E85B35D" w:rsidR="0005479A" w:rsidRDefault="004521A1" w:rsidP="0005479A">
      <w:pPr>
        <w:spacing w:after="80"/>
        <w:rPr>
          <w:rtl/>
        </w:rPr>
      </w:pPr>
      <w:r>
        <w:rPr>
          <w:rFonts w:hint="cs"/>
          <w:b/>
          <w:bCs/>
          <w:rtl/>
        </w:rPr>
        <w:t xml:space="preserve">א. </w:t>
      </w:r>
      <w:r w:rsidR="008B0A9D" w:rsidRPr="00441337">
        <w:rPr>
          <w:rFonts w:hint="cs"/>
          <w:b/>
          <w:bCs/>
          <w:rtl/>
        </w:rPr>
        <w:t>הבדל</w:t>
      </w:r>
      <w:r w:rsidR="008B0A9D">
        <w:rPr>
          <w:rFonts w:hint="cs"/>
          <w:rtl/>
        </w:rPr>
        <w:t xml:space="preserve"> </w:t>
      </w:r>
      <w:r w:rsidR="008B0A9D" w:rsidRPr="00441337">
        <w:rPr>
          <w:rFonts w:hint="cs"/>
          <w:b/>
          <w:bCs/>
          <w:rtl/>
        </w:rPr>
        <w:t>ראשון</w:t>
      </w:r>
      <w:r w:rsidR="008B0A9D">
        <w:rPr>
          <w:rFonts w:hint="cs"/>
          <w:rtl/>
        </w:rPr>
        <w:t xml:space="preserve"> משמעותי בין החוקים </w:t>
      </w:r>
      <w:r w:rsidR="00EA340E">
        <w:rPr>
          <w:rFonts w:hint="cs"/>
          <w:rtl/>
        </w:rPr>
        <w:t xml:space="preserve">אשר </w:t>
      </w:r>
      <w:r w:rsidR="008B0A9D">
        <w:rPr>
          <w:rFonts w:hint="cs"/>
          <w:rtl/>
        </w:rPr>
        <w:t>מבדיל בין חוקים שמטרתם ל</w:t>
      </w:r>
      <w:r w:rsidR="00AC7FAC">
        <w:rPr>
          <w:rFonts w:hint="cs"/>
          <w:rtl/>
        </w:rPr>
        <w:t>נהל</w:t>
      </w:r>
      <w:r w:rsidR="008B0A9D">
        <w:rPr>
          <w:rFonts w:hint="cs"/>
          <w:rtl/>
        </w:rPr>
        <w:t xml:space="preserve"> את החברה ל</w:t>
      </w:r>
      <w:r w:rsidR="00EA340E">
        <w:rPr>
          <w:rFonts w:hint="cs"/>
          <w:rtl/>
        </w:rPr>
        <w:t xml:space="preserve">בין </w:t>
      </w:r>
      <w:r w:rsidR="008B0A9D">
        <w:rPr>
          <w:rFonts w:hint="cs"/>
          <w:rtl/>
        </w:rPr>
        <w:t xml:space="preserve">חוקים אלוקיים, נוגע בשאלה המוסרית. </w:t>
      </w:r>
      <w:r w:rsidR="0005479A">
        <w:rPr>
          <w:rFonts w:hint="cs"/>
          <w:rtl/>
        </w:rPr>
        <w:t>חוקי חמורבי ובדומה לחוקי מדינת ישראל (ושאר המדינות), אינם באים לומר אמירות מוסריות. מבחינתם עיקר המטרה שהחברה תתנהל כראוי, משום כך אין איסור לרצוח או לגנוב, אלא שהעושה כך ייענש, מ</w:t>
      </w:r>
      <w:r w:rsidR="00EA340E">
        <w:rPr>
          <w:rFonts w:hint="cs"/>
          <w:rtl/>
        </w:rPr>
        <w:t xml:space="preserve">שום </w:t>
      </w:r>
      <w:r w:rsidR="0005479A">
        <w:rPr>
          <w:rFonts w:hint="cs"/>
          <w:rtl/>
        </w:rPr>
        <w:t>שהוא פוגע בניהול תקין של החברה.</w:t>
      </w:r>
    </w:p>
    <w:p w14:paraId="03FC037B" w14:textId="0331C6F7" w:rsidR="009C63C9" w:rsidRDefault="009C63C9" w:rsidP="0005479A">
      <w:pPr>
        <w:spacing w:after="80"/>
        <w:rPr>
          <w:rtl/>
        </w:rPr>
      </w:pPr>
      <w:r>
        <w:rPr>
          <w:rFonts w:hint="cs"/>
          <w:rtl/>
        </w:rPr>
        <w:t xml:space="preserve">לעומת זאת חוקי התורה בגלל מקורם האלוקי, מכוונים גם לתקן את האדם מבחינה מהותית. משום כך הם מורים לא לרצוח </w:t>
      </w:r>
      <w:r w:rsidR="00EA340E">
        <w:rPr>
          <w:rFonts w:hint="cs"/>
          <w:rtl/>
        </w:rPr>
        <w:t xml:space="preserve">ללא </w:t>
      </w:r>
      <w:r>
        <w:rPr>
          <w:rFonts w:hint="cs"/>
          <w:rtl/>
        </w:rPr>
        <w:t xml:space="preserve">קשר לעונש שיוטל </w:t>
      </w:r>
      <w:r w:rsidR="00EA340E">
        <w:rPr>
          <w:rFonts w:hint="cs"/>
          <w:rtl/>
        </w:rPr>
        <w:t xml:space="preserve">על </w:t>
      </w:r>
      <w:r w:rsidR="00517F42">
        <w:rPr>
          <w:rFonts w:hint="cs"/>
          <w:rtl/>
        </w:rPr>
        <w:t xml:space="preserve">החוטא </w:t>
      </w:r>
      <w:r w:rsidR="004A2021">
        <w:rPr>
          <w:rFonts w:hint="cs"/>
          <w:rtl/>
        </w:rPr>
        <w:t>- עצם הפעולה בעייתית.</w:t>
      </w:r>
      <w:r w:rsidR="007E50EE">
        <w:rPr>
          <w:rFonts w:hint="cs"/>
          <w:rtl/>
        </w:rPr>
        <w:t xml:space="preserve"> כמובן שגם חוקי חמורבי מבוססים על הסכמות מוסריות </w:t>
      </w:r>
      <w:r w:rsidR="007E50EE" w:rsidRPr="007E50EE">
        <w:rPr>
          <w:rFonts w:hint="cs"/>
          <w:sz w:val="18"/>
          <w:szCs w:val="18"/>
          <w:rtl/>
        </w:rPr>
        <w:t xml:space="preserve">(לא יענישו רוצח אם לא יראו בכך פעולה </w:t>
      </w:r>
      <w:r w:rsidR="00E21A13">
        <w:rPr>
          <w:rFonts w:hint="cs"/>
          <w:sz w:val="18"/>
          <w:szCs w:val="18"/>
          <w:rtl/>
        </w:rPr>
        <w:t>בעייתית</w:t>
      </w:r>
      <w:r w:rsidR="007E50EE" w:rsidRPr="007E50EE">
        <w:rPr>
          <w:rFonts w:hint="cs"/>
          <w:sz w:val="18"/>
          <w:szCs w:val="18"/>
          <w:rtl/>
        </w:rPr>
        <w:t>)</w:t>
      </w:r>
      <w:r w:rsidR="007E50EE">
        <w:rPr>
          <w:rFonts w:hint="cs"/>
          <w:rtl/>
        </w:rPr>
        <w:t>, אך מכל מקום אין מטרתם לת</w:t>
      </w:r>
      <w:r w:rsidR="00A50364">
        <w:rPr>
          <w:rFonts w:hint="cs"/>
          <w:rtl/>
        </w:rPr>
        <w:t>י</w:t>
      </w:r>
      <w:r w:rsidR="007E50EE">
        <w:rPr>
          <w:rFonts w:hint="cs"/>
          <w:rtl/>
        </w:rPr>
        <w:t>ק</w:t>
      </w:r>
      <w:r w:rsidR="00A50364">
        <w:rPr>
          <w:rFonts w:hint="cs"/>
          <w:rtl/>
        </w:rPr>
        <w:t>ו</w:t>
      </w:r>
      <w:r w:rsidR="007E50EE">
        <w:rPr>
          <w:rFonts w:hint="cs"/>
          <w:rtl/>
        </w:rPr>
        <w:t>ן האדם</w:t>
      </w:r>
      <w:r w:rsidR="00B833AE">
        <w:rPr>
          <w:rFonts w:hint="cs"/>
          <w:rtl/>
        </w:rPr>
        <w:t xml:space="preserve"> והעיקר הוא העונש</w:t>
      </w:r>
      <w:r w:rsidR="007E50EE">
        <w:rPr>
          <w:rFonts w:hint="cs"/>
          <w:rtl/>
        </w:rPr>
        <w:t xml:space="preserve">, ובלשון </w:t>
      </w:r>
      <w:r w:rsidR="00E21A13" w:rsidRPr="00A50364">
        <w:rPr>
          <w:rFonts w:hint="cs"/>
          <w:b/>
          <w:bCs/>
          <w:rtl/>
        </w:rPr>
        <w:t>קורמן</w:t>
      </w:r>
      <w:r w:rsidR="00E21A13">
        <w:rPr>
          <w:rFonts w:hint="cs"/>
          <w:rtl/>
        </w:rPr>
        <w:t xml:space="preserve"> </w:t>
      </w:r>
      <w:r w:rsidR="00E21A13">
        <w:rPr>
          <w:rFonts w:hint="cs"/>
          <w:sz w:val="18"/>
          <w:szCs w:val="18"/>
          <w:rtl/>
        </w:rPr>
        <w:t>(חוקי התורה והמזרח הקדמון)</w:t>
      </w:r>
      <w:r w:rsidR="00A50364">
        <w:rPr>
          <w:rFonts w:hint="cs"/>
          <w:rtl/>
        </w:rPr>
        <w:t>:</w:t>
      </w:r>
    </w:p>
    <w:p w14:paraId="5503C9A5" w14:textId="76CA3225" w:rsidR="004A22E8" w:rsidRPr="004A22E8" w:rsidRDefault="008A446A" w:rsidP="008A446A">
      <w:pPr>
        <w:spacing w:after="80"/>
        <w:ind w:left="720"/>
      </w:pPr>
      <w:r>
        <w:rPr>
          <w:rFonts w:hint="cs"/>
          <w:rtl/>
        </w:rPr>
        <w:t>''</w:t>
      </w:r>
      <w:r w:rsidR="004A22E8" w:rsidRPr="004A22E8">
        <w:rPr>
          <w:rtl/>
        </w:rPr>
        <w:t>כי דאגת התורה אינה הענשת העבריינים, או למנוע את עשיית העברות על ידי איום בענישה. היסוד העיקרי של תורת ישראל הוא שהאדם מישראל לא יחטא. בעשרת הדיברות אין זכר לעונשים, אלא: ״לא תרצח״, ״לא תנאף״, ״לא תגנוב״. אלה הם, ביסודם, צווים לאדם ולמצפונו, ללא כל קשר לעונש</w:t>
      </w:r>
      <w:r w:rsidR="004A22E8" w:rsidRPr="004A22E8">
        <w:t>.</w:t>
      </w:r>
      <w:r w:rsidR="004A22E8">
        <w:rPr>
          <w:rFonts w:hint="cs"/>
          <w:rtl/>
        </w:rPr>
        <w:t xml:space="preserve"> </w:t>
      </w:r>
      <w:r w:rsidR="004A22E8" w:rsidRPr="004A22E8">
        <w:rPr>
          <w:rtl/>
        </w:rPr>
        <w:t>לא כן אצל חוקי המזרח הקדום.</w:t>
      </w:r>
      <w:r w:rsidR="004A22E8">
        <w:rPr>
          <w:rFonts w:hint="cs"/>
          <w:rtl/>
        </w:rPr>
        <w:t>''</w:t>
      </w:r>
    </w:p>
    <w:p w14:paraId="7F294854" w14:textId="61015052" w:rsidR="004A22E8" w:rsidRDefault="004521A1" w:rsidP="0005479A">
      <w:pPr>
        <w:spacing w:after="80"/>
        <w:rPr>
          <w:rtl/>
        </w:rPr>
      </w:pPr>
      <w:r>
        <w:rPr>
          <w:rFonts w:hint="cs"/>
          <w:b/>
          <w:bCs/>
          <w:rtl/>
        </w:rPr>
        <w:t xml:space="preserve">ב. </w:t>
      </w:r>
      <w:r w:rsidR="002D24C7" w:rsidRPr="005A1253">
        <w:rPr>
          <w:rFonts w:hint="cs"/>
          <w:b/>
          <w:bCs/>
          <w:rtl/>
        </w:rPr>
        <w:t>השלכה נוספת</w:t>
      </w:r>
      <w:r w:rsidR="002D24C7">
        <w:rPr>
          <w:rFonts w:hint="cs"/>
          <w:rtl/>
        </w:rPr>
        <w:t xml:space="preserve"> </w:t>
      </w:r>
      <w:r w:rsidR="000F2CB3">
        <w:rPr>
          <w:rFonts w:hint="cs"/>
          <w:rtl/>
        </w:rPr>
        <w:t>המושפעת ממקורה של התורה</w:t>
      </w:r>
      <w:r w:rsidR="00453B5A">
        <w:rPr>
          <w:rFonts w:hint="cs"/>
          <w:rtl/>
        </w:rPr>
        <w:t xml:space="preserve"> היא</w:t>
      </w:r>
      <w:r w:rsidR="002D24C7">
        <w:rPr>
          <w:rFonts w:hint="cs"/>
          <w:rtl/>
        </w:rPr>
        <w:t xml:space="preserve"> </w:t>
      </w:r>
      <w:r w:rsidR="000F2CB3">
        <w:rPr>
          <w:rFonts w:hint="cs"/>
          <w:rtl/>
        </w:rPr>
        <w:t xml:space="preserve">בהבדל </w:t>
      </w:r>
      <w:r w:rsidR="002D24C7">
        <w:rPr>
          <w:rFonts w:hint="cs"/>
          <w:rtl/>
        </w:rPr>
        <w:t xml:space="preserve">בעונשו של הנואף והנואפת. </w:t>
      </w:r>
      <w:r w:rsidR="000E16C7">
        <w:rPr>
          <w:rFonts w:hint="cs"/>
          <w:rtl/>
        </w:rPr>
        <w:t xml:space="preserve">בחוקי חמורבי </w:t>
      </w:r>
      <w:r w:rsidR="000E16C7">
        <w:rPr>
          <w:rFonts w:hint="cs"/>
          <w:sz w:val="18"/>
          <w:szCs w:val="18"/>
          <w:rtl/>
        </w:rPr>
        <w:t>(חוק 129)</w:t>
      </w:r>
      <w:r w:rsidR="000E16C7">
        <w:rPr>
          <w:rFonts w:hint="cs"/>
          <w:rtl/>
        </w:rPr>
        <w:t xml:space="preserve"> ובחוקי אשור התיכונה </w:t>
      </w:r>
      <w:r w:rsidR="000E16C7">
        <w:rPr>
          <w:rFonts w:hint="cs"/>
          <w:sz w:val="18"/>
          <w:szCs w:val="18"/>
          <w:rtl/>
        </w:rPr>
        <w:t xml:space="preserve">(חוק 14) </w:t>
      </w:r>
      <w:r w:rsidR="000E16C7">
        <w:rPr>
          <w:rFonts w:hint="cs"/>
          <w:rtl/>
        </w:rPr>
        <w:t>מובא, שבמקרה בו אדם תפס את אשתו נואפת, זכותו להורות על כך שיאסרו</w:t>
      </w:r>
      <w:r w:rsidR="00EA340E">
        <w:rPr>
          <w:rFonts w:hint="cs"/>
          <w:rtl/>
        </w:rPr>
        <w:t xml:space="preserve"> את הנואף והנואפת</w:t>
      </w:r>
      <w:r w:rsidR="000E16C7">
        <w:rPr>
          <w:rFonts w:hint="cs"/>
          <w:rtl/>
        </w:rPr>
        <w:t xml:space="preserve"> ויזרקו אותם למים למוות. לחלופין, במקרה בו בוחר הבעל לרחם על אשתו </w:t>
      </w:r>
      <w:r w:rsidR="004801B7">
        <w:rPr>
          <w:rFonts w:hint="cs"/>
          <w:rtl/>
        </w:rPr>
        <w:t xml:space="preserve">והנואף </w:t>
      </w:r>
      <w:r w:rsidR="000E16C7">
        <w:rPr>
          <w:rFonts w:hint="cs"/>
          <w:rtl/>
        </w:rPr>
        <w:t xml:space="preserve">זכותו לעשות כך, </w:t>
      </w:r>
      <w:r w:rsidR="004801B7">
        <w:rPr>
          <w:rFonts w:hint="cs"/>
          <w:rtl/>
        </w:rPr>
        <w:t>והם יצאו</w:t>
      </w:r>
      <w:r w:rsidR="000E16C7">
        <w:rPr>
          <w:rFonts w:hint="cs"/>
          <w:rtl/>
        </w:rPr>
        <w:t xml:space="preserve"> </w:t>
      </w:r>
      <w:r w:rsidR="00EA340E">
        <w:rPr>
          <w:rFonts w:hint="cs"/>
          <w:rtl/>
        </w:rPr>
        <w:t>ל</w:t>
      </w:r>
      <w:r w:rsidR="000E16C7">
        <w:rPr>
          <w:rFonts w:hint="cs"/>
          <w:rtl/>
        </w:rPr>
        <w:t xml:space="preserve">לא עונש. </w:t>
      </w:r>
    </w:p>
    <w:p w14:paraId="060D85F2" w14:textId="3401CDCA" w:rsidR="003F556C" w:rsidRDefault="003F556C" w:rsidP="0005479A">
      <w:pPr>
        <w:spacing w:after="80"/>
        <w:rPr>
          <w:rtl/>
        </w:rPr>
      </w:pPr>
      <w:r>
        <w:rPr>
          <w:rFonts w:hint="cs"/>
          <w:rtl/>
        </w:rPr>
        <w:t xml:space="preserve">היכולת </w:t>
      </w:r>
      <w:r w:rsidR="00AC7FAC">
        <w:rPr>
          <w:rFonts w:hint="cs"/>
          <w:rtl/>
        </w:rPr>
        <w:t>ש</w:t>
      </w:r>
      <w:r>
        <w:rPr>
          <w:rFonts w:hint="cs"/>
          <w:rtl/>
        </w:rPr>
        <w:t>ל</w:t>
      </w:r>
      <w:r w:rsidR="00AC7FAC">
        <w:rPr>
          <w:rFonts w:hint="cs"/>
          <w:rtl/>
        </w:rPr>
        <w:t xml:space="preserve"> ה</w:t>
      </w:r>
      <w:r>
        <w:rPr>
          <w:rFonts w:hint="cs"/>
          <w:rtl/>
        </w:rPr>
        <w:t>בעל למחול על חטאי אשתו נובע</w:t>
      </w:r>
      <w:r w:rsidR="00BF0B52">
        <w:rPr>
          <w:rFonts w:hint="cs"/>
          <w:rtl/>
        </w:rPr>
        <w:t>ת</w:t>
      </w:r>
      <w:r>
        <w:rPr>
          <w:rFonts w:hint="cs"/>
          <w:rtl/>
        </w:rPr>
        <w:t xml:space="preserve"> מכך, שמדובר בחוקיים ארציים, משום כך לבעל היא חטאה והבעל מוחל. לעומת זאת בתורה</w:t>
      </w:r>
      <w:r w:rsidR="00720C94">
        <w:rPr>
          <w:rFonts w:hint="cs"/>
          <w:rtl/>
        </w:rPr>
        <w:t xml:space="preserve"> (למרות שלשון הציווי מנוסח </w:t>
      </w:r>
      <w:r w:rsidR="00EA340E">
        <w:rPr>
          <w:rFonts w:hint="cs"/>
          <w:rtl/>
        </w:rPr>
        <w:t xml:space="preserve">בצורה </w:t>
      </w:r>
      <w:r w:rsidR="00720C94">
        <w:rPr>
          <w:rFonts w:hint="cs"/>
          <w:rtl/>
        </w:rPr>
        <w:t>דומה)</w:t>
      </w:r>
      <w:r>
        <w:rPr>
          <w:rFonts w:hint="cs"/>
          <w:rtl/>
        </w:rPr>
        <w:t xml:space="preserve"> חטא הניאוף אינו רק חטא של בן אדם לחברו, אלא חטא</w:t>
      </w:r>
      <w:r w:rsidR="00862A74">
        <w:rPr>
          <w:rFonts w:hint="cs"/>
          <w:rtl/>
        </w:rPr>
        <w:t xml:space="preserve"> </w:t>
      </w:r>
      <w:r>
        <w:rPr>
          <w:rFonts w:hint="cs"/>
          <w:rtl/>
        </w:rPr>
        <w:t>כלפי אלוקים. משום כך</w:t>
      </w:r>
      <w:r w:rsidR="00AC7FAC">
        <w:rPr>
          <w:rFonts w:hint="cs"/>
          <w:rtl/>
        </w:rPr>
        <w:t>,</w:t>
      </w:r>
      <w:r>
        <w:rPr>
          <w:rFonts w:hint="cs"/>
          <w:rtl/>
        </w:rPr>
        <w:t xml:space="preserve"> בניגוד ל</w:t>
      </w:r>
      <w:r w:rsidR="00AC7FAC">
        <w:rPr>
          <w:rFonts w:hint="cs"/>
          <w:rtl/>
        </w:rPr>
        <w:t>חטא</w:t>
      </w:r>
      <w:r>
        <w:rPr>
          <w:rFonts w:hint="cs"/>
          <w:rtl/>
        </w:rPr>
        <w:t xml:space="preserve"> ממוני עליו יכולים למחול</w:t>
      </w:r>
      <w:r w:rsidR="00796E80">
        <w:rPr>
          <w:rFonts w:hint="cs"/>
          <w:rtl/>
        </w:rPr>
        <w:t xml:space="preserve"> -</w:t>
      </w:r>
      <w:r>
        <w:rPr>
          <w:rFonts w:hint="cs"/>
          <w:rtl/>
        </w:rPr>
        <w:t xml:space="preserve"> על חטא הניאוף האדם אינו יכול למחול</w:t>
      </w:r>
      <w:r w:rsidR="00522ABB">
        <w:rPr>
          <w:rFonts w:hint="cs"/>
          <w:rtl/>
        </w:rPr>
        <w:t xml:space="preserve">, ועל החוטא </w:t>
      </w:r>
      <w:r w:rsidR="00CD6D0F">
        <w:rPr>
          <w:rFonts w:hint="cs"/>
          <w:rtl/>
        </w:rPr>
        <w:t>ל</w:t>
      </w:r>
      <w:r w:rsidR="00522ABB">
        <w:rPr>
          <w:rFonts w:hint="cs"/>
          <w:rtl/>
        </w:rPr>
        <w:t>היענש</w:t>
      </w:r>
      <w:r>
        <w:rPr>
          <w:rFonts w:hint="cs"/>
          <w:rtl/>
        </w:rPr>
        <w:t>.</w:t>
      </w:r>
    </w:p>
    <w:p w14:paraId="6BFF6718" w14:textId="3A580440" w:rsidR="005A1253" w:rsidRDefault="004521A1" w:rsidP="0005479A">
      <w:pPr>
        <w:spacing w:after="80"/>
        <w:rPr>
          <w:rtl/>
        </w:rPr>
      </w:pPr>
      <w:r>
        <w:rPr>
          <w:rFonts w:hint="cs"/>
          <w:b/>
          <w:bCs/>
          <w:rtl/>
        </w:rPr>
        <w:t xml:space="preserve">ג. </w:t>
      </w:r>
      <w:r w:rsidR="005A1253">
        <w:rPr>
          <w:rFonts w:hint="cs"/>
          <w:b/>
          <w:bCs/>
          <w:rtl/>
        </w:rPr>
        <w:t>הש</w:t>
      </w:r>
      <w:r>
        <w:rPr>
          <w:rFonts w:hint="cs"/>
          <w:b/>
          <w:bCs/>
          <w:rtl/>
        </w:rPr>
        <w:t>ל</w:t>
      </w:r>
      <w:r w:rsidR="005A1253">
        <w:rPr>
          <w:rFonts w:hint="cs"/>
          <w:b/>
          <w:bCs/>
          <w:rtl/>
        </w:rPr>
        <w:t xml:space="preserve">כה שלישית </w:t>
      </w:r>
      <w:r w:rsidR="00CD6D0F">
        <w:rPr>
          <w:rFonts w:hint="cs"/>
          <w:rtl/>
        </w:rPr>
        <w:t>היא</w:t>
      </w:r>
      <w:r w:rsidR="005A1253">
        <w:rPr>
          <w:rFonts w:hint="cs"/>
          <w:rtl/>
        </w:rPr>
        <w:t xml:space="preserve"> ביחס לדיני עבדים. ממש כמו בתורה בחוקי חמורבי </w:t>
      </w:r>
      <w:r w:rsidR="005A1253">
        <w:rPr>
          <w:rFonts w:hint="cs"/>
          <w:sz w:val="18"/>
          <w:szCs w:val="18"/>
          <w:rtl/>
        </w:rPr>
        <w:t xml:space="preserve">(חוק 282) </w:t>
      </w:r>
      <w:r w:rsidR="005A1253">
        <w:rPr>
          <w:rFonts w:hint="cs"/>
          <w:rtl/>
        </w:rPr>
        <w:t xml:space="preserve">נאמר, </w:t>
      </w:r>
      <w:r w:rsidR="00304FE2">
        <w:rPr>
          <w:rFonts w:hint="cs"/>
          <w:rtl/>
        </w:rPr>
        <w:t xml:space="preserve">שרוצעים את אזנו של העבד, אך הסיבה לכך הפוכה. בעוד שבתורה רוצעים את אזנו של העבד שבוחר להישאר עם אדונו, כי האזן שמעה בהר סיני </w:t>
      </w:r>
      <w:r w:rsidR="00CD6D0F">
        <w:rPr>
          <w:rFonts w:hint="cs"/>
          <w:rtl/>
        </w:rPr>
        <w:t>אתם תהיו לי עבדים</w:t>
      </w:r>
      <w:r w:rsidR="00304FE2">
        <w:rPr>
          <w:rFonts w:hint="cs"/>
          <w:rtl/>
        </w:rPr>
        <w:t xml:space="preserve"> </w:t>
      </w:r>
      <w:r w:rsidR="00CD6D0F">
        <w:rPr>
          <w:rFonts w:hint="cs"/>
          <w:rtl/>
        </w:rPr>
        <w:t xml:space="preserve"> הרי ש</w:t>
      </w:r>
      <w:r w:rsidR="00304FE2">
        <w:rPr>
          <w:rFonts w:hint="cs"/>
          <w:rtl/>
        </w:rPr>
        <w:t>בחוקי חמורבי הדין בדיוק הפוך, רוצעים את אזנו של עבד שברח מאדוניו</w:t>
      </w:r>
      <w:r w:rsidR="006118D3">
        <w:rPr>
          <w:rFonts w:hint="cs"/>
          <w:rtl/>
        </w:rPr>
        <w:t>, ובלשון הפסוק והחוק:</w:t>
      </w:r>
    </w:p>
    <w:p w14:paraId="2725D9FA" w14:textId="4AC07FFC" w:rsidR="00B10E4E" w:rsidRPr="0041197D" w:rsidRDefault="0041197D" w:rsidP="00B10E4E">
      <w:pPr>
        <w:spacing w:after="80"/>
        <w:ind w:left="720"/>
        <w:rPr>
          <w:rtl/>
        </w:rPr>
      </w:pPr>
      <w:r w:rsidRPr="0041197D">
        <w:t>"</w:t>
      </w:r>
      <w:r w:rsidRPr="0041197D">
        <w:rPr>
          <w:rFonts w:hint="cs"/>
          <w:b/>
          <w:bCs/>
          <w:rtl/>
        </w:rPr>
        <w:t>בתורה</w:t>
      </w:r>
      <w:r>
        <w:rPr>
          <w:rFonts w:hint="cs"/>
          <w:rtl/>
        </w:rPr>
        <w:t xml:space="preserve"> </w:t>
      </w:r>
      <w:r>
        <w:rPr>
          <w:rFonts w:hint="cs"/>
          <w:sz w:val="18"/>
          <w:szCs w:val="18"/>
          <w:rtl/>
        </w:rPr>
        <w:t>(שמות כא, ו)</w:t>
      </w:r>
      <w:r>
        <w:rPr>
          <w:rFonts w:hint="cs"/>
          <w:rtl/>
        </w:rPr>
        <w:t xml:space="preserve">: </w:t>
      </w:r>
      <w:r w:rsidRPr="0041197D">
        <w:rPr>
          <w:rtl/>
        </w:rPr>
        <w:t>ואם אמור יאמר העבד: אהבתי את אדוני את אשתי ואת בני, לא אצא חופשי. והגישו אדוניו אל האלהים והגישו אל הדלת או אל המזוזה, ורצע אדוניו את אזנו במרצע, ועבדו לעול</w:t>
      </w:r>
      <w:r>
        <w:rPr>
          <w:rFonts w:hint="cs"/>
          <w:rtl/>
        </w:rPr>
        <w:t xml:space="preserve">ם. </w:t>
      </w:r>
      <w:r w:rsidRPr="0041197D">
        <w:rPr>
          <w:rFonts w:hint="cs"/>
          <w:b/>
          <w:bCs/>
          <w:rtl/>
        </w:rPr>
        <w:t>בחוק חמורבי</w:t>
      </w:r>
      <w:r>
        <w:rPr>
          <w:rFonts w:hint="cs"/>
          <w:rtl/>
        </w:rPr>
        <w:t xml:space="preserve"> </w:t>
      </w:r>
      <w:r>
        <w:rPr>
          <w:rFonts w:hint="cs"/>
          <w:sz w:val="18"/>
          <w:szCs w:val="18"/>
          <w:rtl/>
        </w:rPr>
        <w:t>(</w:t>
      </w:r>
      <w:r w:rsidR="00024A3F">
        <w:rPr>
          <w:rFonts w:hint="cs"/>
          <w:sz w:val="18"/>
          <w:szCs w:val="18"/>
          <w:rtl/>
        </w:rPr>
        <w:t xml:space="preserve">חוק </w:t>
      </w:r>
      <w:r>
        <w:rPr>
          <w:rFonts w:hint="cs"/>
          <w:sz w:val="18"/>
          <w:szCs w:val="18"/>
          <w:rtl/>
        </w:rPr>
        <w:t>282)</w:t>
      </w:r>
      <w:r>
        <w:rPr>
          <w:rFonts w:hint="cs"/>
          <w:rtl/>
        </w:rPr>
        <w:t>:</w:t>
      </w:r>
      <w:r w:rsidR="004205AF">
        <w:rPr>
          <w:rFonts w:hint="cs"/>
          <w:rtl/>
        </w:rPr>
        <w:t xml:space="preserve"> </w:t>
      </w:r>
      <w:r w:rsidRPr="0041197D">
        <w:rPr>
          <w:rtl/>
        </w:rPr>
        <w:t>אם אמר יאמר עבד אל אדוניו 'לא אדוני אתה', יוכיח עליו אדונו כי עבדו הוא, ואת אוזנו יקצץ</w:t>
      </w:r>
      <w:r>
        <w:rPr>
          <w:rFonts w:hint="cs"/>
          <w:rtl/>
        </w:rPr>
        <w:t>.''</w:t>
      </w:r>
    </w:p>
    <w:p w14:paraId="45D045A1" w14:textId="3B4909A5" w:rsidR="0089051E" w:rsidRDefault="00237642" w:rsidP="0005479A">
      <w:pPr>
        <w:spacing w:after="80"/>
        <w:rPr>
          <w:u w:val="single"/>
          <w:rtl/>
        </w:rPr>
      </w:pPr>
      <w:r>
        <w:rPr>
          <w:rFonts w:hint="cs"/>
          <w:u w:val="single"/>
          <w:rtl/>
        </w:rPr>
        <w:lastRenderedPageBreak/>
        <w:t>היחס לח</w:t>
      </w:r>
      <w:r w:rsidR="00407375">
        <w:rPr>
          <w:rFonts w:hint="cs"/>
          <w:u w:val="single"/>
          <w:rtl/>
        </w:rPr>
        <w:t>יי אדם</w:t>
      </w:r>
      <w:r w:rsidR="003F1F48">
        <w:rPr>
          <w:rFonts w:hint="cs"/>
          <w:u w:val="single"/>
          <w:rtl/>
        </w:rPr>
        <w:t xml:space="preserve"> והמעמדות</w:t>
      </w:r>
    </w:p>
    <w:p w14:paraId="7B75F383" w14:textId="5D22663A" w:rsidR="0033269F" w:rsidRDefault="0033269F" w:rsidP="0005479A">
      <w:pPr>
        <w:spacing w:after="80"/>
        <w:rPr>
          <w:rtl/>
        </w:rPr>
      </w:pPr>
      <w:r>
        <w:rPr>
          <w:rFonts w:hint="cs"/>
          <w:rtl/>
        </w:rPr>
        <w:t>הבדלים נוספים משמעותיים בין חוקי התורה ל</w:t>
      </w:r>
      <w:r w:rsidR="00CD6D0F">
        <w:rPr>
          <w:rFonts w:hint="cs"/>
          <w:rtl/>
        </w:rPr>
        <w:t xml:space="preserve">בין </w:t>
      </w:r>
      <w:r>
        <w:rPr>
          <w:rFonts w:hint="cs"/>
          <w:rtl/>
        </w:rPr>
        <w:t>חוקי חמורבי, נוגע</w:t>
      </w:r>
      <w:r w:rsidR="00BC5F68">
        <w:rPr>
          <w:rFonts w:hint="cs"/>
          <w:rtl/>
        </w:rPr>
        <w:t>ים</w:t>
      </w:r>
      <w:r>
        <w:rPr>
          <w:rFonts w:hint="cs"/>
          <w:rtl/>
        </w:rPr>
        <w:t xml:space="preserve"> ביחס לחיי אדם, והזכות של </w:t>
      </w:r>
      <w:r w:rsidR="00CD6D0F">
        <w:rPr>
          <w:rFonts w:hint="cs"/>
          <w:rtl/>
        </w:rPr>
        <w:t>ה</w:t>
      </w:r>
      <w:r>
        <w:rPr>
          <w:rFonts w:hint="cs"/>
          <w:rtl/>
        </w:rPr>
        <w:t>אדם על בניו ובנותיו:</w:t>
      </w:r>
    </w:p>
    <w:p w14:paraId="58A9BCA1" w14:textId="7A25B397" w:rsidR="009750E5" w:rsidRDefault="00D4645C" w:rsidP="009750E5">
      <w:pPr>
        <w:spacing w:after="80"/>
        <w:rPr>
          <w:rtl/>
        </w:rPr>
      </w:pPr>
      <w:r w:rsidRPr="00D4645C">
        <w:rPr>
          <w:rFonts w:hint="cs"/>
          <w:b/>
          <w:bCs/>
          <w:rtl/>
        </w:rPr>
        <w:t>השלכה ראשונה</w:t>
      </w:r>
      <w:r>
        <w:rPr>
          <w:rFonts w:hint="cs"/>
          <w:rtl/>
        </w:rPr>
        <w:t xml:space="preserve">: </w:t>
      </w:r>
      <w:r w:rsidR="002D5A46">
        <w:rPr>
          <w:rFonts w:hint="cs"/>
          <w:rtl/>
        </w:rPr>
        <w:t xml:space="preserve">בפרשת משפטים </w:t>
      </w:r>
      <w:r w:rsidR="002D5A46">
        <w:rPr>
          <w:rFonts w:hint="cs"/>
          <w:sz w:val="18"/>
          <w:szCs w:val="18"/>
          <w:rtl/>
        </w:rPr>
        <w:t xml:space="preserve">(כא, כב) </w:t>
      </w:r>
      <w:r w:rsidR="002D5A46">
        <w:rPr>
          <w:rFonts w:hint="cs"/>
          <w:rtl/>
        </w:rPr>
        <w:t xml:space="preserve">כותבת התורה, שבמקרה בו אדם הכה אשה </w:t>
      </w:r>
      <w:r>
        <w:rPr>
          <w:rFonts w:hint="cs"/>
          <w:rtl/>
        </w:rPr>
        <w:t xml:space="preserve">מעוברת </w:t>
      </w:r>
      <w:r w:rsidR="002D5A46">
        <w:rPr>
          <w:rFonts w:hint="cs"/>
          <w:rtl/>
        </w:rPr>
        <w:t xml:space="preserve">ומתו </w:t>
      </w:r>
      <w:r>
        <w:rPr>
          <w:rFonts w:hint="cs"/>
          <w:rtl/>
        </w:rPr>
        <w:t>ה</w:t>
      </w:r>
      <w:r w:rsidR="00453B5A">
        <w:rPr>
          <w:rFonts w:hint="cs"/>
          <w:rtl/>
        </w:rPr>
        <w:t xml:space="preserve">עוברים </w:t>
      </w:r>
      <w:r>
        <w:rPr>
          <w:rFonts w:hint="cs"/>
          <w:rtl/>
        </w:rPr>
        <w:t xml:space="preserve">שבבטנה </w:t>
      </w:r>
      <w:r w:rsidR="002D5A46">
        <w:rPr>
          <w:rFonts w:hint="cs"/>
          <w:rtl/>
        </w:rPr>
        <w:t xml:space="preserve">- עליו לשלם כסף על </w:t>
      </w:r>
      <w:r w:rsidR="00453B5A">
        <w:rPr>
          <w:rFonts w:hint="cs"/>
          <w:rtl/>
        </w:rPr>
        <w:t>מותם</w:t>
      </w:r>
      <w:r w:rsidR="002D5A46">
        <w:rPr>
          <w:rFonts w:hint="cs"/>
          <w:rtl/>
        </w:rPr>
        <w:t xml:space="preserve">. במקרה בו הרג </w:t>
      </w:r>
      <w:r w:rsidR="00453B5A">
        <w:rPr>
          <w:rFonts w:hint="cs"/>
          <w:rtl/>
        </w:rPr>
        <w:t xml:space="preserve">גם </w:t>
      </w:r>
      <w:r w:rsidR="002D5A46">
        <w:rPr>
          <w:rFonts w:hint="cs"/>
          <w:rtl/>
        </w:rPr>
        <w:t>את הא</w:t>
      </w:r>
      <w:r>
        <w:rPr>
          <w:rFonts w:hint="cs"/>
          <w:rtl/>
        </w:rPr>
        <w:t>י</w:t>
      </w:r>
      <w:r w:rsidR="002D5A46">
        <w:rPr>
          <w:rFonts w:hint="cs"/>
          <w:rtl/>
        </w:rPr>
        <w:t xml:space="preserve">שה נחלקו התנאים, יש סוברים שגם במקרה זה עליו </w:t>
      </w:r>
      <w:r w:rsidR="009750E5">
        <w:rPr>
          <w:rFonts w:hint="cs"/>
          <w:rtl/>
        </w:rPr>
        <w:t>לשלם ממון תמורתה,</w:t>
      </w:r>
      <w:r>
        <w:rPr>
          <w:rFonts w:hint="cs"/>
          <w:rtl/>
        </w:rPr>
        <w:t xml:space="preserve"> מכיוון שהוא לא התכוון להרוג אותה אלא</w:t>
      </w:r>
      <w:r w:rsidR="00453B5A">
        <w:rPr>
          <w:rFonts w:hint="cs"/>
          <w:rtl/>
        </w:rPr>
        <w:t xml:space="preserve"> </w:t>
      </w:r>
      <w:r>
        <w:rPr>
          <w:rFonts w:hint="cs"/>
          <w:rtl/>
        </w:rPr>
        <w:t>את ילדיה,</w:t>
      </w:r>
      <w:r w:rsidR="009750E5">
        <w:rPr>
          <w:rFonts w:hint="cs"/>
          <w:rtl/>
        </w:rPr>
        <w:t xml:space="preserve"> ויש החולקים וסוברים שבמקרה זה הורגים את המכה.</w:t>
      </w:r>
    </w:p>
    <w:p w14:paraId="7F05F6B8" w14:textId="78609793" w:rsidR="009750E5" w:rsidRDefault="009750E5" w:rsidP="009750E5">
      <w:pPr>
        <w:spacing w:after="80"/>
        <w:rPr>
          <w:rtl/>
        </w:rPr>
      </w:pPr>
      <w:r>
        <w:rPr>
          <w:rFonts w:hint="cs"/>
          <w:rtl/>
        </w:rPr>
        <w:t xml:space="preserve">מה הדין בחוקי חמורבי? גם </w:t>
      </w:r>
      <w:r w:rsidR="00D4645C">
        <w:rPr>
          <w:rFonts w:hint="cs"/>
          <w:rtl/>
        </w:rPr>
        <w:t>במקרה זה</w:t>
      </w:r>
      <w:r>
        <w:rPr>
          <w:rFonts w:hint="cs"/>
          <w:rtl/>
        </w:rPr>
        <w:t>, הדמיון בלשון לתורה</w:t>
      </w:r>
      <w:r w:rsidR="00635A77">
        <w:rPr>
          <w:rFonts w:hint="cs"/>
          <w:rtl/>
        </w:rPr>
        <w:t xml:space="preserve"> מובהק</w:t>
      </w:r>
      <w:r>
        <w:rPr>
          <w:rFonts w:hint="cs"/>
          <w:rtl/>
        </w:rPr>
        <w:t>, אך בכל זאת יש הבדל משמעותי בינ</w:t>
      </w:r>
      <w:r w:rsidR="002C7516">
        <w:rPr>
          <w:rFonts w:hint="cs"/>
          <w:rtl/>
        </w:rPr>
        <w:t>י</w:t>
      </w:r>
      <w:r>
        <w:rPr>
          <w:rFonts w:hint="cs"/>
          <w:rtl/>
        </w:rPr>
        <w:t>הם</w:t>
      </w:r>
      <w:r w:rsidR="0042473A">
        <w:rPr>
          <w:rFonts w:hint="cs"/>
          <w:rtl/>
        </w:rPr>
        <w:t xml:space="preserve">. בעוד שכפי שראינו אם אדם הכה והרג הוא חייב מיתה, בחוקי חמורבי </w:t>
      </w:r>
      <w:r w:rsidR="0042473A">
        <w:rPr>
          <w:rFonts w:hint="cs"/>
          <w:sz w:val="18"/>
          <w:szCs w:val="18"/>
          <w:rtl/>
        </w:rPr>
        <w:t xml:space="preserve">(חוק 209) </w:t>
      </w:r>
      <w:r w:rsidR="0042473A">
        <w:rPr>
          <w:rFonts w:hint="cs"/>
          <w:rtl/>
        </w:rPr>
        <w:t>בתו שנחשבת רכושו של המכה נהרגת במקומו. מקרה דומה מופיע ביחס לאדם שבנה בית לא יציב והרג את בנו של בעל הבית</w:t>
      </w:r>
      <w:r w:rsidR="00782A09">
        <w:rPr>
          <w:rFonts w:hint="cs"/>
          <w:rtl/>
        </w:rPr>
        <w:t xml:space="preserve">, </w:t>
      </w:r>
      <w:r w:rsidR="0042473A">
        <w:rPr>
          <w:rFonts w:hint="cs"/>
          <w:rtl/>
        </w:rPr>
        <w:t>שבנו של הבונה נהרג למרות שלא חטא</w:t>
      </w:r>
      <w:r w:rsidR="00450859">
        <w:rPr>
          <w:rFonts w:hint="cs"/>
          <w:rtl/>
        </w:rPr>
        <w:t xml:space="preserve"> - </w:t>
      </w:r>
      <w:r w:rsidR="0042473A">
        <w:rPr>
          <w:rFonts w:hint="cs"/>
          <w:rtl/>
        </w:rPr>
        <w:t xml:space="preserve">בן תמורת בן: </w:t>
      </w:r>
    </w:p>
    <w:p w14:paraId="217CB984" w14:textId="7D945EFB" w:rsidR="0042473A" w:rsidRPr="0042473A" w:rsidRDefault="00DB5151" w:rsidP="00DD38D2">
      <w:pPr>
        <w:spacing w:after="80"/>
        <w:ind w:left="720"/>
        <w:rPr>
          <w:rtl/>
        </w:rPr>
      </w:pPr>
      <w:r>
        <w:rPr>
          <w:rFonts w:hint="cs"/>
          <w:rtl/>
        </w:rPr>
        <w:t>''</w:t>
      </w:r>
      <w:r w:rsidR="0042473A" w:rsidRPr="00963E36">
        <w:rPr>
          <w:rFonts w:hint="cs"/>
          <w:rtl/>
        </w:rPr>
        <w:t>חוק</w:t>
      </w:r>
      <w:r w:rsidR="0042473A" w:rsidRPr="0042473A">
        <w:rPr>
          <w:rFonts w:hint="cs"/>
          <w:b/>
          <w:bCs/>
          <w:rtl/>
        </w:rPr>
        <w:t xml:space="preserve"> </w:t>
      </w:r>
      <w:r w:rsidR="0042473A" w:rsidRPr="00963E36">
        <w:rPr>
          <w:rFonts w:hint="cs"/>
          <w:rtl/>
        </w:rPr>
        <w:t>209</w:t>
      </w:r>
      <w:r w:rsidR="0042473A">
        <w:rPr>
          <w:rFonts w:hint="cs"/>
          <w:rtl/>
        </w:rPr>
        <w:t xml:space="preserve">: </w:t>
      </w:r>
      <w:r w:rsidR="0042473A" w:rsidRPr="0042473A">
        <w:rPr>
          <w:rtl/>
        </w:rPr>
        <w:t>כי יכה איש בת איש</w:t>
      </w:r>
      <w:r w:rsidR="0042473A" w:rsidRPr="0042473A">
        <w:t> </w:t>
      </w:r>
      <w:r w:rsidR="0042473A" w:rsidRPr="0042473A">
        <w:rPr>
          <w:rtl/>
        </w:rPr>
        <w:t>ויצאו ילדיה, עשרה שקלים כסף תחת ילדיה ישלם. ואם מתה האישה ההיא, מות תומת בת המכה</w:t>
      </w:r>
      <w:r w:rsidR="0042473A">
        <w:rPr>
          <w:rFonts w:hint="cs"/>
          <w:rtl/>
        </w:rPr>
        <w:t xml:space="preserve">. </w:t>
      </w:r>
      <w:r w:rsidR="0042473A" w:rsidRPr="00963E36">
        <w:rPr>
          <w:rFonts w:hint="cs"/>
          <w:rtl/>
        </w:rPr>
        <w:t>חוק</w:t>
      </w:r>
      <w:r w:rsidR="0042473A" w:rsidRPr="0042473A">
        <w:rPr>
          <w:rFonts w:hint="cs"/>
          <w:b/>
          <w:bCs/>
          <w:rtl/>
        </w:rPr>
        <w:t xml:space="preserve"> </w:t>
      </w:r>
      <w:r w:rsidR="0042473A" w:rsidRPr="00963E36">
        <w:rPr>
          <w:rFonts w:hint="cs"/>
          <w:rtl/>
        </w:rPr>
        <w:t>229</w:t>
      </w:r>
      <w:r w:rsidR="0042473A">
        <w:rPr>
          <w:rFonts w:hint="cs"/>
          <w:rtl/>
        </w:rPr>
        <w:t xml:space="preserve">: </w:t>
      </w:r>
      <w:r w:rsidR="004D4ECE" w:rsidRPr="004D4ECE">
        <w:t>"</w:t>
      </w:r>
      <w:r w:rsidR="004D4ECE" w:rsidRPr="004D4ECE">
        <w:rPr>
          <w:rtl/>
        </w:rPr>
        <w:t>כי יבנה בנאי בית לאיש, אך לא עשה בנייתו איתנה, וכתוצאה התמוטט הבית אשר בנה וגרם למות בעל הבית, הבנאי ההוא מות יומת. ואם גרם למות בן בעל הבית, הם את בן הבנאי הזה ימיתו</w:t>
      </w:r>
      <w:r w:rsidR="004D4ECE">
        <w:rPr>
          <w:rFonts w:hint="cs"/>
          <w:rtl/>
        </w:rPr>
        <w:t>.</w:t>
      </w:r>
      <w:r w:rsidR="004D4ECE" w:rsidRPr="004D4ECE">
        <w:rPr>
          <w:rtl/>
        </w:rPr>
        <w:t xml:space="preserve">" </w:t>
      </w:r>
    </w:p>
    <w:p w14:paraId="759A4B56" w14:textId="28EAFDB6" w:rsidR="00537104" w:rsidRDefault="009A2613" w:rsidP="00537104">
      <w:pPr>
        <w:spacing w:after="80"/>
        <w:rPr>
          <w:rtl/>
        </w:rPr>
      </w:pPr>
      <w:r w:rsidRPr="009A2613">
        <w:rPr>
          <w:rFonts w:hint="cs"/>
          <w:b/>
          <w:bCs/>
          <w:rtl/>
        </w:rPr>
        <w:t>השלכה שנייה</w:t>
      </w:r>
      <w:r>
        <w:rPr>
          <w:rFonts w:hint="cs"/>
          <w:rtl/>
        </w:rPr>
        <w:t>:</w:t>
      </w:r>
      <w:r w:rsidR="0033269F">
        <w:rPr>
          <w:rFonts w:hint="cs"/>
          <w:rtl/>
        </w:rPr>
        <w:t xml:space="preserve"> </w:t>
      </w:r>
      <w:r w:rsidR="00FB2CD3">
        <w:rPr>
          <w:rFonts w:hint="cs"/>
          <w:rtl/>
        </w:rPr>
        <w:t xml:space="preserve">בפרשת </w:t>
      </w:r>
      <w:proofErr w:type="spellStart"/>
      <w:r w:rsidR="00FB2CD3">
        <w:rPr>
          <w:rFonts w:hint="cs"/>
          <w:rtl/>
        </w:rPr>
        <w:t>ויגש</w:t>
      </w:r>
      <w:proofErr w:type="spellEnd"/>
      <w:r w:rsidR="00FB2CD3">
        <w:rPr>
          <w:rFonts w:hint="cs"/>
          <w:rtl/>
        </w:rPr>
        <w:t xml:space="preserve"> מסופר, שכאשר קנה יוסף את כל הקרקעות מהמצרים תמורת האוכל שיספק להם, </w:t>
      </w:r>
      <w:r w:rsidR="00B87457">
        <w:rPr>
          <w:rFonts w:hint="cs"/>
          <w:rtl/>
        </w:rPr>
        <w:t xml:space="preserve">הוא לא נגע </w:t>
      </w:r>
      <w:r w:rsidR="00FB2CD3">
        <w:rPr>
          <w:rFonts w:hint="cs"/>
          <w:rtl/>
        </w:rPr>
        <w:t>בקרקעות הכהנים בגלל מעמדם המיוחד. גם בחוקי חמורבי עולה היחס המועדף שקיבלו בעלי המעמדות, ומשום כך אדם המכה אשה עשירה והורג את ילדיה משלם עשרה שקלים, בעוד שהמכה אשה ענייה והורג את ילדיה משלם חמישה בלבד.</w:t>
      </w:r>
      <w:r w:rsidR="00537104">
        <w:rPr>
          <w:rFonts w:hint="cs"/>
          <w:rtl/>
        </w:rPr>
        <w:t xml:space="preserve"> </w:t>
      </w:r>
      <w:r w:rsidR="00FF5309">
        <w:rPr>
          <w:rFonts w:hint="cs"/>
          <w:rtl/>
        </w:rPr>
        <w:t>בחוקי התורה לעומת זאת, אין הבדל בין המעמדות בענייני עונשים</w:t>
      </w:r>
      <w:r w:rsidR="00B87457">
        <w:rPr>
          <w:rFonts w:hint="cs"/>
          <w:rtl/>
        </w:rPr>
        <w:t xml:space="preserve"> ובכל מקרה העונש דומה.</w:t>
      </w:r>
    </w:p>
    <w:p w14:paraId="07DB62E9" w14:textId="077A3044" w:rsidR="00441337" w:rsidRPr="00537104" w:rsidRDefault="00441337" w:rsidP="00537104">
      <w:pPr>
        <w:spacing w:after="80"/>
        <w:rPr>
          <w:rtl/>
        </w:rPr>
      </w:pPr>
      <w:r w:rsidRPr="00441337">
        <w:rPr>
          <w:rFonts w:hint="cs"/>
          <w:u w:val="single"/>
          <w:rtl/>
        </w:rPr>
        <w:t>טעם הדמיון</w:t>
      </w:r>
    </w:p>
    <w:p w14:paraId="12B6AC98" w14:textId="4A49918B" w:rsidR="00A50364" w:rsidRPr="00A50364" w:rsidRDefault="00441337" w:rsidP="0005479A">
      <w:pPr>
        <w:spacing w:after="80"/>
        <w:rPr>
          <w:rtl/>
        </w:rPr>
      </w:pPr>
      <w:r>
        <w:rPr>
          <w:rFonts w:hint="cs"/>
          <w:rtl/>
        </w:rPr>
        <w:t>כאמור, ישנם הבדלים מוסריים משמעותיים בין חוקי התורה ל</w:t>
      </w:r>
      <w:r w:rsidR="00B87457">
        <w:rPr>
          <w:rFonts w:hint="cs"/>
          <w:rtl/>
        </w:rPr>
        <w:t xml:space="preserve">בין </w:t>
      </w:r>
      <w:r>
        <w:rPr>
          <w:rFonts w:hint="cs"/>
          <w:rtl/>
        </w:rPr>
        <w:t xml:space="preserve">חוקי חמורבי, </w:t>
      </w:r>
      <w:r w:rsidR="00B87457">
        <w:rPr>
          <w:rFonts w:hint="cs"/>
          <w:rtl/>
        </w:rPr>
        <w:t>ו</w:t>
      </w:r>
      <w:r>
        <w:rPr>
          <w:rFonts w:hint="cs"/>
          <w:rtl/>
        </w:rPr>
        <w:t>בכל זאת אי אפשר להתעלם מהעובדה שבמקרים רבים לשון התורה דומה מאוד לחוקי חמור</w:t>
      </w:r>
      <w:r w:rsidR="00AC7FAC">
        <w:rPr>
          <w:rFonts w:hint="cs"/>
          <w:rtl/>
        </w:rPr>
        <w:t>ב</w:t>
      </w:r>
      <w:r>
        <w:rPr>
          <w:rFonts w:hint="cs"/>
          <w:rtl/>
        </w:rPr>
        <w:t xml:space="preserve">י. מדוע בחרה התורה להתנסח כך? </w:t>
      </w:r>
      <w:r w:rsidR="00B87457">
        <w:rPr>
          <w:rFonts w:hint="cs"/>
          <w:rtl/>
        </w:rPr>
        <w:t>ניתן היה</w:t>
      </w:r>
      <w:r>
        <w:rPr>
          <w:rFonts w:hint="cs"/>
          <w:rtl/>
        </w:rPr>
        <w:t xml:space="preserve"> לומר, שחוקי חמורבי העתיקו מהתורה ולא להפך, </w:t>
      </w:r>
      <w:r w:rsidR="00B87457">
        <w:rPr>
          <w:rFonts w:hint="cs"/>
          <w:rtl/>
        </w:rPr>
        <w:t>אלא</w:t>
      </w:r>
      <w:r>
        <w:rPr>
          <w:rFonts w:hint="cs"/>
          <w:rtl/>
        </w:rPr>
        <w:t xml:space="preserve"> </w:t>
      </w:r>
      <w:r w:rsidR="00B87457">
        <w:rPr>
          <w:rFonts w:hint="cs"/>
          <w:rtl/>
        </w:rPr>
        <w:t>ש</w:t>
      </w:r>
      <w:r>
        <w:rPr>
          <w:rFonts w:hint="cs"/>
          <w:rtl/>
        </w:rPr>
        <w:t xml:space="preserve">מבחינה היסטורית </w:t>
      </w:r>
      <w:r w:rsidR="007934E8">
        <w:rPr>
          <w:rFonts w:hint="cs"/>
          <w:rtl/>
        </w:rPr>
        <w:t>חוקי חמורבי וחוקים רבים נוספים קדמו</w:t>
      </w:r>
      <w:r w:rsidR="00EB38B0">
        <w:rPr>
          <w:rFonts w:hint="cs"/>
          <w:rtl/>
        </w:rPr>
        <w:t xml:space="preserve"> בשנים רבות</w:t>
      </w:r>
      <w:r w:rsidR="007934E8">
        <w:rPr>
          <w:rFonts w:hint="cs"/>
          <w:rtl/>
        </w:rPr>
        <w:t xml:space="preserve"> למעמד הר סיני.</w:t>
      </w:r>
    </w:p>
    <w:p w14:paraId="5B7195C4" w14:textId="03C66450" w:rsidR="00884BE2" w:rsidRDefault="0005479A" w:rsidP="004F2CF5">
      <w:pPr>
        <w:spacing w:after="80"/>
        <w:rPr>
          <w:rtl/>
        </w:rPr>
      </w:pPr>
      <w:r>
        <w:rPr>
          <w:rFonts w:hint="cs"/>
          <w:rtl/>
        </w:rPr>
        <w:t xml:space="preserve"> </w:t>
      </w:r>
      <w:r w:rsidR="004F2CF5">
        <w:rPr>
          <w:rFonts w:hint="cs"/>
          <w:rtl/>
        </w:rPr>
        <w:t xml:space="preserve">א. </w:t>
      </w:r>
      <w:r w:rsidR="00884BE2" w:rsidRPr="004F2CF5">
        <w:rPr>
          <w:rFonts w:hint="cs"/>
          <w:rtl/>
        </w:rPr>
        <w:t xml:space="preserve">ייתכן שהסיבה </w:t>
      </w:r>
      <w:r w:rsidR="00C45AED">
        <w:rPr>
          <w:rFonts w:hint="cs"/>
          <w:rtl/>
        </w:rPr>
        <w:t>לדמיון</w:t>
      </w:r>
      <w:r w:rsidR="00884BE2" w:rsidRPr="004F2CF5">
        <w:rPr>
          <w:rFonts w:hint="cs"/>
          <w:rtl/>
        </w:rPr>
        <w:t xml:space="preserve"> היא, שבצורה מעין זו היה יותר קל לעם ישראל לקבל את התורה - הלשון דומה, אבל עקרונות המוסר שונים</w:t>
      </w:r>
      <w:r w:rsidR="00921C74">
        <w:rPr>
          <w:rFonts w:hint="cs"/>
          <w:rtl/>
        </w:rPr>
        <w:t xml:space="preserve"> ומשודרגים</w:t>
      </w:r>
      <w:r w:rsidR="00884BE2" w:rsidRPr="004F2CF5">
        <w:rPr>
          <w:rFonts w:hint="cs"/>
          <w:rtl/>
        </w:rPr>
        <w:t xml:space="preserve">. בדומה לכך מופיע בדברי </w:t>
      </w:r>
      <w:r w:rsidR="00884BE2" w:rsidRPr="004F2CF5">
        <w:rPr>
          <w:rFonts w:hint="cs"/>
          <w:b/>
          <w:bCs/>
          <w:rtl/>
        </w:rPr>
        <w:t>הרמב''ם</w:t>
      </w:r>
      <w:r w:rsidR="00884BE2" w:rsidRPr="004F2CF5">
        <w:rPr>
          <w:rFonts w:hint="cs"/>
          <w:rtl/>
        </w:rPr>
        <w:t xml:space="preserve"> </w:t>
      </w:r>
      <w:r w:rsidR="00884BE2" w:rsidRPr="004F2CF5">
        <w:rPr>
          <w:rFonts w:hint="cs"/>
          <w:sz w:val="18"/>
          <w:szCs w:val="18"/>
          <w:rtl/>
        </w:rPr>
        <w:t xml:space="preserve">(מורה </w:t>
      </w:r>
      <w:r w:rsidR="004F2CF5" w:rsidRPr="004F2CF5">
        <w:rPr>
          <w:rFonts w:hint="cs"/>
          <w:sz w:val="18"/>
          <w:szCs w:val="18"/>
          <w:rtl/>
        </w:rPr>
        <w:t xml:space="preserve">נבוכים </w:t>
      </w:r>
      <w:r w:rsidR="00884BE2" w:rsidRPr="004F2CF5">
        <w:rPr>
          <w:rFonts w:hint="cs"/>
          <w:sz w:val="18"/>
          <w:szCs w:val="18"/>
          <w:rtl/>
        </w:rPr>
        <w:t>ג, לב)</w:t>
      </w:r>
      <w:r w:rsidR="00212B7F">
        <w:rPr>
          <w:rFonts w:hint="cs"/>
          <w:rtl/>
        </w:rPr>
        <w:t xml:space="preserve"> שכתב</w:t>
      </w:r>
      <w:r w:rsidR="00884BE2" w:rsidRPr="004F2CF5">
        <w:rPr>
          <w:rFonts w:hint="cs"/>
          <w:rtl/>
        </w:rPr>
        <w:t xml:space="preserve">, שלמעשה אין עניין לקב''ה בהקרבת קורבנות, </w:t>
      </w:r>
      <w:r w:rsidR="00B87457">
        <w:rPr>
          <w:rFonts w:hint="cs"/>
          <w:rtl/>
        </w:rPr>
        <w:t>ו</w:t>
      </w:r>
      <w:r w:rsidR="00884BE2" w:rsidRPr="004F2CF5">
        <w:rPr>
          <w:rFonts w:hint="cs"/>
          <w:rtl/>
        </w:rPr>
        <w:t xml:space="preserve">בכל זאת התורה </w:t>
      </w:r>
      <w:r w:rsidR="00B87457">
        <w:rPr>
          <w:rFonts w:hint="cs"/>
          <w:rtl/>
        </w:rPr>
        <w:t xml:space="preserve">התייחסה אליהם </w:t>
      </w:r>
      <w:r w:rsidR="0061293B">
        <w:rPr>
          <w:rFonts w:hint="cs"/>
          <w:rtl/>
        </w:rPr>
        <w:t>וצמצמה אותם לבית המקדש בלבד</w:t>
      </w:r>
      <w:r w:rsidR="00884BE2" w:rsidRPr="004F2CF5">
        <w:rPr>
          <w:rFonts w:hint="cs"/>
          <w:rtl/>
        </w:rPr>
        <w:t xml:space="preserve">, מכיוון </w:t>
      </w:r>
      <w:r w:rsidR="00E97186">
        <w:rPr>
          <w:rFonts w:hint="cs"/>
          <w:rtl/>
        </w:rPr>
        <w:t>שז</w:t>
      </w:r>
      <w:r w:rsidR="00C82357">
        <w:rPr>
          <w:rFonts w:hint="cs"/>
          <w:rtl/>
        </w:rPr>
        <w:t>ו</w:t>
      </w:r>
      <w:r w:rsidR="00884BE2" w:rsidRPr="004F2CF5">
        <w:rPr>
          <w:rFonts w:hint="cs"/>
          <w:rtl/>
        </w:rPr>
        <w:t xml:space="preserve"> הייתה צורת הפולחן המקובלת.</w:t>
      </w:r>
    </w:p>
    <w:p w14:paraId="03EF95C2" w14:textId="439E3C2B" w:rsidR="00625E65" w:rsidRPr="00287649" w:rsidRDefault="00B0617C" w:rsidP="00287649">
      <w:pPr>
        <w:spacing w:after="80"/>
        <w:rPr>
          <w:rtl/>
        </w:rPr>
      </w:pPr>
      <w:r>
        <w:rPr>
          <w:rFonts w:hint="cs"/>
          <w:rtl/>
        </w:rPr>
        <w:t xml:space="preserve">ב. אפשרות נוספת העלה </w:t>
      </w:r>
      <w:r w:rsidRPr="00B0617C">
        <w:rPr>
          <w:rFonts w:hint="cs"/>
          <w:b/>
          <w:bCs/>
          <w:rtl/>
        </w:rPr>
        <w:t>הרב קוק</w:t>
      </w:r>
      <w:r>
        <w:rPr>
          <w:rFonts w:hint="cs"/>
          <w:rtl/>
        </w:rPr>
        <w:t xml:space="preserve"> </w:t>
      </w:r>
      <w:r>
        <w:rPr>
          <w:rFonts w:hint="cs"/>
          <w:sz w:val="18"/>
          <w:szCs w:val="18"/>
          <w:rtl/>
        </w:rPr>
        <w:t>(אדר היקר עמ' מב)</w:t>
      </w:r>
      <w:r>
        <w:rPr>
          <w:rFonts w:hint="cs"/>
          <w:rtl/>
        </w:rPr>
        <w:t xml:space="preserve">, שמכיוון שהאדם נברא </w:t>
      </w:r>
      <w:r w:rsidR="00122F74">
        <w:rPr>
          <w:rFonts w:hint="cs"/>
          <w:rtl/>
        </w:rPr>
        <w:t xml:space="preserve">על ידי האלוקים </w:t>
      </w:r>
      <w:r w:rsidR="00B87457">
        <w:rPr>
          <w:rFonts w:hint="cs"/>
          <w:rtl/>
        </w:rPr>
        <w:t xml:space="preserve">כישות </w:t>
      </w:r>
      <w:r>
        <w:rPr>
          <w:rFonts w:hint="cs"/>
          <w:rtl/>
        </w:rPr>
        <w:t>ישר</w:t>
      </w:r>
      <w:r w:rsidR="00B87457">
        <w:rPr>
          <w:rFonts w:hint="cs"/>
          <w:rtl/>
        </w:rPr>
        <w:t>ה</w:t>
      </w:r>
      <w:r>
        <w:rPr>
          <w:rFonts w:hint="cs"/>
          <w:rtl/>
        </w:rPr>
        <w:t xml:space="preserve"> ובעל היגיון - ייתכן שבחוקי הגויים ישנם </w:t>
      </w:r>
      <w:r w:rsidR="00122F74">
        <w:rPr>
          <w:rFonts w:hint="cs"/>
          <w:rtl/>
        </w:rPr>
        <w:t>דברים נכונים שהקב''ה הכניס לתוך התורה.</w:t>
      </w:r>
      <w:r w:rsidR="00F60597">
        <w:rPr>
          <w:rFonts w:hint="cs"/>
          <w:rtl/>
        </w:rPr>
        <w:t xml:space="preserve"> יש להעיר, שפירוש זה היה יותר מסתבר בזמנו של הרב קוק, </w:t>
      </w:r>
      <w:proofErr w:type="spellStart"/>
      <w:r w:rsidR="00AC7FAC">
        <w:rPr>
          <w:rFonts w:hint="cs"/>
          <w:rtl/>
        </w:rPr>
        <w:t>כ</w:t>
      </w:r>
      <w:r w:rsidR="00F60597">
        <w:rPr>
          <w:rFonts w:hint="cs"/>
          <w:rtl/>
        </w:rPr>
        <w:t>שלא</w:t>
      </w:r>
      <w:proofErr w:type="spellEnd"/>
      <w:r w:rsidR="00F60597">
        <w:rPr>
          <w:rFonts w:hint="cs"/>
          <w:rtl/>
        </w:rPr>
        <w:t xml:space="preserve"> נודעו ההבדלים הגדולים בין סוגי החוקים אותם ראינו לעיל, ובזמנינו ההבדלים המוסרים ניכרים.</w:t>
      </w:r>
    </w:p>
    <w:p w14:paraId="4F2936C7" w14:textId="1BB6A286" w:rsidR="00625E65" w:rsidRDefault="00CC26F2" w:rsidP="0005479A">
      <w:pPr>
        <w:spacing w:after="80"/>
        <w:rPr>
          <w:bCs/>
          <w:u w:val="single"/>
          <w:rtl/>
        </w:rPr>
      </w:pPr>
      <w:r>
        <w:rPr>
          <w:rFonts w:hint="cs"/>
          <w:bCs/>
          <w:u w:val="single"/>
          <w:rtl/>
        </w:rPr>
        <w:t>סיפור המבול</w:t>
      </w:r>
    </w:p>
    <w:p w14:paraId="5841C3AB" w14:textId="4E9844B4" w:rsidR="00625E65" w:rsidRDefault="00B87457" w:rsidP="0005479A">
      <w:pPr>
        <w:spacing w:after="80"/>
        <w:rPr>
          <w:b/>
          <w:rtl/>
        </w:rPr>
      </w:pPr>
      <w:r>
        <w:rPr>
          <w:rFonts w:hint="cs"/>
          <w:b/>
          <w:rtl/>
        </w:rPr>
        <w:t>ענין</w:t>
      </w:r>
      <w:r w:rsidR="007941F1">
        <w:rPr>
          <w:rFonts w:hint="cs"/>
          <w:b/>
          <w:rtl/>
        </w:rPr>
        <w:t xml:space="preserve"> נוסף</w:t>
      </w:r>
      <w:r w:rsidR="00EF416F">
        <w:rPr>
          <w:rFonts w:hint="cs"/>
          <w:b/>
          <w:rtl/>
        </w:rPr>
        <w:t xml:space="preserve"> בו יש דמיון בין סיפור התורה לסיפורי אומות העולם</w:t>
      </w:r>
      <w:r w:rsidR="00AC1F44">
        <w:rPr>
          <w:rFonts w:hint="cs"/>
          <w:b/>
          <w:rtl/>
        </w:rPr>
        <w:t xml:space="preserve"> </w:t>
      </w:r>
      <w:r w:rsidR="008E63C8">
        <w:rPr>
          <w:rFonts w:hint="cs"/>
          <w:b/>
          <w:rtl/>
        </w:rPr>
        <w:t>(</w:t>
      </w:r>
      <w:r w:rsidR="00AC1F44">
        <w:rPr>
          <w:rFonts w:hint="cs"/>
          <w:b/>
          <w:rtl/>
        </w:rPr>
        <w:t>ובמקרה הזה עלילות גילגמש</w:t>
      </w:r>
      <w:r w:rsidR="008E63C8">
        <w:rPr>
          <w:rFonts w:hint="cs"/>
          <w:b/>
          <w:rtl/>
        </w:rPr>
        <w:t>)</w:t>
      </w:r>
      <w:r w:rsidR="00EF416F">
        <w:rPr>
          <w:rFonts w:hint="cs"/>
          <w:b/>
          <w:rtl/>
        </w:rPr>
        <w:t xml:space="preserve"> הוא סיפור על מבול שמכלה את העולם. עלילות גילגמש הם מספר קבצים המתוארכים </w:t>
      </w:r>
      <w:r w:rsidR="008E63C8">
        <w:rPr>
          <w:rFonts w:hint="cs"/>
          <w:b/>
          <w:rtl/>
        </w:rPr>
        <w:t xml:space="preserve">לפני </w:t>
      </w:r>
      <w:r w:rsidR="00EF416F">
        <w:rPr>
          <w:rFonts w:hint="cs"/>
          <w:b/>
          <w:rtl/>
        </w:rPr>
        <w:t>ארבעת אלפים שנה</w:t>
      </w:r>
      <w:r w:rsidR="008D3C04">
        <w:rPr>
          <w:rFonts w:hint="cs"/>
          <w:b/>
          <w:rtl/>
        </w:rPr>
        <w:t>, כאשר</w:t>
      </w:r>
      <w:r w:rsidR="00EF416F">
        <w:rPr>
          <w:rFonts w:hint="cs"/>
          <w:b/>
          <w:rtl/>
        </w:rPr>
        <w:t xml:space="preserve"> בחלק הראשון</w:t>
      </w:r>
      <w:r w:rsidR="008D3C04">
        <w:rPr>
          <w:rFonts w:hint="cs"/>
          <w:b/>
          <w:rtl/>
        </w:rPr>
        <w:t xml:space="preserve"> </w:t>
      </w:r>
      <w:r w:rsidR="008E63C8">
        <w:rPr>
          <w:rFonts w:hint="cs"/>
          <w:b/>
          <w:rtl/>
        </w:rPr>
        <w:t>ב</w:t>
      </w:r>
      <w:r w:rsidR="008D3C04">
        <w:rPr>
          <w:rFonts w:hint="cs"/>
          <w:b/>
          <w:rtl/>
        </w:rPr>
        <w:t xml:space="preserve">קובץ זה (ובסיפורים נוספים) מסופר על מבול </w:t>
      </w:r>
      <w:r w:rsidR="008E63C8">
        <w:rPr>
          <w:rFonts w:hint="cs"/>
          <w:b/>
          <w:rtl/>
        </w:rPr>
        <w:t>ה</w:t>
      </w:r>
      <w:r w:rsidR="008D3C04">
        <w:rPr>
          <w:rFonts w:hint="cs"/>
          <w:b/>
          <w:rtl/>
        </w:rPr>
        <w:t xml:space="preserve">מכלה את העולם - ממש כמו בסיפור התורה. אמנם, גם כאן </w:t>
      </w:r>
      <w:r w:rsidR="008E63C8">
        <w:rPr>
          <w:rFonts w:hint="cs"/>
          <w:b/>
          <w:rtl/>
        </w:rPr>
        <w:t>קיימים</w:t>
      </w:r>
      <w:r w:rsidR="008D3C04">
        <w:rPr>
          <w:rFonts w:hint="cs"/>
          <w:b/>
          <w:rtl/>
        </w:rPr>
        <w:t xml:space="preserve"> מספר הבדלים משמעותיים:</w:t>
      </w:r>
    </w:p>
    <w:p w14:paraId="217A2FFB" w14:textId="34616AC0" w:rsidR="00AC5380" w:rsidRDefault="005E47DA" w:rsidP="00AC5380">
      <w:pPr>
        <w:spacing w:after="80"/>
        <w:rPr>
          <w:b/>
          <w:rtl/>
        </w:rPr>
      </w:pPr>
      <w:r w:rsidRPr="005E47DA">
        <w:rPr>
          <w:rFonts w:hint="cs"/>
          <w:b/>
          <w:rtl/>
        </w:rPr>
        <w:t>א.</w:t>
      </w:r>
      <w:r w:rsidRPr="005E47DA">
        <w:rPr>
          <w:rFonts w:hint="cs"/>
          <w:bCs/>
          <w:rtl/>
        </w:rPr>
        <w:t xml:space="preserve"> טעם המבול</w:t>
      </w:r>
      <w:r>
        <w:rPr>
          <w:rFonts w:hint="cs"/>
          <w:b/>
          <w:rtl/>
        </w:rPr>
        <w:t>:</w:t>
      </w:r>
      <w:r w:rsidR="00140392">
        <w:rPr>
          <w:rFonts w:hint="cs"/>
          <w:b/>
          <w:rtl/>
        </w:rPr>
        <w:t xml:space="preserve"> הבדל ראשון משמעותי בין הסיפורים, הוא הטעם למבול. בתורה מסופר בפרשת נח שהסיבה למבול היא מוסרית,</w:t>
      </w:r>
      <w:r w:rsidR="00AC5380">
        <w:rPr>
          <w:rFonts w:hint="cs"/>
          <w:b/>
          <w:rtl/>
        </w:rPr>
        <w:t xml:space="preserve"> בני האדם גזלו חמסו</w:t>
      </w:r>
      <w:r w:rsidR="008E63C8">
        <w:rPr>
          <w:rFonts w:hint="cs"/>
          <w:b/>
          <w:rtl/>
        </w:rPr>
        <w:t xml:space="preserve">. </w:t>
      </w:r>
      <w:r w:rsidR="00AC5380">
        <w:rPr>
          <w:rFonts w:hint="cs"/>
          <w:b/>
          <w:rtl/>
        </w:rPr>
        <w:t xml:space="preserve">לעומת זאת בעלילות גילגמש לא מובא נימוק מוסרי לטעם המבול, והאלים בוחרים כרצונם לעשותו. גם בסיפור </w:t>
      </w:r>
      <w:proofErr w:type="spellStart"/>
      <w:r w:rsidR="00AC5380">
        <w:rPr>
          <w:rFonts w:hint="cs"/>
          <w:b/>
          <w:rtl/>
        </w:rPr>
        <w:t>אתחרתסיס</w:t>
      </w:r>
      <w:proofErr w:type="spellEnd"/>
      <w:r w:rsidR="00AC5380">
        <w:rPr>
          <w:rFonts w:hint="cs"/>
          <w:b/>
          <w:rtl/>
        </w:rPr>
        <w:t xml:space="preserve"> מובא הטעם למבול, שבני האדם עשו רעש לאלים והפריעו להם</w:t>
      </w:r>
      <w:r w:rsidR="007B18B4">
        <w:rPr>
          <w:rFonts w:hint="cs"/>
          <w:b/>
          <w:rtl/>
        </w:rPr>
        <w:t>,</w:t>
      </w:r>
      <w:r w:rsidR="007939D5">
        <w:rPr>
          <w:rFonts w:hint="cs"/>
          <w:b/>
          <w:rtl/>
        </w:rPr>
        <w:t xml:space="preserve"> </w:t>
      </w:r>
      <w:r w:rsidR="008E63C8">
        <w:rPr>
          <w:rFonts w:hint="cs"/>
          <w:b/>
          <w:rtl/>
        </w:rPr>
        <w:t xml:space="preserve">לעומת זאת </w:t>
      </w:r>
      <w:r w:rsidR="007939D5">
        <w:rPr>
          <w:rFonts w:hint="cs"/>
          <w:b/>
          <w:rtl/>
        </w:rPr>
        <w:t>בלשון התורה:</w:t>
      </w:r>
    </w:p>
    <w:p w14:paraId="3A46B4C9" w14:textId="489B9093" w:rsidR="00DD5293" w:rsidRPr="00DD5293" w:rsidRDefault="00DD5293" w:rsidP="00DD5293">
      <w:pPr>
        <w:spacing w:after="80"/>
        <w:ind w:left="720"/>
        <w:rPr>
          <w:rFonts w:cs="Arial"/>
          <w:b/>
          <w:rtl/>
        </w:rPr>
      </w:pPr>
      <w:r>
        <w:rPr>
          <w:rFonts w:cs="Arial" w:hint="cs"/>
          <w:b/>
          <w:rtl/>
        </w:rPr>
        <w:t>''</w:t>
      </w:r>
      <w:r w:rsidR="008D0A99">
        <w:rPr>
          <w:rFonts w:cs="Arial" w:hint="cs"/>
          <w:b/>
          <w:rtl/>
        </w:rPr>
        <w:t xml:space="preserve">אלה תולדות נח, נח איש צדיק תמים היה בדורותיו, את האלוקים התהלך נח. ויולד נח שלושה בנים את שם, את חם ואת יפת. </w:t>
      </w:r>
      <w:r>
        <w:rPr>
          <w:rFonts w:cs="Arial" w:hint="cs"/>
          <w:b/>
          <w:rtl/>
        </w:rPr>
        <w:t xml:space="preserve">ותשחת הארץ לפני האלוקים, ותמלא הארץ חמס. וירא אלוקים את הארץ והנה נשחתה, כי השחית כל בשר את דרכו על הארץ. </w:t>
      </w:r>
      <w:r w:rsidR="008D0A99">
        <w:rPr>
          <w:rFonts w:cs="Arial" w:hint="cs"/>
          <w:b/>
          <w:rtl/>
        </w:rPr>
        <w:t xml:space="preserve">ויאמר אלוקים לנוח קץ כל בשר בא לפני כי מלאה הארץ חמס מפניהם, והנני משחיתם את הארץ.'' </w:t>
      </w:r>
      <w:r>
        <w:rPr>
          <w:rFonts w:cs="Arial" w:hint="cs"/>
          <w:b/>
          <w:rtl/>
        </w:rPr>
        <w:t xml:space="preserve"> </w:t>
      </w:r>
    </w:p>
    <w:p w14:paraId="0AEA9DDA" w14:textId="26CC7947" w:rsidR="00F50BF5" w:rsidRDefault="00F50BF5" w:rsidP="006C2D57">
      <w:pPr>
        <w:spacing w:after="80"/>
        <w:rPr>
          <w:b/>
          <w:rtl/>
        </w:rPr>
      </w:pPr>
      <w:r>
        <w:rPr>
          <w:rFonts w:hint="cs"/>
          <w:b/>
          <w:rtl/>
        </w:rPr>
        <w:t xml:space="preserve">השלכה ישירה לטעם זה היא, מי ניצל במבול ומדוע. </w:t>
      </w:r>
      <w:r w:rsidR="006919B1">
        <w:rPr>
          <w:rFonts w:hint="cs"/>
          <w:b/>
          <w:rtl/>
        </w:rPr>
        <w:t xml:space="preserve">כפי שראינו בדברי </w:t>
      </w:r>
      <w:r>
        <w:rPr>
          <w:rFonts w:hint="cs"/>
          <w:b/>
          <w:rtl/>
        </w:rPr>
        <w:t xml:space="preserve">התורה, </w:t>
      </w:r>
      <w:r w:rsidR="008E63C8">
        <w:rPr>
          <w:rFonts w:hint="cs"/>
          <w:b/>
          <w:rtl/>
        </w:rPr>
        <w:t xml:space="preserve">סיבת המבול הייתה קלקול מוסרי ולכן </w:t>
      </w:r>
      <w:r>
        <w:rPr>
          <w:rFonts w:hint="cs"/>
          <w:b/>
          <w:rtl/>
        </w:rPr>
        <w:t xml:space="preserve"> </w:t>
      </w:r>
      <w:r w:rsidR="006C2D57">
        <w:rPr>
          <w:rFonts w:hint="cs"/>
          <w:b/>
          <w:rtl/>
        </w:rPr>
        <w:t xml:space="preserve">דווקא </w:t>
      </w:r>
      <w:r>
        <w:rPr>
          <w:rFonts w:hint="cs"/>
          <w:b/>
          <w:rtl/>
        </w:rPr>
        <w:t xml:space="preserve">נח ניצל </w:t>
      </w:r>
      <w:r w:rsidR="008E63C8">
        <w:rPr>
          <w:rFonts w:hint="cs"/>
          <w:b/>
          <w:rtl/>
        </w:rPr>
        <w:t xml:space="preserve">משום </w:t>
      </w:r>
      <w:r w:rsidR="006C2D57">
        <w:rPr>
          <w:rFonts w:hint="cs"/>
          <w:b/>
          <w:rtl/>
        </w:rPr>
        <w:t xml:space="preserve"> </w:t>
      </w:r>
      <w:r w:rsidR="008E63C8">
        <w:rPr>
          <w:rFonts w:hint="cs"/>
          <w:b/>
          <w:rtl/>
        </w:rPr>
        <w:t xml:space="preserve">שהיה </w:t>
      </w:r>
      <w:r w:rsidR="006C2D57">
        <w:rPr>
          <w:rFonts w:hint="cs"/>
          <w:b/>
          <w:rtl/>
        </w:rPr>
        <w:t xml:space="preserve">צדיק תמים בדורותיו, לעומת זאת בעלילות גילגמש ניצל </w:t>
      </w:r>
      <w:proofErr w:type="spellStart"/>
      <w:r w:rsidR="006C2D57" w:rsidRPr="006C2D57">
        <w:rPr>
          <w:b/>
          <w:rtl/>
        </w:rPr>
        <w:t>אותנפישתים</w:t>
      </w:r>
      <w:proofErr w:type="spellEnd"/>
      <w:r w:rsidR="006C2D57">
        <w:rPr>
          <w:rFonts w:hint="cs"/>
          <w:b/>
          <w:rtl/>
        </w:rPr>
        <w:t xml:space="preserve"> </w:t>
      </w:r>
      <w:r w:rsidR="008E63C8">
        <w:rPr>
          <w:rFonts w:hint="cs"/>
          <w:b/>
          <w:rtl/>
        </w:rPr>
        <w:t xml:space="preserve">באופן </w:t>
      </w:r>
      <w:r w:rsidR="006C2D57">
        <w:rPr>
          <w:rFonts w:hint="cs"/>
          <w:b/>
          <w:rtl/>
        </w:rPr>
        <w:t xml:space="preserve">אקראי, </w:t>
      </w:r>
      <w:r w:rsidR="008E63C8">
        <w:rPr>
          <w:rFonts w:hint="cs"/>
          <w:b/>
          <w:rtl/>
        </w:rPr>
        <w:t>כשם</w:t>
      </w:r>
      <w:r w:rsidR="008111FE">
        <w:rPr>
          <w:rFonts w:hint="cs"/>
          <w:b/>
          <w:rtl/>
        </w:rPr>
        <w:t xml:space="preserve"> שהמבול היה אקראי </w:t>
      </w:r>
      <w:r w:rsidR="008E63C8">
        <w:rPr>
          <w:rFonts w:hint="cs"/>
          <w:b/>
          <w:rtl/>
        </w:rPr>
        <w:t xml:space="preserve">ורק </w:t>
      </w:r>
      <w:r w:rsidR="008111FE">
        <w:rPr>
          <w:rFonts w:hint="cs"/>
          <w:b/>
          <w:rtl/>
        </w:rPr>
        <w:t>בגלל רצון האלים.</w:t>
      </w:r>
    </w:p>
    <w:p w14:paraId="646B6C9A" w14:textId="0D556200" w:rsidR="00F179A9" w:rsidRDefault="007939D5" w:rsidP="000316E2">
      <w:pPr>
        <w:spacing w:after="80"/>
        <w:rPr>
          <w:b/>
          <w:rtl/>
        </w:rPr>
      </w:pPr>
      <w:r w:rsidRPr="007939D5">
        <w:rPr>
          <w:rFonts w:hint="cs"/>
          <w:b/>
          <w:rtl/>
        </w:rPr>
        <w:t>ב.</w:t>
      </w:r>
      <w:r w:rsidRPr="007939D5">
        <w:rPr>
          <w:rFonts w:hint="cs"/>
          <w:bCs/>
          <w:rtl/>
        </w:rPr>
        <w:t xml:space="preserve"> הקרבת הקרבן</w:t>
      </w:r>
      <w:r>
        <w:rPr>
          <w:rFonts w:hint="cs"/>
          <w:b/>
          <w:rtl/>
        </w:rPr>
        <w:t>:</w:t>
      </w:r>
      <w:r w:rsidR="00AC5380">
        <w:rPr>
          <w:rFonts w:hint="cs"/>
          <w:b/>
          <w:rtl/>
        </w:rPr>
        <w:t xml:space="preserve"> </w:t>
      </w:r>
      <w:r w:rsidR="001619F7">
        <w:rPr>
          <w:rFonts w:hint="cs"/>
          <w:b/>
          <w:rtl/>
        </w:rPr>
        <w:t xml:space="preserve">לאחר שנח יוצא מהתיבה, הוא מקריב </w:t>
      </w:r>
      <w:r w:rsidR="002C59D2">
        <w:rPr>
          <w:rFonts w:hint="cs"/>
          <w:b/>
          <w:rtl/>
        </w:rPr>
        <w:t xml:space="preserve">קרבן לה' שמריח את ריח הניחוח. לעומת זאת בסיפור </w:t>
      </w:r>
      <w:r w:rsidR="000316E2">
        <w:rPr>
          <w:rFonts w:hint="cs"/>
          <w:b/>
          <w:rtl/>
        </w:rPr>
        <w:t xml:space="preserve">עלילות </w:t>
      </w:r>
      <w:proofErr w:type="spellStart"/>
      <w:r w:rsidR="000316E2">
        <w:rPr>
          <w:rFonts w:hint="cs"/>
          <w:b/>
          <w:rtl/>
        </w:rPr>
        <w:t>גילגמיש</w:t>
      </w:r>
      <w:proofErr w:type="spellEnd"/>
      <w:r w:rsidR="000316E2">
        <w:rPr>
          <w:rFonts w:hint="cs"/>
          <w:b/>
          <w:rtl/>
        </w:rPr>
        <w:t xml:space="preserve"> מסופר, שלאחר שהקריב </w:t>
      </w:r>
      <w:proofErr w:type="spellStart"/>
      <w:r w:rsidR="000316E2" w:rsidRPr="000316E2">
        <w:rPr>
          <w:b/>
          <w:rtl/>
        </w:rPr>
        <w:t>אותנפישתים</w:t>
      </w:r>
      <w:proofErr w:type="spellEnd"/>
      <w:r w:rsidR="000316E2">
        <w:rPr>
          <w:rFonts w:hint="cs"/>
          <w:b/>
          <w:rtl/>
        </w:rPr>
        <w:t xml:space="preserve"> את הקרבן עטו עליו האלים המורעבים שלא אכלו במהלך כל המבול ''כמו זבובים''. ההבדל בין הסיפורים נובע מתפיסת העולם האלילית שרווחה בשאר העולם, ל</w:t>
      </w:r>
      <w:r w:rsidR="008E63C8">
        <w:rPr>
          <w:rFonts w:hint="cs"/>
          <w:b/>
          <w:rtl/>
        </w:rPr>
        <w:t xml:space="preserve">בין </w:t>
      </w:r>
      <w:r w:rsidR="000316E2">
        <w:rPr>
          <w:rFonts w:hint="cs"/>
          <w:b/>
          <w:rtl/>
        </w:rPr>
        <w:t xml:space="preserve">תפיסת העולם היהודית המופשטת. </w:t>
      </w:r>
      <w:r w:rsidR="002C59D2">
        <w:rPr>
          <w:rFonts w:hint="cs"/>
          <w:b/>
          <w:rtl/>
        </w:rPr>
        <w:t xml:space="preserve"> </w:t>
      </w:r>
    </w:p>
    <w:p w14:paraId="32520B79" w14:textId="2E491BF0" w:rsidR="00F179A9" w:rsidRPr="009641CB" w:rsidRDefault="00851E73" w:rsidP="0005479A">
      <w:pPr>
        <w:spacing w:after="80"/>
        <w:rPr>
          <w:b/>
          <w:rtl/>
        </w:rPr>
      </w:pPr>
      <w:r>
        <w:rPr>
          <w:rFonts w:hint="cs"/>
          <w:b/>
          <w:rtl/>
        </w:rPr>
        <w:t>על בסיס אותו עיקרון שהאלים מגלמים למעשה מעין בני אדם חזקים</w:t>
      </w:r>
      <w:r w:rsidR="008E63C8">
        <w:rPr>
          <w:rFonts w:hint="cs"/>
          <w:b/>
          <w:rtl/>
        </w:rPr>
        <w:t>,</w:t>
      </w:r>
      <w:r>
        <w:rPr>
          <w:rFonts w:hint="cs"/>
          <w:b/>
          <w:rtl/>
        </w:rPr>
        <w:t xml:space="preserve"> מובא בסיפור</w:t>
      </w:r>
      <w:r w:rsidR="008E63C8">
        <w:rPr>
          <w:rFonts w:hint="cs"/>
          <w:b/>
          <w:rtl/>
        </w:rPr>
        <w:t xml:space="preserve"> ש</w:t>
      </w:r>
      <w:r>
        <w:rPr>
          <w:rFonts w:hint="cs"/>
          <w:b/>
          <w:rtl/>
        </w:rPr>
        <w:t xml:space="preserve">האלים </w:t>
      </w:r>
      <w:r w:rsidR="008E63C8">
        <w:rPr>
          <w:rFonts w:hint="cs"/>
          <w:b/>
          <w:rtl/>
        </w:rPr>
        <w:t xml:space="preserve">עצמם גם </w:t>
      </w:r>
      <w:r>
        <w:rPr>
          <w:rFonts w:hint="cs"/>
          <w:b/>
          <w:rtl/>
        </w:rPr>
        <w:t>מפחדים מפני המבול ש</w:t>
      </w:r>
      <w:r w:rsidR="008E63C8">
        <w:rPr>
          <w:rFonts w:hint="cs"/>
          <w:b/>
          <w:rtl/>
        </w:rPr>
        <w:t>גרמו</w:t>
      </w:r>
      <w:r>
        <w:rPr>
          <w:rFonts w:hint="cs"/>
          <w:b/>
          <w:rtl/>
        </w:rPr>
        <w:t xml:space="preserve">. הם נסוגים ומבקשים מפלט אצל 'אנו', האל הנמצא בשמיים. כמו כן חלקם בוכים על מות בני האדם. בסיפור התורה לעומת זאת, כמובן </w:t>
      </w:r>
      <w:r w:rsidR="008E63C8">
        <w:rPr>
          <w:rFonts w:hint="cs"/>
          <w:b/>
          <w:rtl/>
        </w:rPr>
        <w:t>אין לכך רמז</w:t>
      </w:r>
      <w:r w:rsidR="004801B7">
        <w:rPr>
          <w:rFonts w:hint="cs"/>
          <w:b/>
          <w:rtl/>
        </w:rPr>
        <w:t xml:space="preserve"> </w:t>
      </w:r>
      <w:r w:rsidR="004801B7">
        <w:rPr>
          <w:rFonts w:hint="cs"/>
          <w:b/>
          <w:sz w:val="18"/>
          <w:szCs w:val="18"/>
          <w:rtl/>
        </w:rPr>
        <w:t>(ועל אף שגם בתורה ישנם ביטויים מגשימים, מכל מקום ניסו</w:t>
      </w:r>
      <w:r w:rsidR="00252ABF">
        <w:rPr>
          <w:rFonts w:hint="cs"/>
          <w:b/>
          <w:sz w:val="18"/>
          <w:szCs w:val="18"/>
          <w:rtl/>
        </w:rPr>
        <w:t xml:space="preserve"> </w:t>
      </w:r>
      <w:r w:rsidR="004801B7">
        <w:rPr>
          <w:rFonts w:hint="cs"/>
          <w:b/>
          <w:sz w:val="18"/>
          <w:szCs w:val="18"/>
          <w:rtl/>
        </w:rPr>
        <w:t>להוציאם מהגשמות, מה שאין כן אצל האלים</w:t>
      </w:r>
      <w:r w:rsidR="001D3BA9" w:rsidRPr="002908D2">
        <w:rPr>
          <w:rStyle w:val="a5"/>
          <w:b/>
          <w:rtl/>
        </w:rPr>
        <w:footnoteReference w:id="3"/>
      </w:r>
      <w:r w:rsidR="004801B7">
        <w:rPr>
          <w:rFonts w:hint="cs"/>
          <w:b/>
          <w:sz w:val="18"/>
          <w:szCs w:val="18"/>
          <w:rtl/>
        </w:rPr>
        <w:t>)</w:t>
      </w:r>
      <w:r>
        <w:rPr>
          <w:rFonts w:hint="cs"/>
          <w:b/>
          <w:rtl/>
        </w:rPr>
        <w:t>.</w:t>
      </w:r>
    </w:p>
    <w:p w14:paraId="5746C0A5" w14:textId="2A3EC756" w:rsidR="00F179A9" w:rsidRPr="00A32E51" w:rsidRDefault="00F179A9" w:rsidP="00A32E51">
      <w:pPr>
        <w:spacing w:after="80"/>
        <w:rPr>
          <w:b/>
          <w:bCs/>
          <w:rtl/>
        </w:rPr>
      </w:pPr>
      <w:r>
        <w:rPr>
          <w:rFonts w:hint="cs"/>
          <w:b/>
          <w:bCs/>
          <w:rtl/>
        </w:rPr>
        <w:t>ש</w:t>
      </w:r>
      <w:r>
        <w:rPr>
          <w:b/>
          <w:bCs/>
          <w:rtl/>
        </w:rPr>
        <w:t xml:space="preserve">בת שלום! קח לקרוא בשולחן שבת, או תעביר בבקשה הלאה </w:t>
      </w:r>
      <w:r>
        <w:rPr>
          <w:rFonts w:hint="cs"/>
          <w:b/>
          <w:bCs/>
          <w:rtl/>
        </w:rPr>
        <w:t xml:space="preserve">על מנת </w:t>
      </w:r>
      <w:r>
        <w:rPr>
          <w:b/>
          <w:bCs/>
          <w:rtl/>
        </w:rPr>
        <w:t>שעוד אנשים יקראו</w:t>
      </w:r>
      <w:r>
        <w:rPr>
          <w:rStyle w:val="a5"/>
          <w:sz w:val="26"/>
          <w:szCs w:val="26"/>
        </w:rPr>
        <w:footnoteReference w:id="4"/>
      </w:r>
      <w:r>
        <w:rPr>
          <w:b/>
          <w:bCs/>
          <w:rtl/>
        </w:rPr>
        <w:t xml:space="preserve">... </w:t>
      </w:r>
    </w:p>
    <w:sectPr w:rsidR="00F179A9" w:rsidRPr="00A32E51" w:rsidSect="00A36537">
      <w:pgSz w:w="11906" w:h="16838"/>
      <w:pgMar w:top="720" w:right="737" w:bottom="822" w:left="737"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F1B1FF" w14:textId="77777777" w:rsidR="00CC0226" w:rsidRDefault="00CC0226" w:rsidP="007E50EE">
      <w:pPr>
        <w:spacing w:after="0" w:line="240" w:lineRule="auto"/>
      </w:pPr>
      <w:r>
        <w:separator/>
      </w:r>
    </w:p>
  </w:endnote>
  <w:endnote w:type="continuationSeparator" w:id="0">
    <w:p w14:paraId="33D06AC1" w14:textId="77777777" w:rsidR="00CC0226" w:rsidRDefault="00CC0226" w:rsidP="007E50EE">
      <w:pPr>
        <w:spacing w:after="0" w:line="240" w:lineRule="auto"/>
      </w:pPr>
      <w:r>
        <w:continuationSeparator/>
      </w:r>
    </w:p>
  </w:endnote>
  <w:endnote w:type="continuationNotice" w:id="1">
    <w:p w14:paraId="4C3F92D1" w14:textId="77777777" w:rsidR="00CC0226" w:rsidRDefault="00CC022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5047A2" w14:textId="77777777" w:rsidR="00CC0226" w:rsidRDefault="00CC0226" w:rsidP="007E50EE">
      <w:pPr>
        <w:spacing w:after="0" w:line="240" w:lineRule="auto"/>
      </w:pPr>
      <w:r>
        <w:separator/>
      </w:r>
    </w:p>
  </w:footnote>
  <w:footnote w:type="continuationSeparator" w:id="0">
    <w:p w14:paraId="7EA0DE78" w14:textId="77777777" w:rsidR="00CC0226" w:rsidRDefault="00CC0226" w:rsidP="007E50EE">
      <w:pPr>
        <w:spacing w:after="0" w:line="240" w:lineRule="auto"/>
      </w:pPr>
      <w:r>
        <w:continuationSeparator/>
      </w:r>
    </w:p>
  </w:footnote>
  <w:footnote w:type="continuationNotice" w:id="1">
    <w:p w14:paraId="61169E87" w14:textId="77777777" w:rsidR="00CC0226" w:rsidRDefault="00CC0226">
      <w:pPr>
        <w:spacing w:after="0" w:line="240" w:lineRule="auto"/>
      </w:pPr>
    </w:p>
  </w:footnote>
  <w:footnote w:id="2">
    <w:p w14:paraId="37FC0117" w14:textId="318E096A" w:rsidR="00314108" w:rsidRDefault="00314108">
      <w:pPr>
        <w:pStyle w:val="a3"/>
        <w:rPr>
          <w:rtl/>
        </w:rPr>
      </w:pPr>
      <w:r>
        <w:rPr>
          <w:rStyle w:val="a5"/>
        </w:rPr>
        <w:footnoteRef/>
      </w:r>
      <w:r>
        <w:rPr>
          <w:rtl/>
        </w:rPr>
        <w:t xml:space="preserve"> </w:t>
      </w:r>
      <w:r>
        <w:rPr>
          <w:rFonts w:hint="cs"/>
          <w:rtl/>
        </w:rPr>
        <w:t xml:space="preserve">כיום הקובץ נמצא במוזיאון הלובר בפריז. </w:t>
      </w:r>
      <w:r w:rsidR="00395F06">
        <w:rPr>
          <w:rFonts w:hint="cs"/>
          <w:rtl/>
        </w:rPr>
        <w:t>גודלו</w:t>
      </w:r>
      <w:r>
        <w:rPr>
          <w:rFonts w:hint="cs"/>
          <w:rtl/>
        </w:rPr>
        <w:t xml:space="preserve"> של קובץ החוקים החרוט על האבן יותר משני מטרים, והקיפו במקום הרחב ביותר כמעט שני מטרים. בראש התבליט ישנו ציור של חמורבי העומד לפני </w:t>
      </w:r>
      <w:r w:rsidR="00250345">
        <w:rPr>
          <w:rFonts w:hint="cs"/>
          <w:rtl/>
        </w:rPr>
        <w:t>'</w:t>
      </w:r>
      <w:r>
        <w:rPr>
          <w:rFonts w:hint="cs"/>
          <w:rtl/>
        </w:rPr>
        <w:t>שמש</w:t>
      </w:r>
      <w:r w:rsidR="00250345">
        <w:rPr>
          <w:rFonts w:hint="cs"/>
          <w:rtl/>
        </w:rPr>
        <w:t>'</w:t>
      </w:r>
      <w:r>
        <w:rPr>
          <w:rFonts w:hint="cs"/>
          <w:rtl/>
        </w:rPr>
        <w:t xml:space="preserve"> (אל המשפט) ומקבל מידיו שרביט וטבעת, שני סמלי השילטון. כמו כן מסופר ב</w:t>
      </w:r>
      <w:r w:rsidR="00F6665D">
        <w:rPr>
          <w:rFonts w:hint="cs"/>
          <w:rtl/>
        </w:rPr>
        <w:t xml:space="preserve">אותו </w:t>
      </w:r>
      <w:r>
        <w:rPr>
          <w:rFonts w:hint="cs"/>
          <w:rtl/>
        </w:rPr>
        <w:t>קובץ</w:t>
      </w:r>
      <w:r w:rsidR="00F6665D">
        <w:rPr>
          <w:rFonts w:hint="cs"/>
          <w:rtl/>
        </w:rPr>
        <w:t xml:space="preserve"> חוקים, </w:t>
      </w:r>
      <w:r>
        <w:rPr>
          <w:rFonts w:hint="cs"/>
          <w:rtl/>
        </w:rPr>
        <w:t>על מינוי</w:t>
      </w:r>
      <w:r w:rsidR="00250345">
        <w:rPr>
          <w:rFonts w:hint="cs"/>
          <w:rtl/>
        </w:rPr>
        <w:t>ו</w:t>
      </w:r>
      <w:r>
        <w:rPr>
          <w:rFonts w:hint="cs"/>
          <w:rtl/>
        </w:rPr>
        <w:t xml:space="preserve"> של חמורבי בידי האלים </w:t>
      </w:r>
      <w:r w:rsidR="00250345">
        <w:rPr>
          <w:rFonts w:hint="cs"/>
          <w:rtl/>
        </w:rPr>
        <w:t xml:space="preserve">'אנו' </w:t>
      </w:r>
      <w:proofErr w:type="spellStart"/>
      <w:r w:rsidR="00250345">
        <w:rPr>
          <w:rFonts w:hint="cs"/>
          <w:rtl/>
        </w:rPr>
        <w:t>ו'אנליל</w:t>
      </w:r>
      <w:proofErr w:type="spellEnd"/>
      <w:r w:rsidR="00250345">
        <w:rPr>
          <w:rFonts w:hint="cs"/>
          <w:rtl/>
        </w:rPr>
        <w:t xml:space="preserve">' </w:t>
      </w:r>
      <w:r>
        <w:rPr>
          <w:rFonts w:hint="cs"/>
          <w:rtl/>
        </w:rPr>
        <w:t>להנהיג את ארצו.</w:t>
      </w:r>
    </w:p>
  </w:footnote>
  <w:footnote w:id="3">
    <w:p w14:paraId="73F39BEA" w14:textId="014D2C19" w:rsidR="001D3BA9" w:rsidRDefault="001D3BA9" w:rsidP="007B67FF">
      <w:pPr>
        <w:pStyle w:val="a3"/>
        <w:rPr>
          <w:rtl/>
        </w:rPr>
      </w:pPr>
      <w:r>
        <w:rPr>
          <w:rStyle w:val="a5"/>
        </w:rPr>
        <w:footnoteRef/>
      </w:r>
      <w:r>
        <w:rPr>
          <w:rtl/>
        </w:rPr>
        <w:t xml:space="preserve"> </w:t>
      </w:r>
      <w:r>
        <w:rPr>
          <w:rFonts w:hint="cs"/>
          <w:rtl/>
        </w:rPr>
        <w:t>כיצד בכל זאת, סיפ</w:t>
      </w:r>
      <w:r w:rsidR="00AC7FAC">
        <w:rPr>
          <w:rFonts w:hint="cs"/>
          <w:rtl/>
        </w:rPr>
        <w:t>ו</w:t>
      </w:r>
      <w:r>
        <w:rPr>
          <w:rFonts w:hint="cs"/>
          <w:rtl/>
        </w:rPr>
        <w:t>ר המבול רווח בתרבויות שונות? ייתכן, שבמקומות רבים בעולם היו שיטפונות, הוריקנים וכדומה בזמנים שונים, דבר שהוביל לסיפורים על מבול שמוחה את העולם ממנו חששו בני האדם.</w:t>
      </w:r>
      <w:r w:rsidR="0075192A">
        <w:rPr>
          <w:rFonts w:hint="cs"/>
          <w:rtl/>
        </w:rPr>
        <w:t xml:space="preserve"> יש שביארו בעקבות כך על פי דברי הרמב''ם במורה נבוכים, שסיפור המבול לא בהכרח קרה במציאות, אלא היה מעין משל</w:t>
      </w:r>
      <w:r w:rsidR="00AC7FAC">
        <w:rPr>
          <w:rFonts w:hint="cs"/>
          <w:rtl/>
        </w:rPr>
        <w:t xml:space="preserve"> המבטא</w:t>
      </w:r>
      <w:r w:rsidR="00723AA8">
        <w:rPr>
          <w:rFonts w:hint="cs"/>
          <w:rtl/>
        </w:rPr>
        <w:t xml:space="preserve"> </w:t>
      </w:r>
      <w:r w:rsidR="0075192A">
        <w:rPr>
          <w:rFonts w:hint="cs"/>
          <w:rtl/>
        </w:rPr>
        <w:t xml:space="preserve">רעיון רוחני. הסיבה שהתורה השתמשה </w:t>
      </w:r>
      <w:r w:rsidR="00C6540E">
        <w:rPr>
          <w:rFonts w:hint="cs"/>
          <w:rtl/>
        </w:rPr>
        <w:t>בסיפור זה היא, שהוא רווח בעולם.</w:t>
      </w:r>
    </w:p>
  </w:footnote>
  <w:footnote w:id="4">
    <w:p w14:paraId="0E01308E" w14:textId="77777777" w:rsidR="00F179A9" w:rsidRDefault="00F179A9" w:rsidP="00F179A9">
      <w:pPr>
        <w:pStyle w:val="a3"/>
        <w:spacing w:line="256" w:lineRule="auto"/>
        <w:rPr>
          <w:b/>
          <w:bCs/>
          <w:rtl/>
        </w:rPr>
      </w:pPr>
      <w:r>
        <w:rPr>
          <w:b/>
          <w:bCs/>
        </w:rPr>
        <w:t xml:space="preserve"> </w:t>
      </w:r>
      <w:r>
        <w:rPr>
          <w:rStyle w:val="a5"/>
          <w:b/>
          <w:bCs/>
        </w:rPr>
        <w:footnoteRef/>
      </w:r>
      <w:r>
        <w:rPr>
          <w:b/>
          <w:bCs/>
          <w:rtl/>
        </w:rPr>
        <w:t>מצאת טעות? רוצה לקבל כל שבוע את הדף למייל</w:t>
      </w:r>
      <w:r>
        <w:rPr>
          <w:rFonts w:hint="cs"/>
          <w:b/>
          <w:bCs/>
          <w:rtl/>
        </w:rPr>
        <w:t xml:space="preserve">, </w:t>
      </w:r>
      <w:r>
        <w:rPr>
          <w:b/>
          <w:bCs/>
          <w:rtl/>
        </w:rPr>
        <w:t>לשים את הדף במקומך</w:t>
      </w:r>
      <w:r>
        <w:rPr>
          <w:rFonts w:hint="cs"/>
          <w:b/>
          <w:bCs/>
          <w:rtl/>
        </w:rPr>
        <w:t xml:space="preserve"> או להעביר למשפחה</w:t>
      </w:r>
      <w:r>
        <w:rPr>
          <w:b/>
          <w:bCs/>
          <w:rtl/>
        </w:rPr>
        <w:t xml:space="preserve">? מוזמן: </w:t>
      </w:r>
      <w:hyperlink r:id="rId1" w:history="1">
        <w:r>
          <w:rPr>
            <w:rStyle w:val="Hyperlink"/>
            <w:b/>
            <w:bCs/>
            <w:sz w:val="22"/>
            <w:szCs w:val="22"/>
          </w:rPr>
          <w:t>tora2338@gmail.com</w:t>
        </w:r>
      </w:hyperlink>
      <w:r>
        <w:rPr>
          <w:b/>
          <w:bCs/>
          <w:sz w:val="22"/>
          <w:szCs w:val="22"/>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gutterAtTop/>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537"/>
    <w:rsid w:val="00022D48"/>
    <w:rsid w:val="00024A3F"/>
    <w:rsid w:val="0003069E"/>
    <w:rsid w:val="000316E2"/>
    <w:rsid w:val="00053F37"/>
    <w:rsid w:val="0005479A"/>
    <w:rsid w:val="00070F53"/>
    <w:rsid w:val="000A48B2"/>
    <w:rsid w:val="000E16C7"/>
    <w:rsid w:val="000F2CB3"/>
    <w:rsid w:val="001155D4"/>
    <w:rsid w:val="00122F74"/>
    <w:rsid w:val="00140392"/>
    <w:rsid w:val="00140ED1"/>
    <w:rsid w:val="001619F7"/>
    <w:rsid w:val="001802EF"/>
    <w:rsid w:val="001D3BA9"/>
    <w:rsid w:val="0021091B"/>
    <w:rsid w:val="00212B7F"/>
    <w:rsid w:val="00237642"/>
    <w:rsid w:val="00250345"/>
    <w:rsid w:val="00252ABF"/>
    <w:rsid w:val="00287649"/>
    <w:rsid w:val="002908D2"/>
    <w:rsid w:val="00292C04"/>
    <w:rsid w:val="002C30EC"/>
    <w:rsid w:val="002C59D2"/>
    <w:rsid w:val="002C6E5E"/>
    <w:rsid w:val="002C7516"/>
    <w:rsid w:val="002D24C7"/>
    <w:rsid w:val="002D5A46"/>
    <w:rsid w:val="002E1406"/>
    <w:rsid w:val="00304FE2"/>
    <w:rsid w:val="00314108"/>
    <w:rsid w:val="0033269F"/>
    <w:rsid w:val="0034080E"/>
    <w:rsid w:val="003453A0"/>
    <w:rsid w:val="00382832"/>
    <w:rsid w:val="00395F06"/>
    <w:rsid w:val="003C0878"/>
    <w:rsid w:val="003F1F48"/>
    <w:rsid w:val="003F556C"/>
    <w:rsid w:val="00407375"/>
    <w:rsid w:val="0041197D"/>
    <w:rsid w:val="004205AF"/>
    <w:rsid w:val="0042473A"/>
    <w:rsid w:val="00441337"/>
    <w:rsid w:val="00450859"/>
    <w:rsid w:val="004521A1"/>
    <w:rsid w:val="00453B5A"/>
    <w:rsid w:val="00455392"/>
    <w:rsid w:val="00476546"/>
    <w:rsid w:val="004801B7"/>
    <w:rsid w:val="00493BE8"/>
    <w:rsid w:val="004A2021"/>
    <w:rsid w:val="004A22E8"/>
    <w:rsid w:val="004D4ECE"/>
    <w:rsid w:val="004D7892"/>
    <w:rsid w:val="004F2CF5"/>
    <w:rsid w:val="005057D5"/>
    <w:rsid w:val="00505BED"/>
    <w:rsid w:val="0050743D"/>
    <w:rsid w:val="00517F42"/>
    <w:rsid w:val="00522ABB"/>
    <w:rsid w:val="00522F30"/>
    <w:rsid w:val="00537104"/>
    <w:rsid w:val="00541F74"/>
    <w:rsid w:val="00554337"/>
    <w:rsid w:val="005A1253"/>
    <w:rsid w:val="005B1D07"/>
    <w:rsid w:val="005C00EB"/>
    <w:rsid w:val="005D2634"/>
    <w:rsid w:val="005E47DA"/>
    <w:rsid w:val="006118D3"/>
    <w:rsid w:val="0061293B"/>
    <w:rsid w:val="00625E65"/>
    <w:rsid w:val="00635A77"/>
    <w:rsid w:val="006813B9"/>
    <w:rsid w:val="006919B1"/>
    <w:rsid w:val="00692400"/>
    <w:rsid w:val="006A3DD6"/>
    <w:rsid w:val="006C2744"/>
    <w:rsid w:val="006C2D57"/>
    <w:rsid w:val="00717741"/>
    <w:rsid w:val="00720C94"/>
    <w:rsid w:val="00723AA8"/>
    <w:rsid w:val="0075192A"/>
    <w:rsid w:val="007807DE"/>
    <w:rsid w:val="00782035"/>
    <w:rsid w:val="00782A09"/>
    <w:rsid w:val="007934E8"/>
    <w:rsid w:val="007939D5"/>
    <w:rsid w:val="007941F1"/>
    <w:rsid w:val="00796E80"/>
    <w:rsid w:val="007B18B4"/>
    <w:rsid w:val="007B30E0"/>
    <w:rsid w:val="007B620F"/>
    <w:rsid w:val="007B67FF"/>
    <w:rsid w:val="007C5084"/>
    <w:rsid w:val="007D3BC9"/>
    <w:rsid w:val="007E50EE"/>
    <w:rsid w:val="008111FE"/>
    <w:rsid w:val="00845D2A"/>
    <w:rsid w:val="00851E73"/>
    <w:rsid w:val="00853A69"/>
    <w:rsid w:val="00862A74"/>
    <w:rsid w:val="00884BE2"/>
    <w:rsid w:val="0088718F"/>
    <w:rsid w:val="0089051E"/>
    <w:rsid w:val="008942B9"/>
    <w:rsid w:val="008A446A"/>
    <w:rsid w:val="008B0A9D"/>
    <w:rsid w:val="008D0A99"/>
    <w:rsid w:val="008D3C04"/>
    <w:rsid w:val="008E63C8"/>
    <w:rsid w:val="008E67E0"/>
    <w:rsid w:val="00912B96"/>
    <w:rsid w:val="00921C74"/>
    <w:rsid w:val="00963E36"/>
    <w:rsid w:val="009641CB"/>
    <w:rsid w:val="009750E5"/>
    <w:rsid w:val="00992EBB"/>
    <w:rsid w:val="00993240"/>
    <w:rsid w:val="009A2613"/>
    <w:rsid w:val="009A7F9F"/>
    <w:rsid w:val="009C63C9"/>
    <w:rsid w:val="009F23F5"/>
    <w:rsid w:val="00A141AF"/>
    <w:rsid w:val="00A32E51"/>
    <w:rsid w:val="00A36537"/>
    <w:rsid w:val="00A474F1"/>
    <w:rsid w:val="00A50364"/>
    <w:rsid w:val="00A74666"/>
    <w:rsid w:val="00AB0A57"/>
    <w:rsid w:val="00AC1F44"/>
    <w:rsid w:val="00AC5380"/>
    <w:rsid w:val="00AC7FAC"/>
    <w:rsid w:val="00B0217D"/>
    <w:rsid w:val="00B0617C"/>
    <w:rsid w:val="00B10E4E"/>
    <w:rsid w:val="00B33CCA"/>
    <w:rsid w:val="00B52C49"/>
    <w:rsid w:val="00B833AE"/>
    <w:rsid w:val="00B87457"/>
    <w:rsid w:val="00BA3689"/>
    <w:rsid w:val="00BA7ECA"/>
    <w:rsid w:val="00BB5D1F"/>
    <w:rsid w:val="00BC5F68"/>
    <w:rsid w:val="00BF0B52"/>
    <w:rsid w:val="00C3462A"/>
    <w:rsid w:val="00C45AED"/>
    <w:rsid w:val="00C6540E"/>
    <w:rsid w:val="00C82357"/>
    <w:rsid w:val="00CC0226"/>
    <w:rsid w:val="00CC26F2"/>
    <w:rsid w:val="00CD6D0F"/>
    <w:rsid w:val="00CE571A"/>
    <w:rsid w:val="00D147FB"/>
    <w:rsid w:val="00D2703C"/>
    <w:rsid w:val="00D4108A"/>
    <w:rsid w:val="00D458B3"/>
    <w:rsid w:val="00D4645C"/>
    <w:rsid w:val="00DB5151"/>
    <w:rsid w:val="00DC0748"/>
    <w:rsid w:val="00DC55D1"/>
    <w:rsid w:val="00DD38D2"/>
    <w:rsid w:val="00DD5293"/>
    <w:rsid w:val="00E21A13"/>
    <w:rsid w:val="00E965CC"/>
    <w:rsid w:val="00E97186"/>
    <w:rsid w:val="00EA340E"/>
    <w:rsid w:val="00EB38B0"/>
    <w:rsid w:val="00EF416F"/>
    <w:rsid w:val="00F179A9"/>
    <w:rsid w:val="00F50BF5"/>
    <w:rsid w:val="00F60597"/>
    <w:rsid w:val="00F6665D"/>
    <w:rsid w:val="00F673C6"/>
    <w:rsid w:val="00FB2CD3"/>
    <w:rsid w:val="00FB375E"/>
    <w:rsid w:val="00FE612B"/>
    <w:rsid w:val="00FF530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9E975"/>
  <w15:chartTrackingRefBased/>
  <w15:docId w15:val="{E082407E-0871-4DF4-9AB1-806FE36E2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bidi/>
        <w:spacing w:after="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semiHidden/>
    <w:unhideWhenUsed/>
    <w:rsid w:val="007E50EE"/>
    <w:pPr>
      <w:spacing w:after="0" w:line="240" w:lineRule="auto"/>
    </w:pPr>
    <w:rPr>
      <w:sz w:val="20"/>
      <w:szCs w:val="20"/>
    </w:rPr>
  </w:style>
  <w:style w:type="character" w:customStyle="1" w:styleId="a4">
    <w:name w:val="טקסט הערת שוליים תו"/>
    <w:basedOn w:val="a0"/>
    <w:link w:val="a3"/>
    <w:uiPriority w:val="99"/>
    <w:semiHidden/>
    <w:rsid w:val="007E50EE"/>
    <w:rPr>
      <w:sz w:val="20"/>
      <w:szCs w:val="20"/>
    </w:rPr>
  </w:style>
  <w:style w:type="character" w:styleId="a5">
    <w:name w:val="footnote reference"/>
    <w:basedOn w:val="a0"/>
    <w:uiPriority w:val="99"/>
    <w:semiHidden/>
    <w:unhideWhenUsed/>
    <w:rsid w:val="007E50EE"/>
    <w:rPr>
      <w:vertAlign w:val="superscript"/>
    </w:rPr>
  </w:style>
  <w:style w:type="character" w:styleId="Hyperlink">
    <w:name w:val="Hyperlink"/>
    <w:basedOn w:val="a0"/>
    <w:uiPriority w:val="99"/>
    <w:unhideWhenUsed/>
    <w:rsid w:val="0041197D"/>
    <w:rPr>
      <w:color w:val="0563C1" w:themeColor="hyperlink"/>
      <w:u w:val="single"/>
    </w:rPr>
  </w:style>
  <w:style w:type="character" w:styleId="a6">
    <w:name w:val="Unresolved Mention"/>
    <w:basedOn w:val="a0"/>
    <w:uiPriority w:val="99"/>
    <w:semiHidden/>
    <w:unhideWhenUsed/>
    <w:rsid w:val="0041197D"/>
    <w:rPr>
      <w:color w:val="605E5C"/>
      <w:shd w:val="clear" w:color="auto" w:fill="E1DFDD"/>
    </w:rPr>
  </w:style>
  <w:style w:type="paragraph" w:styleId="a7">
    <w:name w:val="header"/>
    <w:basedOn w:val="a"/>
    <w:link w:val="a8"/>
    <w:uiPriority w:val="99"/>
    <w:unhideWhenUsed/>
    <w:rsid w:val="00522F30"/>
    <w:pPr>
      <w:tabs>
        <w:tab w:val="center" w:pos="4153"/>
        <w:tab w:val="right" w:pos="8306"/>
      </w:tabs>
      <w:spacing w:after="0" w:line="240" w:lineRule="auto"/>
    </w:pPr>
  </w:style>
  <w:style w:type="character" w:customStyle="1" w:styleId="a8">
    <w:name w:val="כותרת עליונה תו"/>
    <w:basedOn w:val="a0"/>
    <w:link w:val="a7"/>
    <w:uiPriority w:val="99"/>
    <w:rsid w:val="00522F30"/>
  </w:style>
  <w:style w:type="paragraph" w:styleId="a9">
    <w:name w:val="footer"/>
    <w:basedOn w:val="a"/>
    <w:link w:val="aa"/>
    <w:uiPriority w:val="99"/>
    <w:unhideWhenUsed/>
    <w:rsid w:val="00522F30"/>
    <w:pPr>
      <w:tabs>
        <w:tab w:val="center" w:pos="4153"/>
        <w:tab w:val="right" w:pos="8306"/>
      </w:tabs>
      <w:spacing w:after="0" w:line="240" w:lineRule="auto"/>
    </w:pPr>
  </w:style>
  <w:style w:type="character" w:customStyle="1" w:styleId="aa">
    <w:name w:val="כותרת תחתונה תו"/>
    <w:basedOn w:val="a0"/>
    <w:link w:val="a9"/>
    <w:uiPriority w:val="99"/>
    <w:rsid w:val="00522F30"/>
  </w:style>
  <w:style w:type="paragraph" w:styleId="ab">
    <w:name w:val="Revision"/>
    <w:hidden/>
    <w:uiPriority w:val="99"/>
    <w:semiHidden/>
    <w:rsid w:val="00522F30"/>
    <w:pPr>
      <w:bidi w:val="0"/>
      <w:spacing w:after="0" w:line="240" w:lineRule="auto"/>
      <w:jc w:val="left"/>
    </w:pPr>
  </w:style>
  <w:style w:type="paragraph" w:styleId="ac">
    <w:name w:val="Balloon Text"/>
    <w:basedOn w:val="a"/>
    <w:link w:val="ad"/>
    <w:uiPriority w:val="99"/>
    <w:semiHidden/>
    <w:unhideWhenUsed/>
    <w:rsid w:val="00522F30"/>
    <w:pPr>
      <w:spacing w:after="0" w:line="240" w:lineRule="auto"/>
    </w:pPr>
    <w:rPr>
      <w:rFonts w:ascii="Tahoma" w:hAnsi="Tahoma" w:cs="Tahoma"/>
      <w:sz w:val="18"/>
      <w:szCs w:val="18"/>
    </w:rPr>
  </w:style>
  <w:style w:type="character" w:customStyle="1" w:styleId="ad">
    <w:name w:val="טקסט בלונים תו"/>
    <w:basedOn w:val="a0"/>
    <w:link w:val="ac"/>
    <w:uiPriority w:val="99"/>
    <w:semiHidden/>
    <w:rsid w:val="00522F30"/>
    <w:rPr>
      <w:rFonts w:ascii="Tahoma" w:hAnsi="Tahoma" w:cs="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7571115">
      <w:bodyDiv w:val="1"/>
      <w:marLeft w:val="0"/>
      <w:marRight w:val="0"/>
      <w:marTop w:val="0"/>
      <w:marBottom w:val="0"/>
      <w:divBdr>
        <w:top w:val="none" w:sz="0" w:space="0" w:color="auto"/>
        <w:left w:val="none" w:sz="0" w:space="0" w:color="auto"/>
        <w:bottom w:val="none" w:sz="0" w:space="0" w:color="auto"/>
        <w:right w:val="none" w:sz="0" w:space="0" w:color="auto"/>
      </w:divBdr>
    </w:div>
    <w:div w:id="673529922">
      <w:bodyDiv w:val="1"/>
      <w:marLeft w:val="0"/>
      <w:marRight w:val="0"/>
      <w:marTop w:val="0"/>
      <w:marBottom w:val="0"/>
      <w:divBdr>
        <w:top w:val="none" w:sz="0" w:space="0" w:color="auto"/>
        <w:left w:val="none" w:sz="0" w:space="0" w:color="auto"/>
        <w:bottom w:val="none" w:sz="0" w:space="0" w:color="auto"/>
        <w:right w:val="none" w:sz="0" w:space="0" w:color="auto"/>
      </w:divBdr>
    </w:div>
    <w:div w:id="820538618">
      <w:bodyDiv w:val="1"/>
      <w:marLeft w:val="0"/>
      <w:marRight w:val="0"/>
      <w:marTop w:val="0"/>
      <w:marBottom w:val="0"/>
      <w:divBdr>
        <w:top w:val="none" w:sz="0" w:space="0" w:color="auto"/>
        <w:left w:val="none" w:sz="0" w:space="0" w:color="auto"/>
        <w:bottom w:val="none" w:sz="0" w:space="0" w:color="auto"/>
        <w:right w:val="none" w:sz="0" w:space="0" w:color="auto"/>
      </w:divBdr>
    </w:div>
    <w:div w:id="910427227">
      <w:bodyDiv w:val="1"/>
      <w:marLeft w:val="0"/>
      <w:marRight w:val="0"/>
      <w:marTop w:val="0"/>
      <w:marBottom w:val="0"/>
      <w:divBdr>
        <w:top w:val="none" w:sz="0" w:space="0" w:color="auto"/>
        <w:left w:val="none" w:sz="0" w:space="0" w:color="auto"/>
        <w:bottom w:val="none" w:sz="0" w:space="0" w:color="auto"/>
        <w:right w:val="none" w:sz="0" w:space="0" w:color="auto"/>
      </w:divBdr>
    </w:div>
    <w:div w:id="1364744781">
      <w:bodyDiv w:val="1"/>
      <w:marLeft w:val="0"/>
      <w:marRight w:val="0"/>
      <w:marTop w:val="0"/>
      <w:marBottom w:val="0"/>
      <w:divBdr>
        <w:top w:val="none" w:sz="0" w:space="0" w:color="auto"/>
        <w:left w:val="none" w:sz="0" w:space="0" w:color="auto"/>
        <w:bottom w:val="none" w:sz="0" w:space="0" w:color="auto"/>
        <w:right w:val="none" w:sz="0" w:space="0" w:color="auto"/>
      </w:divBdr>
    </w:div>
    <w:div w:id="1456825030">
      <w:bodyDiv w:val="1"/>
      <w:marLeft w:val="0"/>
      <w:marRight w:val="0"/>
      <w:marTop w:val="0"/>
      <w:marBottom w:val="0"/>
      <w:divBdr>
        <w:top w:val="none" w:sz="0" w:space="0" w:color="auto"/>
        <w:left w:val="none" w:sz="0" w:space="0" w:color="auto"/>
        <w:bottom w:val="none" w:sz="0" w:space="0" w:color="auto"/>
        <w:right w:val="none" w:sz="0" w:space="0" w:color="auto"/>
      </w:divBdr>
    </w:div>
    <w:div w:id="1559241641">
      <w:bodyDiv w:val="1"/>
      <w:marLeft w:val="0"/>
      <w:marRight w:val="0"/>
      <w:marTop w:val="0"/>
      <w:marBottom w:val="0"/>
      <w:divBdr>
        <w:top w:val="none" w:sz="0" w:space="0" w:color="auto"/>
        <w:left w:val="none" w:sz="0" w:space="0" w:color="auto"/>
        <w:bottom w:val="none" w:sz="0" w:space="0" w:color="auto"/>
        <w:right w:val="none" w:sz="0" w:space="0" w:color="auto"/>
      </w:divBdr>
    </w:div>
    <w:div w:id="1604996196">
      <w:bodyDiv w:val="1"/>
      <w:marLeft w:val="0"/>
      <w:marRight w:val="0"/>
      <w:marTop w:val="0"/>
      <w:marBottom w:val="0"/>
      <w:divBdr>
        <w:top w:val="none" w:sz="0" w:space="0" w:color="auto"/>
        <w:left w:val="none" w:sz="0" w:space="0" w:color="auto"/>
        <w:bottom w:val="none" w:sz="0" w:space="0" w:color="auto"/>
        <w:right w:val="none" w:sz="0" w:space="0" w:color="auto"/>
      </w:divBdr>
    </w:div>
    <w:div w:id="1616595521">
      <w:bodyDiv w:val="1"/>
      <w:marLeft w:val="0"/>
      <w:marRight w:val="0"/>
      <w:marTop w:val="0"/>
      <w:marBottom w:val="0"/>
      <w:divBdr>
        <w:top w:val="none" w:sz="0" w:space="0" w:color="auto"/>
        <w:left w:val="none" w:sz="0" w:space="0" w:color="auto"/>
        <w:bottom w:val="none" w:sz="0" w:space="0" w:color="auto"/>
        <w:right w:val="none" w:sz="0" w:space="0" w:color="auto"/>
      </w:divBdr>
    </w:div>
    <w:div w:id="1627856245">
      <w:bodyDiv w:val="1"/>
      <w:marLeft w:val="0"/>
      <w:marRight w:val="0"/>
      <w:marTop w:val="0"/>
      <w:marBottom w:val="0"/>
      <w:divBdr>
        <w:top w:val="none" w:sz="0" w:space="0" w:color="auto"/>
        <w:left w:val="none" w:sz="0" w:space="0" w:color="auto"/>
        <w:bottom w:val="none" w:sz="0" w:space="0" w:color="auto"/>
        <w:right w:val="none" w:sz="0" w:space="0" w:color="auto"/>
      </w:divBdr>
    </w:div>
    <w:div w:id="1629582435">
      <w:bodyDiv w:val="1"/>
      <w:marLeft w:val="0"/>
      <w:marRight w:val="0"/>
      <w:marTop w:val="0"/>
      <w:marBottom w:val="0"/>
      <w:divBdr>
        <w:top w:val="none" w:sz="0" w:space="0" w:color="auto"/>
        <w:left w:val="none" w:sz="0" w:space="0" w:color="auto"/>
        <w:bottom w:val="none" w:sz="0" w:space="0" w:color="auto"/>
        <w:right w:val="none" w:sz="0" w:space="0" w:color="auto"/>
      </w:divBdr>
    </w:div>
    <w:div w:id="1739478552">
      <w:bodyDiv w:val="1"/>
      <w:marLeft w:val="0"/>
      <w:marRight w:val="0"/>
      <w:marTop w:val="0"/>
      <w:marBottom w:val="0"/>
      <w:divBdr>
        <w:top w:val="none" w:sz="0" w:space="0" w:color="auto"/>
        <w:left w:val="none" w:sz="0" w:space="0" w:color="auto"/>
        <w:bottom w:val="none" w:sz="0" w:space="0" w:color="auto"/>
        <w:right w:val="none" w:sz="0" w:space="0" w:color="auto"/>
      </w:divBdr>
    </w:div>
    <w:div w:id="1924530332">
      <w:bodyDiv w:val="1"/>
      <w:marLeft w:val="0"/>
      <w:marRight w:val="0"/>
      <w:marTop w:val="0"/>
      <w:marBottom w:val="0"/>
      <w:divBdr>
        <w:top w:val="none" w:sz="0" w:space="0" w:color="auto"/>
        <w:left w:val="none" w:sz="0" w:space="0" w:color="auto"/>
        <w:bottom w:val="none" w:sz="0" w:space="0" w:color="auto"/>
        <w:right w:val="none" w:sz="0" w:space="0" w:color="auto"/>
      </w:divBdr>
    </w:div>
    <w:div w:id="1954247973">
      <w:bodyDiv w:val="1"/>
      <w:marLeft w:val="0"/>
      <w:marRight w:val="0"/>
      <w:marTop w:val="0"/>
      <w:marBottom w:val="0"/>
      <w:divBdr>
        <w:top w:val="none" w:sz="0" w:space="0" w:color="auto"/>
        <w:left w:val="none" w:sz="0" w:space="0" w:color="auto"/>
        <w:bottom w:val="none" w:sz="0" w:space="0" w:color="auto"/>
        <w:right w:val="none" w:sz="0" w:space="0" w:color="auto"/>
      </w:divBdr>
    </w:div>
    <w:div w:id="2097245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mailto:tora2338@gmail.co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1454</Words>
  <Characters>7275</Characters>
  <Application>Microsoft Office Word</Application>
  <DocSecurity>0</DocSecurity>
  <Lines>60</Lines>
  <Paragraphs>17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8712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יגאל גרוס</dc:creator>
  <cp:keywords/>
  <dc:description/>
  <cp:lastModifiedBy>יגאל גרוס</cp:lastModifiedBy>
  <cp:revision>6</cp:revision>
  <dcterms:created xsi:type="dcterms:W3CDTF">2020-12-30T20:43:00Z</dcterms:created>
  <dcterms:modified xsi:type="dcterms:W3CDTF">2021-01-02T17:15:00Z</dcterms:modified>
</cp:coreProperties>
</file>