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45E8" w14:textId="703F0BBC" w:rsidR="0050743D" w:rsidRDefault="00592753">
      <w:pPr>
        <w:rPr>
          <w:b/>
          <w:bCs/>
          <w:sz w:val="36"/>
          <w:szCs w:val="36"/>
          <w:rtl/>
        </w:rPr>
      </w:pPr>
      <w:r>
        <w:rPr>
          <w:rFonts w:hint="cs"/>
          <w:rtl/>
        </w:rPr>
        <w:t>בס''ד</w:t>
      </w:r>
      <w:r>
        <w:rPr>
          <w:rtl/>
        </w:rPr>
        <w:tab/>
      </w:r>
      <w:r w:rsidR="009F3DFB">
        <w:rPr>
          <w:rFonts w:hint="cs"/>
          <w:rtl/>
        </w:rPr>
        <w:t xml:space="preserve">  </w:t>
      </w:r>
      <w:r w:rsidR="000F5089">
        <w:rPr>
          <w:rFonts w:hint="cs"/>
          <w:rtl/>
        </w:rPr>
        <w:t xml:space="preserve">   </w:t>
      </w:r>
      <w:r w:rsidR="009F3DFB">
        <w:rPr>
          <w:rFonts w:hint="cs"/>
          <w:rtl/>
        </w:rPr>
        <w:t xml:space="preserve">   </w:t>
      </w:r>
      <w:r w:rsidR="003E22A0">
        <w:rPr>
          <w:rFonts w:hint="cs"/>
          <w:rtl/>
        </w:rPr>
        <w:t xml:space="preserve">     </w:t>
      </w:r>
      <w:r w:rsidRPr="00592753">
        <w:rPr>
          <w:rFonts w:hint="cs"/>
          <w:b/>
          <w:bCs/>
          <w:sz w:val="36"/>
          <w:szCs w:val="36"/>
          <w:rtl/>
        </w:rPr>
        <w:t xml:space="preserve">פרשת שמיני: </w:t>
      </w:r>
      <w:r w:rsidR="003F0537">
        <w:rPr>
          <w:rFonts w:hint="cs"/>
          <w:b/>
          <w:bCs/>
          <w:sz w:val="36"/>
          <w:szCs w:val="36"/>
          <w:rtl/>
        </w:rPr>
        <w:t xml:space="preserve">האם חובה לבדוק </w:t>
      </w:r>
      <w:r w:rsidR="00673D92">
        <w:rPr>
          <w:rFonts w:hint="cs"/>
          <w:b/>
          <w:bCs/>
          <w:sz w:val="36"/>
          <w:szCs w:val="36"/>
          <w:rtl/>
        </w:rPr>
        <w:t>קמח</w:t>
      </w:r>
      <w:r w:rsidR="003F0537">
        <w:rPr>
          <w:rFonts w:hint="cs"/>
          <w:b/>
          <w:bCs/>
          <w:sz w:val="36"/>
          <w:szCs w:val="36"/>
          <w:rtl/>
        </w:rPr>
        <w:t xml:space="preserve"> </w:t>
      </w:r>
      <w:r w:rsidR="003E22A0">
        <w:rPr>
          <w:rFonts w:hint="cs"/>
          <w:b/>
          <w:bCs/>
          <w:sz w:val="36"/>
          <w:szCs w:val="36"/>
          <w:rtl/>
        </w:rPr>
        <w:t xml:space="preserve">ואורז </w:t>
      </w:r>
      <w:r w:rsidR="003F0537">
        <w:rPr>
          <w:rFonts w:hint="cs"/>
          <w:b/>
          <w:bCs/>
          <w:sz w:val="36"/>
          <w:szCs w:val="36"/>
          <w:rtl/>
        </w:rPr>
        <w:t>מתולעים</w:t>
      </w:r>
    </w:p>
    <w:p w14:paraId="727AFC0F" w14:textId="468EA4D9" w:rsidR="00592753" w:rsidRDefault="00592753">
      <w:pPr>
        <w:rPr>
          <w:b/>
          <w:bCs/>
          <w:u w:val="single"/>
          <w:rtl/>
        </w:rPr>
      </w:pPr>
      <w:r w:rsidRPr="00592753">
        <w:rPr>
          <w:rFonts w:hint="cs"/>
          <w:b/>
          <w:bCs/>
          <w:u w:val="single"/>
          <w:rtl/>
        </w:rPr>
        <w:t>פתיחה</w:t>
      </w:r>
    </w:p>
    <w:p w14:paraId="6957052D" w14:textId="47CB6494" w:rsidR="00592753" w:rsidRDefault="00592753">
      <w:pPr>
        <w:rPr>
          <w:rtl/>
        </w:rPr>
      </w:pPr>
      <w:r>
        <w:rPr>
          <w:rFonts w:hint="cs"/>
          <w:rtl/>
        </w:rPr>
        <w:t xml:space="preserve">בפרשת השבוע כותבת התורה, שהאיסור לאכול שרצים כולל בתוכו את האיסור 'בל </w:t>
      </w:r>
      <w:proofErr w:type="spellStart"/>
      <w:r>
        <w:rPr>
          <w:rFonts w:hint="cs"/>
          <w:rtl/>
        </w:rPr>
        <w:t>תשקצו</w:t>
      </w:r>
      <w:proofErr w:type="spellEnd"/>
      <w:r>
        <w:rPr>
          <w:rFonts w:hint="cs"/>
          <w:rtl/>
        </w:rPr>
        <w:t>'.</w:t>
      </w:r>
      <w:r w:rsidR="00DC741F">
        <w:rPr>
          <w:rFonts w:hint="cs"/>
          <w:rtl/>
        </w:rPr>
        <w:t xml:space="preserve"> הגמרא </w:t>
      </w:r>
      <w:r w:rsidR="00D2420D">
        <w:rPr>
          <w:rFonts w:hint="cs"/>
          <w:rtl/>
        </w:rPr>
        <w:t>ב</w:t>
      </w:r>
      <w:r w:rsidR="00DC741F">
        <w:rPr>
          <w:rFonts w:hint="cs"/>
          <w:rtl/>
        </w:rPr>
        <w:t xml:space="preserve">מכות </w:t>
      </w:r>
      <w:r w:rsidR="00DC741F">
        <w:rPr>
          <w:rFonts w:hint="cs"/>
          <w:sz w:val="20"/>
          <w:szCs w:val="20"/>
          <w:rtl/>
        </w:rPr>
        <w:t>(טז ע''</w:t>
      </w:r>
      <w:r w:rsidR="00B94E6B">
        <w:rPr>
          <w:rFonts w:hint="cs"/>
          <w:sz w:val="20"/>
          <w:szCs w:val="20"/>
          <w:rtl/>
        </w:rPr>
        <w:t>ב</w:t>
      </w:r>
      <w:r w:rsidR="00DC741F">
        <w:rPr>
          <w:rFonts w:hint="cs"/>
          <w:sz w:val="20"/>
          <w:szCs w:val="20"/>
          <w:rtl/>
        </w:rPr>
        <w:t xml:space="preserve">) </w:t>
      </w:r>
      <w:r w:rsidR="00DC741F">
        <w:rPr>
          <w:rFonts w:hint="cs"/>
          <w:rtl/>
        </w:rPr>
        <w:t>מרחיבה את האיסור וכותבת, שנכלל בו גם האיסור להשהות הליכה לשירותים</w:t>
      </w:r>
      <w:r w:rsidR="00FD59E7">
        <w:rPr>
          <w:rFonts w:hint="cs"/>
          <w:rtl/>
        </w:rPr>
        <w:t xml:space="preserve"> וכדומה</w:t>
      </w:r>
      <w:r w:rsidR="00DC741F">
        <w:rPr>
          <w:rFonts w:hint="cs"/>
          <w:rtl/>
        </w:rPr>
        <w:t xml:space="preserve">. </w:t>
      </w:r>
      <w:r w:rsidR="00AE4D6B">
        <w:rPr>
          <w:rFonts w:hint="cs"/>
          <w:rtl/>
        </w:rPr>
        <w:t xml:space="preserve">כפי שכתב </w:t>
      </w:r>
      <w:r w:rsidR="00AE4D6B" w:rsidRPr="00D2420D">
        <w:rPr>
          <w:rFonts w:hint="cs"/>
          <w:b/>
          <w:bCs/>
          <w:rtl/>
        </w:rPr>
        <w:t>הריטב''א</w:t>
      </w:r>
      <w:r w:rsidR="00AE4D6B">
        <w:rPr>
          <w:rFonts w:hint="cs"/>
          <w:rtl/>
        </w:rPr>
        <w:t xml:space="preserve"> </w:t>
      </w:r>
      <w:r w:rsidR="00AE4D6B">
        <w:rPr>
          <w:rFonts w:hint="cs"/>
          <w:sz w:val="18"/>
          <w:szCs w:val="18"/>
          <w:rtl/>
        </w:rPr>
        <w:t xml:space="preserve">(שם ד''ה </w:t>
      </w:r>
      <w:r w:rsidR="00B94E6B">
        <w:rPr>
          <w:rFonts w:hint="cs"/>
          <w:sz w:val="18"/>
          <w:szCs w:val="18"/>
          <w:rtl/>
        </w:rPr>
        <w:t>אמר</w:t>
      </w:r>
      <w:r w:rsidR="00AE4D6B">
        <w:rPr>
          <w:rFonts w:hint="cs"/>
          <w:sz w:val="18"/>
          <w:szCs w:val="18"/>
          <w:rtl/>
        </w:rPr>
        <w:t>)</w:t>
      </w:r>
      <w:r w:rsidR="00AE4D6B">
        <w:rPr>
          <w:rFonts w:hint="cs"/>
          <w:rtl/>
        </w:rPr>
        <w:t xml:space="preserve">, על אף שיש הסוברים שמדובר באיסור דאורייתא, בפשטות מדובר באיסור דרבנן, </w:t>
      </w:r>
      <w:r w:rsidR="005D76D9">
        <w:rPr>
          <w:rFonts w:hint="cs"/>
          <w:rtl/>
        </w:rPr>
        <w:t>ו</w:t>
      </w:r>
      <w:r w:rsidR="00AE4D6B">
        <w:rPr>
          <w:rFonts w:hint="cs"/>
          <w:rtl/>
        </w:rPr>
        <w:t xml:space="preserve">כוונת הפסוק </w:t>
      </w:r>
      <w:r w:rsidR="000E2380">
        <w:rPr>
          <w:rFonts w:hint="cs"/>
          <w:rtl/>
        </w:rPr>
        <w:t>ל</w:t>
      </w:r>
      <w:r w:rsidR="00AE4D6B">
        <w:rPr>
          <w:rFonts w:hint="cs"/>
          <w:rtl/>
        </w:rPr>
        <w:t>אסור אכילת תולעים, וכן פסק הרמב''ם:</w:t>
      </w:r>
    </w:p>
    <w:p w14:paraId="6C12F737" w14:textId="054B6EDE" w:rsidR="00AE4D6B" w:rsidRDefault="000747A8" w:rsidP="00BD5C3B">
      <w:pPr>
        <w:ind w:left="720"/>
        <w:rPr>
          <w:rFonts w:cs="Arial"/>
          <w:rtl/>
        </w:rPr>
      </w:pPr>
      <w:r>
        <w:rPr>
          <w:rFonts w:cs="Arial" w:hint="cs"/>
          <w:rtl/>
        </w:rPr>
        <w:t>''</w:t>
      </w:r>
      <w:r w:rsidR="00BD5C3B" w:rsidRPr="00BD5C3B">
        <w:rPr>
          <w:rFonts w:cs="Arial"/>
          <w:rtl/>
        </w:rPr>
        <w:t xml:space="preserve">אסרו חכמים מאכלות ומשקין שנפש רוב בני אדם </w:t>
      </w:r>
      <w:proofErr w:type="spellStart"/>
      <w:r w:rsidR="00BD5C3B" w:rsidRPr="00BD5C3B">
        <w:rPr>
          <w:rFonts w:cs="Arial"/>
          <w:rtl/>
        </w:rPr>
        <w:t>קיהה</w:t>
      </w:r>
      <w:proofErr w:type="spellEnd"/>
      <w:r w:rsidR="00BD5C3B" w:rsidRPr="00BD5C3B">
        <w:rPr>
          <w:rFonts w:cs="Arial"/>
          <w:rtl/>
        </w:rPr>
        <w:t xml:space="preserve"> מהן כגון מאכלות ומשקין שנתערב בהן קיא או צואה ולחה סרוחה וכיוצא בהן, וכן אסרו חכמים לאכול ולשתות בכלים הצואים שנפשו של אדם מתאוננת מהם, כגון כלי בית </w:t>
      </w:r>
      <w:proofErr w:type="spellStart"/>
      <w:r w:rsidR="00BD5C3B" w:rsidRPr="00BD5C3B">
        <w:rPr>
          <w:rFonts w:cs="Arial"/>
          <w:rtl/>
        </w:rPr>
        <w:t>הכסא</w:t>
      </w:r>
      <w:proofErr w:type="spellEnd"/>
      <w:r w:rsidR="00BD5C3B" w:rsidRPr="00BD5C3B">
        <w:rPr>
          <w:rFonts w:cs="Arial"/>
          <w:rtl/>
        </w:rPr>
        <w:t xml:space="preserve"> וכלי זכוכית של ספרין </w:t>
      </w:r>
      <w:proofErr w:type="spellStart"/>
      <w:r w:rsidR="00BD5C3B" w:rsidRPr="00BD5C3B">
        <w:rPr>
          <w:rFonts w:cs="Arial"/>
          <w:rtl/>
        </w:rPr>
        <w:t>שגורעין</w:t>
      </w:r>
      <w:proofErr w:type="spellEnd"/>
      <w:r w:rsidR="00BD5C3B" w:rsidRPr="00BD5C3B">
        <w:rPr>
          <w:rFonts w:cs="Arial"/>
          <w:rtl/>
        </w:rPr>
        <w:t xml:space="preserve"> בהם את הדם וכיוצא בהן.</w:t>
      </w:r>
      <w:r w:rsidR="00BD5C3B" w:rsidRPr="00BD5C3B">
        <w:rPr>
          <w:rtl/>
        </w:rPr>
        <w:t xml:space="preserve"> </w:t>
      </w:r>
      <w:r w:rsidR="00BD5C3B" w:rsidRPr="00BD5C3B">
        <w:rPr>
          <w:rFonts w:cs="Arial"/>
          <w:rtl/>
        </w:rPr>
        <w:t>וכן אסור לאדם שישהה את נקביו כלל בין גדולים בין קטנים</w:t>
      </w:r>
      <w:r w:rsidR="00BD5C3B">
        <w:rPr>
          <w:rFonts w:cs="Arial" w:hint="cs"/>
          <w:rtl/>
        </w:rPr>
        <w:t>.''</w:t>
      </w:r>
    </w:p>
    <w:p w14:paraId="34DC4D58" w14:textId="72838D7D" w:rsidR="00BD5C3B" w:rsidRDefault="00BD5C3B" w:rsidP="00BD5C3B">
      <w:pPr>
        <w:rPr>
          <w:rtl/>
        </w:rPr>
      </w:pPr>
      <w:r>
        <w:rPr>
          <w:rFonts w:cs="Arial" w:hint="cs"/>
          <w:rtl/>
        </w:rPr>
        <w:t>מתי עוברים על איסור דרבנן זה?</w:t>
      </w:r>
      <w:r>
        <w:rPr>
          <w:rFonts w:cs="Arial" w:hint="cs"/>
        </w:rPr>
        <w:t xml:space="preserve"> </w:t>
      </w:r>
      <w:r w:rsidRPr="00E95066">
        <w:rPr>
          <w:rFonts w:cs="Arial" w:hint="cs"/>
          <w:b/>
          <w:bCs/>
          <w:rtl/>
        </w:rPr>
        <w:t>האשל אברהם</w:t>
      </w:r>
      <w:r>
        <w:rPr>
          <w:rFonts w:cs="Arial" w:hint="cs"/>
          <w:rtl/>
        </w:rPr>
        <w:t xml:space="preserve"> </w:t>
      </w:r>
      <w:r>
        <w:rPr>
          <w:rFonts w:cs="Arial" w:hint="cs"/>
          <w:sz w:val="18"/>
          <w:szCs w:val="18"/>
          <w:rtl/>
        </w:rPr>
        <w:t>(או''ח ג</w:t>
      </w:r>
      <w:r w:rsidR="00EB6099">
        <w:rPr>
          <w:rFonts w:cs="Arial" w:hint="cs"/>
          <w:sz w:val="18"/>
          <w:szCs w:val="18"/>
          <w:rtl/>
        </w:rPr>
        <w:t xml:space="preserve"> ד''ה גם</w:t>
      </w:r>
      <w:r>
        <w:rPr>
          <w:rFonts w:cs="Arial" w:hint="cs"/>
          <w:sz w:val="18"/>
          <w:szCs w:val="18"/>
          <w:rtl/>
        </w:rPr>
        <w:t xml:space="preserve">) </w:t>
      </w:r>
      <w:r w:rsidR="009B1E31">
        <w:rPr>
          <w:rFonts w:cs="Arial" w:hint="cs"/>
          <w:rtl/>
        </w:rPr>
        <w:t>נקט</w:t>
      </w:r>
      <w:r>
        <w:rPr>
          <w:rFonts w:cs="Arial" w:hint="cs"/>
          <w:rtl/>
        </w:rPr>
        <w:t xml:space="preserve">, שלא בכל </w:t>
      </w:r>
      <w:r>
        <w:rPr>
          <w:rFonts w:hint="cs"/>
          <w:rtl/>
        </w:rPr>
        <w:t>צורך ללכת ל</w:t>
      </w:r>
      <w:r w:rsidR="005D76D9">
        <w:rPr>
          <w:rFonts w:hint="cs"/>
          <w:rtl/>
        </w:rPr>
        <w:t>התפנות</w:t>
      </w:r>
      <w:r>
        <w:rPr>
          <w:rFonts w:hint="cs"/>
          <w:rtl/>
        </w:rPr>
        <w:t xml:space="preserve"> עוברים </w:t>
      </w:r>
      <w:r w:rsidR="00AA0F17">
        <w:rPr>
          <w:rFonts w:hint="cs"/>
          <w:rtl/>
        </w:rPr>
        <w:t>על איסור זה</w:t>
      </w:r>
      <w:r>
        <w:rPr>
          <w:rFonts w:hint="cs"/>
          <w:rtl/>
        </w:rPr>
        <w:t xml:space="preserve">, </w:t>
      </w:r>
      <w:r w:rsidR="00AA0F17">
        <w:rPr>
          <w:rFonts w:hint="cs"/>
          <w:rtl/>
        </w:rPr>
        <w:t xml:space="preserve">ולמעשה </w:t>
      </w:r>
      <w:r w:rsidR="005D76D9">
        <w:rPr>
          <w:rFonts w:hint="cs"/>
          <w:rtl/>
        </w:rPr>
        <w:t>ה</w:t>
      </w:r>
      <w:r w:rsidR="00AA0F17">
        <w:rPr>
          <w:rFonts w:hint="cs"/>
          <w:rtl/>
        </w:rPr>
        <w:t xml:space="preserve">איסור תלוי </w:t>
      </w:r>
      <w:r>
        <w:rPr>
          <w:rFonts w:hint="cs"/>
          <w:rtl/>
        </w:rPr>
        <w:t>בדעת בני האדם. כלומר, במקרה בו רוב בני האדם מסיחים את דעתם מהצורך וממשיכים להתנהל כרגיל, אין בכך איסור, ורק במקרה בו מדובר בצורך חריג ובכל זאת מתאפקים</w:t>
      </w:r>
      <w:r w:rsidR="005D76D9">
        <w:rPr>
          <w:rFonts w:hint="cs"/>
          <w:rtl/>
        </w:rPr>
        <w:t>,</w:t>
      </w:r>
      <w:r>
        <w:rPr>
          <w:rFonts w:hint="cs"/>
          <w:rtl/>
        </w:rPr>
        <w:t xml:space="preserve"> עוברים </w:t>
      </w:r>
      <w:r w:rsidR="005D76D9">
        <w:rPr>
          <w:rFonts w:hint="cs"/>
          <w:rtl/>
        </w:rPr>
        <w:t xml:space="preserve">על </w:t>
      </w:r>
      <w:r>
        <w:rPr>
          <w:rFonts w:hint="cs"/>
          <w:rtl/>
        </w:rPr>
        <w:t xml:space="preserve">איסור. </w:t>
      </w:r>
    </w:p>
    <w:p w14:paraId="721B2523" w14:textId="62559FCA" w:rsidR="00A0086B" w:rsidRDefault="00A0086B" w:rsidP="00BD5C3B">
      <w:pPr>
        <w:rPr>
          <w:rtl/>
        </w:rPr>
      </w:pPr>
      <w:r>
        <w:rPr>
          <w:rFonts w:hint="cs"/>
          <w:rtl/>
        </w:rPr>
        <w:t>בעקבות העיסוק באיסור תולעים בפרשת השבוע, נעסוק הפעם ב</w:t>
      </w:r>
      <w:r w:rsidR="00DB031D">
        <w:rPr>
          <w:rFonts w:hint="cs"/>
          <w:rtl/>
        </w:rPr>
        <w:t>חלק מ</w:t>
      </w:r>
      <w:r>
        <w:rPr>
          <w:rFonts w:hint="cs"/>
          <w:rtl/>
        </w:rPr>
        <w:t xml:space="preserve">עניין זה. נראה את מחלוקת הפוסקים מתי פרי </w:t>
      </w:r>
      <w:r w:rsidR="00FF1E31">
        <w:rPr>
          <w:rFonts w:hint="cs"/>
          <w:rtl/>
        </w:rPr>
        <w:t xml:space="preserve">או אורז </w:t>
      </w:r>
      <w:r>
        <w:rPr>
          <w:rFonts w:hint="cs"/>
          <w:rtl/>
        </w:rPr>
        <w:t xml:space="preserve">נחשב מוחזק בתולעים, </w:t>
      </w:r>
      <w:r w:rsidR="005D76D9">
        <w:rPr>
          <w:rFonts w:hint="cs"/>
          <w:rtl/>
        </w:rPr>
        <w:t>ויהיה צורך ב</w:t>
      </w:r>
      <w:r>
        <w:rPr>
          <w:rFonts w:hint="cs"/>
          <w:rtl/>
        </w:rPr>
        <w:t xml:space="preserve">בדיקה לפני אכילתו. כמו כן נעסוק </w:t>
      </w:r>
      <w:r w:rsidR="00FF1E31">
        <w:rPr>
          <w:rFonts w:hint="cs"/>
          <w:rtl/>
        </w:rPr>
        <w:t>במחלוקת הפוסקים, האם התולעים שנמצאו לאחרונה בדגים מותרים באכילה, מחלוקת שמושפעת בין השאר ממחלוקת נוספת, מה עושים כאשר ההלכה סותרת את המדע.</w:t>
      </w:r>
    </w:p>
    <w:p w14:paraId="5FBFA634" w14:textId="1A303429" w:rsidR="00A0086B" w:rsidRDefault="00A0086B" w:rsidP="00A0086B">
      <w:pPr>
        <w:rPr>
          <w:b/>
          <w:bCs/>
          <w:u w:val="single"/>
          <w:rtl/>
        </w:rPr>
      </w:pPr>
      <w:r>
        <w:rPr>
          <w:rFonts w:hint="cs"/>
          <w:b/>
          <w:bCs/>
          <w:u w:val="single"/>
          <w:rtl/>
        </w:rPr>
        <w:t>מחלוקת הראשונים</w:t>
      </w:r>
    </w:p>
    <w:p w14:paraId="13FA0256" w14:textId="5ECC59DA" w:rsidR="000776C5" w:rsidRDefault="00A0086B" w:rsidP="000776C5">
      <w:pPr>
        <w:rPr>
          <w:rtl/>
        </w:rPr>
      </w:pPr>
      <w:r>
        <w:rPr>
          <w:rFonts w:hint="cs"/>
          <w:rtl/>
        </w:rPr>
        <w:t xml:space="preserve">מתי חובה לבדוק פרי? הגמרא במסכת חולין </w:t>
      </w:r>
      <w:r w:rsidR="00DB6D13">
        <w:rPr>
          <w:rFonts w:hint="cs"/>
          <w:sz w:val="18"/>
          <w:szCs w:val="18"/>
          <w:rtl/>
        </w:rPr>
        <w:t>(נח ע''</w:t>
      </w:r>
      <w:r w:rsidR="009440BB">
        <w:rPr>
          <w:rFonts w:hint="cs"/>
          <w:sz w:val="18"/>
          <w:szCs w:val="18"/>
          <w:rtl/>
        </w:rPr>
        <w:t>ב</w:t>
      </w:r>
      <w:r w:rsidR="00DB6D13">
        <w:rPr>
          <w:rFonts w:hint="cs"/>
          <w:sz w:val="18"/>
          <w:szCs w:val="18"/>
          <w:rtl/>
        </w:rPr>
        <w:t xml:space="preserve">) </w:t>
      </w:r>
      <w:r w:rsidR="00DB6D13">
        <w:rPr>
          <w:rFonts w:hint="cs"/>
          <w:rtl/>
        </w:rPr>
        <w:t>כותבת,</w:t>
      </w:r>
      <w:r w:rsidR="0046177F">
        <w:rPr>
          <w:rFonts w:hint="cs"/>
          <w:rtl/>
        </w:rPr>
        <w:t xml:space="preserve"> שתמרים המונחים בכד</w:t>
      </w:r>
      <w:r w:rsidR="000776C5">
        <w:rPr>
          <w:rFonts w:hint="cs"/>
          <w:rtl/>
        </w:rPr>
        <w:t xml:space="preserve"> והתליעו</w:t>
      </w:r>
      <w:r w:rsidR="0046177F">
        <w:rPr>
          <w:rFonts w:hint="cs"/>
          <w:rtl/>
        </w:rPr>
        <w:t>, לאחר שתים עשרה חודש מותרים באכילה, כיוון שמסתמא התולעים הנמצאים ב</w:t>
      </w:r>
      <w:r w:rsidR="005D76D9">
        <w:rPr>
          <w:rFonts w:hint="cs"/>
          <w:rtl/>
        </w:rPr>
        <w:t xml:space="preserve">תמרים </w:t>
      </w:r>
      <w:r w:rsidR="0046177F">
        <w:rPr>
          <w:rFonts w:hint="cs"/>
          <w:rtl/>
        </w:rPr>
        <w:t xml:space="preserve">גדלו </w:t>
      </w:r>
      <w:r w:rsidR="003B4496">
        <w:rPr>
          <w:rFonts w:hint="cs"/>
          <w:rtl/>
        </w:rPr>
        <w:t>מתוך הפרי</w:t>
      </w:r>
      <w:r w:rsidR="0046177F">
        <w:rPr>
          <w:rFonts w:hint="cs"/>
          <w:rtl/>
        </w:rPr>
        <w:t xml:space="preserve"> </w:t>
      </w:r>
      <w:r w:rsidR="009440BB">
        <w:rPr>
          <w:rFonts w:hint="cs"/>
          <w:rtl/>
        </w:rPr>
        <w:t>ולא באו מבחוץ</w:t>
      </w:r>
      <w:r w:rsidR="00DC0A82">
        <w:rPr>
          <w:rFonts w:hint="cs"/>
          <w:rtl/>
        </w:rPr>
        <w:t>, ותולעים מעין אלו מותרים באכילה</w:t>
      </w:r>
      <w:r w:rsidR="009440BB">
        <w:rPr>
          <w:rFonts w:hint="cs"/>
          <w:rtl/>
        </w:rPr>
        <w:t xml:space="preserve"> </w:t>
      </w:r>
      <w:r w:rsidR="009440BB">
        <w:rPr>
          <w:rFonts w:hint="cs"/>
          <w:sz w:val="18"/>
          <w:szCs w:val="18"/>
          <w:rtl/>
        </w:rPr>
        <w:t>(להלן נראה הרחבה לדין זה)</w:t>
      </w:r>
      <w:r w:rsidR="009440BB">
        <w:rPr>
          <w:rFonts w:hint="cs"/>
          <w:rtl/>
        </w:rPr>
        <w:t xml:space="preserve">. </w:t>
      </w:r>
      <w:r w:rsidR="000776C5">
        <w:rPr>
          <w:rFonts w:hint="cs"/>
          <w:rtl/>
        </w:rPr>
        <w:t>נחלקו הראשונים, מתי יש לחשוש שיש תולעים בתמרים, ויש להמתין שתים עשרה חודשים:</w:t>
      </w:r>
    </w:p>
    <w:p w14:paraId="78B460CB" w14:textId="4EEF4AD0" w:rsidR="00081DD8" w:rsidRDefault="000776C5" w:rsidP="0065171B">
      <w:pPr>
        <w:rPr>
          <w:rtl/>
        </w:rPr>
      </w:pPr>
      <w:r>
        <w:rPr>
          <w:rFonts w:hint="cs"/>
          <w:rtl/>
        </w:rPr>
        <w:t xml:space="preserve">א. </w:t>
      </w:r>
      <w:r w:rsidR="009440BB" w:rsidRPr="00CA46BB">
        <w:rPr>
          <w:rFonts w:hint="cs"/>
          <w:b/>
          <w:bCs/>
          <w:rtl/>
        </w:rPr>
        <w:t>רש''י</w:t>
      </w:r>
      <w:r w:rsidR="009440BB">
        <w:rPr>
          <w:rFonts w:hint="cs"/>
          <w:rtl/>
        </w:rPr>
        <w:t xml:space="preserve"> פירש,</w:t>
      </w:r>
      <w:r w:rsidR="00CA46BB">
        <w:rPr>
          <w:rFonts w:hint="cs"/>
          <w:rtl/>
        </w:rPr>
        <w:t xml:space="preserve"> שרק במקרה בו וודאי יש תולעים בפירות (או על כל פנים רוב הסיכויים), יש להמתין שתים עשרה חודשים כדי לוודא שהתולעים </w:t>
      </w:r>
      <w:r w:rsidR="00FF1E31">
        <w:rPr>
          <w:rFonts w:hint="cs"/>
          <w:rtl/>
        </w:rPr>
        <w:t>מבפנים</w:t>
      </w:r>
      <w:r w:rsidR="00CA46BB">
        <w:rPr>
          <w:rFonts w:hint="cs"/>
          <w:rtl/>
        </w:rPr>
        <w:t xml:space="preserve">. ב. </w:t>
      </w:r>
      <w:r w:rsidR="00CA46BB" w:rsidRPr="00CA46BB">
        <w:rPr>
          <w:rFonts w:hint="cs"/>
          <w:b/>
          <w:bCs/>
          <w:rtl/>
        </w:rPr>
        <w:t>הרשב''א</w:t>
      </w:r>
      <w:r w:rsidR="00CA46BB">
        <w:rPr>
          <w:rFonts w:hint="cs"/>
          <w:rtl/>
        </w:rPr>
        <w:t xml:space="preserve"> </w:t>
      </w:r>
      <w:r w:rsidR="00BB221E">
        <w:rPr>
          <w:rFonts w:hint="cs"/>
          <w:sz w:val="18"/>
          <w:szCs w:val="18"/>
          <w:rtl/>
        </w:rPr>
        <w:t xml:space="preserve">(ד''ה </w:t>
      </w:r>
      <w:r w:rsidR="00E45381">
        <w:rPr>
          <w:rFonts w:hint="cs"/>
          <w:sz w:val="18"/>
          <w:szCs w:val="18"/>
          <w:rtl/>
        </w:rPr>
        <w:t>אמר</w:t>
      </w:r>
      <w:r w:rsidR="006A52C5">
        <w:rPr>
          <w:rFonts w:hint="cs"/>
          <w:sz w:val="18"/>
          <w:szCs w:val="18"/>
          <w:rtl/>
        </w:rPr>
        <w:t xml:space="preserve">) </w:t>
      </w:r>
      <w:r w:rsidR="00CA46BB">
        <w:rPr>
          <w:rFonts w:hint="cs"/>
          <w:rtl/>
        </w:rPr>
        <w:t>חלק וסבר, שלא צריך להגיע לרוב הסיכויים בשביל שתהיה חובה לבדוק, וגם במקרה בו יש 'מיעוט המצוי' חובה לבדוק, כפי שחובה לבדוק את ריאות הבהמה בגלל מיעוט מצוי של ריאות פסולות.</w:t>
      </w:r>
    </w:p>
    <w:p w14:paraId="7CB476E2" w14:textId="55E3841A" w:rsidR="00081DD8" w:rsidRDefault="00081DD8" w:rsidP="00295C4D">
      <w:pPr>
        <w:spacing w:after="80"/>
        <w:rPr>
          <w:u w:val="single"/>
          <w:rtl/>
        </w:rPr>
      </w:pPr>
      <w:r>
        <w:rPr>
          <w:rFonts w:hint="cs"/>
          <w:u w:val="single"/>
          <w:rtl/>
        </w:rPr>
        <w:t>מיעוט המצוי</w:t>
      </w:r>
    </w:p>
    <w:p w14:paraId="144FCAD1" w14:textId="2B1A715C" w:rsidR="00170160" w:rsidRPr="00170160" w:rsidRDefault="00170160" w:rsidP="00295C4D">
      <w:pPr>
        <w:spacing w:after="80"/>
        <w:rPr>
          <w:rtl/>
        </w:rPr>
      </w:pPr>
      <w:r>
        <w:rPr>
          <w:rFonts w:hint="cs"/>
          <w:rtl/>
        </w:rPr>
        <w:t xml:space="preserve">רוב הראשונים </w:t>
      </w:r>
      <w:r w:rsidR="00E314C4">
        <w:rPr>
          <w:rFonts w:hint="cs"/>
          <w:rtl/>
        </w:rPr>
        <w:t xml:space="preserve">נקטו להלכה כדעת </w:t>
      </w:r>
      <w:r w:rsidR="000A4242">
        <w:rPr>
          <w:rFonts w:hint="cs"/>
          <w:rtl/>
        </w:rPr>
        <w:t>ה</w:t>
      </w:r>
      <w:r w:rsidR="00E314C4">
        <w:rPr>
          <w:rFonts w:hint="cs"/>
          <w:rtl/>
        </w:rPr>
        <w:t xml:space="preserve">רשב''א, שדי במיעוט המצוי בשביל להצריך בדיקת פרי, </w:t>
      </w:r>
      <w:r>
        <w:rPr>
          <w:rFonts w:hint="cs"/>
          <w:rtl/>
        </w:rPr>
        <w:t xml:space="preserve">וכן נפסק להלכה (וודאי בהתחשב בעובדה שפירושו של רש''י על הגמרא, אינו פסיקת הלכה אלא רק </w:t>
      </w:r>
      <w:r w:rsidR="006552A6">
        <w:rPr>
          <w:rFonts w:hint="cs"/>
          <w:rtl/>
        </w:rPr>
        <w:t>פירוש מקומי</w:t>
      </w:r>
      <w:r w:rsidR="003D366D">
        <w:rPr>
          <w:rFonts w:hint="cs"/>
          <w:rtl/>
        </w:rPr>
        <w:t xml:space="preserve"> לסוגיה</w:t>
      </w:r>
      <w:r w:rsidR="006552A6">
        <w:rPr>
          <w:rFonts w:hint="cs"/>
          <w:rtl/>
        </w:rPr>
        <w:t>)</w:t>
      </w:r>
      <w:r w:rsidR="003D366D">
        <w:rPr>
          <w:rFonts w:hint="cs"/>
          <w:rtl/>
        </w:rPr>
        <w:t>. מה נחשב מיעוט המצוי המחייב בדיקה</w:t>
      </w:r>
      <w:r w:rsidR="006A52C5">
        <w:rPr>
          <w:rFonts w:hint="cs"/>
          <w:rtl/>
        </w:rPr>
        <w:t xml:space="preserve"> של הפרי</w:t>
      </w:r>
      <w:r w:rsidR="0011416D">
        <w:rPr>
          <w:rFonts w:hint="cs"/>
          <w:rtl/>
        </w:rPr>
        <w:t xml:space="preserve"> או הירק</w:t>
      </w:r>
      <w:r w:rsidR="00FF1E31">
        <w:rPr>
          <w:rFonts w:hint="cs"/>
          <w:rtl/>
        </w:rPr>
        <w:t>?</w:t>
      </w:r>
      <w:r w:rsidR="00485C94">
        <w:rPr>
          <w:rFonts w:hint="cs"/>
          <w:rtl/>
        </w:rPr>
        <w:t xml:space="preserve"> </w:t>
      </w:r>
      <w:r w:rsidR="003D366D">
        <w:rPr>
          <w:rFonts w:hint="cs"/>
          <w:rtl/>
        </w:rPr>
        <w:t xml:space="preserve">נחלקו </w:t>
      </w:r>
      <w:r w:rsidR="009203C1">
        <w:rPr>
          <w:rFonts w:hint="cs"/>
          <w:rtl/>
        </w:rPr>
        <w:t>הפוסקים</w:t>
      </w:r>
      <w:r w:rsidR="003D366D">
        <w:rPr>
          <w:rFonts w:hint="cs"/>
          <w:rtl/>
        </w:rPr>
        <w:t>:</w:t>
      </w:r>
    </w:p>
    <w:p w14:paraId="72C56656" w14:textId="48EF6307" w:rsidR="00152457" w:rsidRDefault="00152457" w:rsidP="00295C4D">
      <w:pPr>
        <w:spacing w:after="80"/>
        <w:rPr>
          <w:rtl/>
        </w:rPr>
      </w:pPr>
      <w:r>
        <w:rPr>
          <w:rFonts w:hint="cs"/>
          <w:rtl/>
        </w:rPr>
        <w:t>א.</w:t>
      </w:r>
      <w:r w:rsidR="009203C1">
        <w:rPr>
          <w:rFonts w:hint="cs"/>
          <w:rtl/>
        </w:rPr>
        <w:t xml:space="preserve"> </w:t>
      </w:r>
      <w:r w:rsidR="009203C1" w:rsidRPr="009203C1">
        <w:rPr>
          <w:rFonts w:hint="cs"/>
          <w:b/>
          <w:bCs/>
          <w:rtl/>
        </w:rPr>
        <w:t xml:space="preserve">הריב''ש </w:t>
      </w:r>
      <w:r w:rsidR="00F0153F" w:rsidRPr="00F0153F">
        <w:rPr>
          <w:rFonts w:hint="cs"/>
          <w:sz w:val="18"/>
          <w:szCs w:val="18"/>
          <w:rtl/>
        </w:rPr>
        <w:t xml:space="preserve">(סי' </w:t>
      </w:r>
      <w:proofErr w:type="spellStart"/>
      <w:r w:rsidR="00F0153F" w:rsidRPr="00F0153F">
        <w:rPr>
          <w:rFonts w:hint="cs"/>
          <w:sz w:val="18"/>
          <w:szCs w:val="18"/>
          <w:rtl/>
        </w:rPr>
        <w:t>קצא</w:t>
      </w:r>
      <w:proofErr w:type="spellEnd"/>
      <w:r w:rsidR="00F0153F" w:rsidRPr="00F0153F">
        <w:rPr>
          <w:rFonts w:hint="cs"/>
          <w:sz w:val="18"/>
          <w:szCs w:val="18"/>
          <w:rtl/>
        </w:rPr>
        <w:t>)</w:t>
      </w:r>
      <w:r w:rsidR="00F0153F">
        <w:rPr>
          <w:rFonts w:hint="cs"/>
          <w:b/>
          <w:bCs/>
          <w:sz w:val="18"/>
          <w:szCs w:val="18"/>
          <w:rtl/>
        </w:rPr>
        <w:t xml:space="preserve"> </w:t>
      </w:r>
      <w:r w:rsidR="009203C1">
        <w:rPr>
          <w:rFonts w:hint="cs"/>
          <w:rtl/>
        </w:rPr>
        <w:t xml:space="preserve">בדעה המקילה ביותר כתב, שמיעוט </w:t>
      </w:r>
      <w:r w:rsidR="00243BF6">
        <w:rPr>
          <w:rFonts w:hint="cs"/>
          <w:rtl/>
        </w:rPr>
        <w:t xml:space="preserve">המצוי המחייב בדיקה הוא </w:t>
      </w:r>
      <w:r w:rsidR="00935D42">
        <w:rPr>
          <w:rFonts w:hint="cs"/>
          <w:rtl/>
        </w:rPr>
        <w:t xml:space="preserve">מקרה בו סיכוי של </w:t>
      </w:r>
      <w:r w:rsidR="00243BF6">
        <w:rPr>
          <w:rFonts w:hint="cs"/>
          <w:rtl/>
        </w:rPr>
        <w:t>קרוב לחמישים אחוז</w:t>
      </w:r>
      <w:r w:rsidR="00935D42">
        <w:rPr>
          <w:rFonts w:hint="cs"/>
          <w:rtl/>
        </w:rPr>
        <w:t xml:space="preserve"> תולעים</w:t>
      </w:r>
      <w:r w:rsidR="00243BF6">
        <w:rPr>
          <w:rFonts w:hint="cs"/>
          <w:rtl/>
        </w:rPr>
        <w:t xml:space="preserve">. במקרה זה, למרות שמעיקר הדין יש ללכת על פי הרוב, חוששים למיעוט המצוי ובודקים. </w:t>
      </w:r>
      <w:r w:rsidR="00714AE3">
        <w:rPr>
          <w:rFonts w:hint="cs"/>
          <w:rtl/>
        </w:rPr>
        <w:t xml:space="preserve">בביאור שיטתו כתב הרב אשר וייס </w:t>
      </w:r>
      <w:r w:rsidR="00714AE3" w:rsidRPr="00F244C1">
        <w:rPr>
          <w:rFonts w:hint="cs"/>
          <w:sz w:val="18"/>
          <w:szCs w:val="18"/>
          <w:rtl/>
        </w:rPr>
        <w:t>(מנחת אשר</w:t>
      </w:r>
      <w:r w:rsidR="00714AE3">
        <w:rPr>
          <w:rFonts w:hint="cs"/>
          <w:sz w:val="18"/>
          <w:szCs w:val="18"/>
          <w:rtl/>
        </w:rPr>
        <w:t xml:space="preserve"> ויקרא סי' טז)</w:t>
      </w:r>
      <w:r w:rsidR="00714AE3">
        <w:rPr>
          <w:rFonts w:hint="cs"/>
          <w:rtl/>
        </w:rPr>
        <w:t>, שמכיוון שלא מפורש מה הוא מיעוט המצוי, יש לצמצם את החומרא המחודשת ככל האפשר</w:t>
      </w:r>
      <w:r w:rsidR="00C429E2">
        <w:rPr>
          <w:rFonts w:hint="cs"/>
          <w:rtl/>
        </w:rPr>
        <w:t>, ובלשונו:</w:t>
      </w:r>
    </w:p>
    <w:p w14:paraId="255D25EC" w14:textId="65889115" w:rsidR="00C429E2" w:rsidRPr="00714AE3" w:rsidRDefault="00C429E2" w:rsidP="00295C4D">
      <w:pPr>
        <w:spacing w:after="80"/>
        <w:ind w:left="720"/>
        <w:rPr>
          <w:rtl/>
        </w:rPr>
      </w:pPr>
      <w:r>
        <w:rPr>
          <w:rFonts w:hint="cs"/>
          <w:rtl/>
        </w:rPr>
        <w:t>''ובגדר מיעוט המצוי נחלקו הפוסקים, הריב''ש כתב ד</w:t>
      </w:r>
      <w:r w:rsidR="00001766">
        <w:rPr>
          <w:rFonts w:hint="cs"/>
          <w:rtl/>
        </w:rPr>
        <w:t>ר</w:t>
      </w:r>
      <w:r>
        <w:rPr>
          <w:rFonts w:hint="cs"/>
          <w:rtl/>
        </w:rPr>
        <w:t>ק בקרוב למחצה הוי מיעוט המצוי, והי</w:t>
      </w:r>
      <w:r w:rsidR="00EA3484">
        <w:rPr>
          <w:rFonts w:hint="cs"/>
          <w:rtl/>
        </w:rPr>
        <w:t>נ</w:t>
      </w:r>
      <w:r>
        <w:rPr>
          <w:rFonts w:hint="cs"/>
          <w:rtl/>
        </w:rPr>
        <w:t>ה שיטתו יש בה הגיו</w:t>
      </w:r>
      <w:r w:rsidR="00EA3484">
        <w:rPr>
          <w:rFonts w:hint="cs"/>
          <w:rtl/>
        </w:rPr>
        <w:t>ן</w:t>
      </w:r>
      <w:r>
        <w:rPr>
          <w:rFonts w:hint="cs"/>
          <w:rtl/>
        </w:rPr>
        <w:t xml:space="preserve"> רב, </w:t>
      </w:r>
      <w:proofErr w:type="spellStart"/>
      <w:r>
        <w:rPr>
          <w:rFonts w:hint="cs"/>
          <w:rtl/>
        </w:rPr>
        <w:t>דכיוון</w:t>
      </w:r>
      <w:proofErr w:type="spellEnd"/>
      <w:r>
        <w:rPr>
          <w:rFonts w:hint="cs"/>
          <w:rtl/>
        </w:rPr>
        <w:t xml:space="preserve"> </w:t>
      </w:r>
      <w:proofErr w:type="spellStart"/>
      <w:r>
        <w:rPr>
          <w:rFonts w:hint="cs"/>
          <w:rtl/>
        </w:rPr>
        <w:t>דכלל</w:t>
      </w:r>
      <w:proofErr w:type="spellEnd"/>
      <w:r>
        <w:rPr>
          <w:rFonts w:hint="cs"/>
          <w:rtl/>
        </w:rPr>
        <w:t xml:space="preserve"> הוא </w:t>
      </w:r>
      <w:proofErr w:type="spellStart"/>
      <w:r>
        <w:rPr>
          <w:rFonts w:hint="cs"/>
          <w:rtl/>
        </w:rPr>
        <w:t>דאזלינן</w:t>
      </w:r>
      <w:proofErr w:type="spellEnd"/>
      <w:r>
        <w:rPr>
          <w:rFonts w:hint="cs"/>
          <w:rtl/>
        </w:rPr>
        <w:t xml:space="preserve"> </w:t>
      </w:r>
      <w:r w:rsidR="00E30D25">
        <w:rPr>
          <w:rFonts w:hint="cs"/>
          <w:rtl/>
        </w:rPr>
        <w:t xml:space="preserve">בתר </w:t>
      </w:r>
      <w:r>
        <w:rPr>
          <w:rFonts w:hint="cs"/>
          <w:sz w:val="18"/>
          <w:szCs w:val="18"/>
          <w:rtl/>
        </w:rPr>
        <w:t>(= שהולכים</w:t>
      </w:r>
      <w:r w:rsidR="00E30D25">
        <w:rPr>
          <w:rFonts w:hint="cs"/>
          <w:sz w:val="18"/>
          <w:szCs w:val="18"/>
          <w:rtl/>
        </w:rPr>
        <w:t xml:space="preserve"> אחרי</w:t>
      </w:r>
      <w:r>
        <w:rPr>
          <w:rFonts w:hint="cs"/>
          <w:sz w:val="18"/>
          <w:szCs w:val="18"/>
          <w:rtl/>
        </w:rPr>
        <w:t xml:space="preserve">) </w:t>
      </w:r>
      <w:r>
        <w:rPr>
          <w:rFonts w:hint="cs"/>
          <w:rtl/>
        </w:rPr>
        <w:t>רוב בכל מקום, והתחדשה הלכה</w:t>
      </w:r>
      <w:r w:rsidR="00E1329E">
        <w:rPr>
          <w:rFonts w:hint="cs"/>
          <w:rtl/>
        </w:rPr>
        <w:t xml:space="preserve"> דיש</w:t>
      </w:r>
      <w:r>
        <w:rPr>
          <w:rFonts w:hint="cs"/>
          <w:rtl/>
        </w:rPr>
        <w:t xml:space="preserve"> לחשוש למעט המצוי - אין לך בו אלא חידושו, ומסתבר לצמצם חומרא זו כמה </w:t>
      </w:r>
      <w:proofErr w:type="spellStart"/>
      <w:r>
        <w:rPr>
          <w:rFonts w:hint="cs"/>
          <w:rtl/>
        </w:rPr>
        <w:t>דאפשר</w:t>
      </w:r>
      <w:proofErr w:type="spellEnd"/>
      <w:r>
        <w:rPr>
          <w:rFonts w:hint="cs"/>
          <w:rtl/>
        </w:rPr>
        <w:t xml:space="preserve">.'' </w:t>
      </w:r>
    </w:p>
    <w:p w14:paraId="7993A70F" w14:textId="3EB93E1F" w:rsidR="00152457" w:rsidRDefault="00152457" w:rsidP="00295C4D">
      <w:pPr>
        <w:spacing w:after="80"/>
        <w:rPr>
          <w:rtl/>
        </w:rPr>
      </w:pPr>
      <w:r>
        <w:rPr>
          <w:rFonts w:hint="cs"/>
          <w:rtl/>
        </w:rPr>
        <w:t xml:space="preserve">ב. </w:t>
      </w:r>
      <w:r w:rsidR="00A2681E" w:rsidRPr="00AB44C2">
        <w:rPr>
          <w:rFonts w:hint="cs"/>
          <w:b/>
          <w:bCs/>
          <w:rtl/>
        </w:rPr>
        <w:t>המשכנות</w:t>
      </w:r>
      <w:r w:rsidR="00A2681E">
        <w:rPr>
          <w:rFonts w:hint="cs"/>
          <w:rtl/>
        </w:rPr>
        <w:t xml:space="preserve"> </w:t>
      </w:r>
      <w:r w:rsidR="00A2681E" w:rsidRPr="00AB44C2">
        <w:rPr>
          <w:rFonts w:hint="cs"/>
          <w:b/>
          <w:bCs/>
          <w:rtl/>
        </w:rPr>
        <w:t>יעקב</w:t>
      </w:r>
      <w:r w:rsidR="00A2681E">
        <w:rPr>
          <w:rFonts w:hint="cs"/>
          <w:rtl/>
        </w:rPr>
        <w:t xml:space="preserve"> </w:t>
      </w:r>
      <w:r w:rsidR="00A2681E">
        <w:rPr>
          <w:rFonts w:hint="cs"/>
          <w:sz w:val="18"/>
          <w:szCs w:val="18"/>
          <w:rtl/>
        </w:rPr>
        <w:t xml:space="preserve">(יו''ד סי' יז) </w:t>
      </w:r>
      <w:r w:rsidR="00A2681E">
        <w:rPr>
          <w:rFonts w:hint="cs"/>
          <w:rtl/>
        </w:rPr>
        <w:t xml:space="preserve">חלק וסבר, שמיעוט המצוי המחייב בדיקה הוא כבר כאשר עשר אחוז מהפירות מתולעים. </w:t>
      </w:r>
      <w:r w:rsidR="00635EB6">
        <w:rPr>
          <w:rFonts w:hint="cs"/>
          <w:rtl/>
        </w:rPr>
        <w:t xml:space="preserve">ראייה לדבריו הביא מהגמרא במסכת גיטין </w:t>
      </w:r>
      <w:r w:rsidR="00635EB6">
        <w:rPr>
          <w:rFonts w:hint="cs"/>
          <w:sz w:val="18"/>
          <w:szCs w:val="18"/>
          <w:rtl/>
        </w:rPr>
        <w:t>(לא ע''א)</w:t>
      </w:r>
      <w:r w:rsidR="00714AE3">
        <w:rPr>
          <w:rFonts w:hint="cs"/>
          <w:rtl/>
        </w:rPr>
        <w:t xml:space="preserve"> </w:t>
      </w:r>
      <w:r w:rsidR="00635EB6">
        <w:rPr>
          <w:rFonts w:hint="cs"/>
          <w:rtl/>
        </w:rPr>
        <w:t>הכותבת, שיש לבדוק שלוש פעמים בשנה את היין אם החמיץ. והרי מבואר, שמצוי שעשר חביות מתוך מאה מחמיצות - מוכח שכאשר יש שיעור של עשר</w:t>
      </w:r>
      <w:r w:rsidR="00485C94">
        <w:rPr>
          <w:rFonts w:hint="cs"/>
          <w:rtl/>
        </w:rPr>
        <w:t>ה</w:t>
      </w:r>
      <w:r w:rsidR="00635EB6">
        <w:rPr>
          <w:rFonts w:hint="cs"/>
          <w:rtl/>
        </w:rPr>
        <w:t xml:space="preserve"> אחוזים חובה לבדוק</w:t>
      </w:r>
    </w:p>
    <w:p w14:paraId="7F226617" w14:textId="46B24C9C" w:rsidR="00703F62" w:rsidRDefault="00152457" w:rsidP="00295C4D">
      <w:pPr>
        <w:spacing w:after="80"/>
        <w:rPr>
          <w:rtl/>
        </w:rPr>
      </w:pPr>
      <w:r>
        <w:rPr>
          <w:rFonts w:hint="cs"/>
          <w:rtl/>
        </w:rPr>
        <w:t xml:space="preserve">ג. </w:t>
      </w:r>
      <w:r w:rsidR="00170160" w:rsidRPr="00F244C1">
        <w:rPr>
          <w:rFonts w:hint="cs"/>
          <w:b/>
          <w:bCs/>
          <w:rtl/>
        </w:rPr>
        <w:t>הרב</w:t>
      </w:r>
      <w:r w:rsidR="00170160">
        <w:rPr>
          <w:rFonts w:hint="cs"/>
          <w:rtl/>
        </w:rPr>
        <w:t xml:space="preserve"> </w:t>
      </w:r>
      <w:r w:rsidR="00170160" w:rsidRPr="00F244C1">
        <w:rPr>
          <w:rFonts w:hint="cs"/>
          <w:b/>
          <w:bCs/>
          <w:rtl/>
        </w:rPr>
        <w:t>וואזנר</w:t>
      </w:r>
      <w:r w:rsidR="00170160">
        <w:rPr>
          <w:rFonts w:hint="cs"/>
          <w:rtl/>
        </w:rPr>
        <w:t xml:space="preserve"> </w:t>
      </w:r>
      <w:r w:rsidR="00170160">
        <w:rPr>
          <w:rFonts w:hint="cs"/>
          <w:sz w:val="18"/>
          <w:szCs w:val="18"/>
          <w:rtl/>
        </w:rPr>
        <w:t xml:space="preserve">(שבט הלוי ד, פא) </w:t>
      </w:r>
      <w:r w:rsidR="00170160" w:rsidRPr="00170160">
        <w:rPr>
          <w:rFonts w:hint="cs"/>
          <w:b/>
          <w:bCs/>
          <w:rtl/>
        </w:rPr>
        <w:t>והרב אשר וייס</w:t>
      </w:r>
      <w:r w:rsidR="00170160">
        <w:rPr>
          <w:rFonts w:hint="cs"/>
          <w:b/>
          <w:bCs/>
          <w:rtl/>
        </w:rPr>
        <w:t xml:space="preserve"> </w:t>
      </w:r>
      <w:r w:rsidR="00714AE3" w:rsidRPr="00714AE3">
        <w:rPr>
          <w:rFonts w:hint="cs"/>
          <w:sz w:val="16"/>
          <w:szCs w:val="16"/>
          <w:rtl/>
        </w:rPr>
        <w:t>(שם)</w:t>
      </w:r>
      <w:r w:rsidR="00714AE3">
        <w:rPr>
          <w:rFonts w:hint="cs"/>
          <w:b/>
          <w:bCs/>
          <w:sz w:val="16"/>
          <w:szCs w:val="16"/>
          <w:rtl/>
        </w:rPr>
        <w:t xml:space="preserve"> </w:t>
      </w:r>
      <w:r w:rsidR="008260FE">
        <w:rPr>
          <w:rFonts w:hint="cs"/>
          <w:rtl/>
        </w:rPr>
        <w:t>הלכו בכיוון שונה ו</w:t>
      </w:r>
      <w:r w:rsidR="00181923">
        <w:rPr>
          <w:rFonts w:hint="cs"/>
          <w:rtl/>
        </w:rPr>
        <w:t>סברו,</w:t>
      </w:r>
      <w:r w:rsidR="008E4966">
        <w:rPr>
          <w:rFonts w:hint="cs"/>
          <w:rtl/>
        </w:rPr>
        <w:t xml:space="preserve"> ש</w:t>
      </w:r>
      <w:r w:rsidR="00181923">
        <w:rPr>
          <w:rFonts w:hint="cs"/>
          <w:rtl/>
        </w:rPr>
        <w:t xml:space="preserve">אין כמות מדויקת של אחוזים בה מודדים מיעוט מצוי, </w:t>
      </w:r>
      <w:r w:rsidR="00485C94">
        <w:rPr>
          <w:rFonts w:hint="cs"/>
          <w:rtl/>
        </w:rPr>
        <w:t xml:space="preserve">שכן </w:t>
      </w:r>
      <w:r w:rsidR="00181923">
        <w:rPr>
          <w:rFonts w:hint="cs"/>
          <w:rtl/>
        </w:rPr>
        <w:t xml:space="preserve">חז''ל לא השתמשו באחוזים. </w:t>
      </w:r>
      <w:r w:rsidR="006F01DA">
        <w:rPr>
          <w:rFonts w:hint="cs"/>
          <w:rtl/>
        </w:rPr>
        <w:t xml:space="preserve">לשיטתם </w:t>
      </w:r>
      <w:r w:rsidR="00181923">
        <w:rPr>
          <w:rFonts w:hint="cs"/>
          <w:rtl/>
        </w:rPr>
        <w:t>מיעוט המצוי הכוונה למקרה בו נפגשים עם תופעה ולא מופתעים ממנה</w:t>
      </w:r>
      <w:r w:rsidR="00170160">
        <w:rPr>
          <w:rFonts w:hint="cs"/>
          <w:rtl/>
        </w:rPr>
        <w:t>.</w:t>
      </w:r>
      <w:r w:rsidR="00181923">
        <w:rPr>
          <w:rFonts w:hint="cs"/>
          <w:rtl/>
        </w:rPr>
        <w:t xml:space="preserve"> לדוגמא, האוכל תפוח וימצא תולעת, יופתע</w:t>
      </w:r>
      <w:r w:rsidR="002E52B5">
        <w:rPr>
          <w:rFonts w:hint="cs"/>
          <w:rtl/>
        </w:rPr>
        <w:t xml:space="preserve"> כי לא מדובר בדבר מצוי, ומשום כך אין חובה לבודקו</w:t>
      </w:r>
      <w:r w:rsidR="00703F62">
        <w:rPr>
          <w:rFonts w:hint="cs"/>
          <w:rtl/>
        </w:rPr>
        <w:t>, ובלשון הרב אשר וייס</w:t>
      </w:r>
      <w:r w:rsidR="002E52B5">
        <w:rPr>
          <w:rFonts w:hint="cs"/>
          <w:rtl/>
        </w:rPr>
        <w:t>:</w:t>
      </w:r>
    </w:p>
    <w:p w14:paraId="04236E01" w14:textId="437593EF" w:rsidR="00703F62" w:rsidRPr="00703F62" w:rsidRDefault="00703F62" w:rsidP="00295C4D">
      <w:pPr>
        <w:spacing w:after="80"/>
        <w:ind w:left="720"/>
      </w:pPr>
      <w:r>
        <w:rPr>
          <w:rFonts w:hint="cs"/>
          <w:rtl/>
        </w:rPr>
        <w:t>''</w:t>
      </w:r>
      <w:r w:rsidRPr="00703F62">
        <w:rPr>
          <w:rtl/>
        </w:rPr>
        <w:t>והנראה עיקר להלכה, דאין בידנו לקבוע בזה שיעור באחוזים, הלא הראשונים כמלאכים לא עסקו במדעי סטטיסטיקה ולא מצינו בדבריהם בשום מקום שיקבעו הלכות לפי אחוזים, אלא כל מיעוט המצוי תדיר והוא מופיע כדבר שבשגרה ואיננו מציאות חריגה הוי מיעוט המצוי וצריך לחוש לו, ואין הדבר תלוי באחוזים אלא בתדירות.</w:t>
      </w:r>
      <w:r>
        <w:rPr>
          <w:rFonts w:hint="cs"/>
          <w:rtl/>
        </w:rPr>
        <w:t>''</w:t>
      </w:r>
    </w:p>
    <w:p w14:paraId="5C92A81E" w14:textId="1EE3DED6" w:rsidR="003046F0" w:rsidRDefault="00BD4C9E" w:rsidP="005B669E">
      <w:pPr>
        <w:spacing w:after="80"/>
        <w:rPr>
          <w:rtl/>
        </w:rPr>
      </w:pPr>
      <w:r>
        <w:rPr>
          <w:rFonts w:hint="cs"/>
          <w:rtl/>
        </w:rPr>
        <w:t xml:space="preserve">את ראיית המשכנות יעקב </w:t>
      </w:r>
      <w:r w:rsidR="006C2619">
        <w:rPr>
          <w:rFonts w:hint="cs"/>
          <w:rtl/>
        </w:rPr>
        <w:t>דח</w:t>
      </w:r>
      <w:r w:rsidR="00696283">
        <w:rPr>
          <w:rFonts w:hint="cs"/>
          <w:rtl/>
        </w:rPr>
        <w:t>ו</w:t>
      </w:r>
      <w:r>
        <w:rPr>
          <w:rFonts w:hint="cs"/>
          <w:rtl/>
        </w:rPr>
        <w:t xml:space="preserve">, </w:t>
      </w:r>
      <w:r w:rsidR="00635EB6">
        <w:rPr>
          <w:rFonts w:hint="cs"/>
          <w:rtl/>
        </w:rPr>
        <w:t xml:space="preserve">שאמנם הגמרא כותבת שכאשר יש סיכוי של עשר אחוז החמצה של היין יש לבדוק את החביות, אבל </w:t>
      </w:r>
      <w:r w:rsidR="005B669E">
        <w:rPr>
          <w:rFonts w:hint="cs"/>
          <w:rtl/>
        </w:rPr>
        <w:t xml:space="preserve">אין קשר לכך לחיוב בדיקת תולעים ולמיעוט המצוי. השיעור שבו יין רגיל להחמיץ, ורגילים להקפיד על שיעור </w:t>
      </w:r>
      <w:proofErr w:type="spellStart"/>
      <w:r w:rsidR="005B669E">
        <w:rPr>
          <w:rFonts w:hint="cs"/>
          <w:rtl/>
        </w:rPr>
        <w:t>חימוצו</w:t>
      </w:r>
      <w:proofErr w:type="spellEnd"/>
      <w:r w:rsidR="005B669E">
        <w:rPr>
          <w:rFonts w:hint="cs"/>
          <w:rtl/>
        </w:rPr>
        <w:t xml:space="preserve"> הוא עשרה אחוזים, ומשום כך אין משם ראייה לעניין זה. </w:t>
      </w:r>
    </w:p>
    <w:p w14:paraId="2580DB26" w14:textId="1120E4DF" w:rsidR="00DB6D13" w:rsidRDefault="00E45381" w:rsidP="00295C4D">
      <w:pPr>
        <w:spacing w:after="80"/>
        <w:rPr>
          <w:rtl/>
        </w:rPr>
      </w:pPr>
      <w:r>
        <w:rPr>
          <w:rFonts w:hint="cs"/>
          <w:rtl/>
        </w:rPr>
        <w:t xml:space="preserve">מכל מקום יוצא שלפי כל השיטות, כאשר קונים בזמן הזה קמח או אורז מחברה רצינית - אין חובה לבודקם, </w:t>
      </w:r>
      <w:r w:rsidR="00485C94">
        <w:rPr>
          <w:rFonts w:hint="cs"/>
          <w:rtl/>
        </w:rPr>
        <w:t>שכן</w:t>
      </w:r>
      <w:r>
        <w:rPr>
          <w:rFonts w:hint="cs"/>
          <w:rtl/>
        </w:rPr>
        <w:t xml:space="preserve"> מקרה בו מוצאים תולעת בשקיות אלו </w:t>
      </w:r>
      <w:r w:rsidR="004825D9">
        <w:rPr>
          <w:rFonts w:hint="cs"/>
          <w:rtl/>
        </w:rPr>
        <w:t xml:space="preserve">גם </w:t>
      </w:r>
      <w:r>
        <w:rPr>
          <w:rFonts w:hint="cs"/>
          <w:rtl/>
        </w:rPr>
        <w:t xml:space="preserve">לאחר ברירה ובדיקה רחוק מאוד. במקרה בו </w:t>
      </w:r>
      <w:r w:rsidR="00A248F2">
        <w:rPr>
          <w:rFonts w:hint="cs"/>
          <w:rtl/>
        </w:rPr>
        <w:t>ו</w:t>
      </w:r>
      <w:r>
        <w:rPr>
          <w:rFonts w:hint="cs"/>
          <w:rtl/>
        </w:rPr>
        <w:t xml:space="preserve">בכל זאת הייתה תולעת </w:t>
      </w:r>
      <w:r w:rsidR="003E29E1">
        <w:rPr>
          <w:rFonts w:hint="cs"/>
          <w:rtl/>
        </w:rPr>
        <w:t>(דבר שכאמור לא מצוי</w:t>
      </w:r>
      <w:r w:rsidR="00A248F2">
        <w:rPr>
          <w:rFonts w:hint="cs"/>
          <w:rtl/>
        </w:rPr>
        <w:t>)</w:t>
      </w:r>
      <w:r w:rsidR="003E29E1">
        <w:rPr>
          <w:rFonts w:hint="cs"/>
          <w:rtl/>
        </w:rPr>
        <w:t xml:space="preserve"> </w:t>
      </w:r>
      <w:r>
        <w:rPr>
          <w:rFonts w:hint="cs"/>
          <w:rtl/>
        </w:rPr>
        <w:t>ואכלו אותה בטעות</w:t>
      </w:r>
      <w:r w:rsidR="003E29E1">
        <w:rPr>
          <w:rFonts w:hint="cs"/>
          <w:rtl/>
        </w:rPr>
        <w:t xml:space="preserve"> כי לא בדקו</w:t>
      </w:r>
      <w:r>
        <w:rPr>
          <w:rFonts w:hint="cs"/>
          <w:rtl/>
        </w:rPr>
        <w:t>, אין בכך עוון</w:t>
      </w:r>
      <w:r w:rsidR="008A578B">
        <w:rPr>
          <w:rFonts w:hint="cs"/>
          <w:rtl/>
        </w:rPr>
        <w:t xml:space="preserve"> כלל</w:t>
      </w:r>
      <w:r>
        <w:rPr>
          <w:rFonts w:hint="cs"/>
          <w:rtl/>
        </w:rPr>
        <w:t xml:space="preserve">, משום </w:t>
      </w:r>
      <w:r w:rsidR="00A248F2">
        <w:rPr>
          <w:rFonts w:hint="cs"/>
          <w:rtl/>
        </w:rPr>
        <w:t>שחובת הבדיקה היא</w:t>
      </w:r>
      <w:r>
        <w:rPr>
          <w:rFonts w:hint="cs"/>
          <w:rtl/>
        </w:rPr>
        <w:t xml:space="preserve"> רק כאשר יש מיעוט המצוי</w:t>
      </w:r>
      <w:r w:rsidR="00ED0FC8">
        <w:rPr>
          <w:rFonts w:hint="cs"/>
          <w:rtl/>
        </w:rPr>
        <w:t xml:space="preserve"> </w:t>
      </w:r>
      <w:r w:rsidR="00ED0FC8">
        <w:rPr>
          <w:rFonts w:hint="cs"/>
          <w:sz w:val="18"/>
          <w:szCs w:val="18"/>
          <w:rtl/>
        </w:rPr>
        <w:t>(ועיין הערה</w:t>
      </w:r>
      <w:r w:rsidR="00ED0FC8" w:rsidRPr="00F64062">
        <w:rPr>
          <w:rStyle w:val="a5"/>
          <w:rtl/>
        </w:rPr>
        <w:footnoteReference w:id="2"/>
      </w:r>
      <w:r w:rsidR="00ED0FC8">
        <w:rPr>
          <w:rFonts w:hint="cs"/>
          <w:sz w:val="18"/>
          <w:szCs w:val="18"/>
          <w:rtl/>
        </w:rPr>
        <w:t>)</w:t>
      </w:r>
      <w:r>
        <w:rPr>
          <w:rFonts w:hint="cs"/>
          <w:rtl/>
        </w:rPr>
        <w:t>.</w:t>
      </w:r>
    </w:p>
    <w:p w14:paraId="296AA89C" w14:textId="4263AFD5" w:rsidR="00DB6D13" w:rsidRDefault="00DB6D13" w:rsidP="00650005">
      <w:pPr>
        <w:spacing w:after="80"/>
        <w:rPr>
          <w:b/>
          <w:bCs/>
          <w:u w:val="single"/>
          <w:rtl/>
        </w:rPr>
      </w:pPr>
      <w:r>
        <w:rPr>
          <w:rFonts w:hint="cs"/>
          <w:b/>
          <w:bCs/>
          <w:u w:val="single"/>
          <w:rtl/>
        </w:rPr>
        <w:lastRenderedPageBreak/>
        <w:t>שרץ שלא פרש</w:t>
      </w:r>
    </w:p>
    <w:p w14:paraId="055D5BD2" w14:textId="39DD3715" w:rsidR="00DB6D13" w:rsidRDefault="00DB6D13" w:rsidP="00650005">
      <w:pPr>
        <w:spacing w:after="80"/>
        <w:rPr>
          <w:rtl/>
        </w:rPr>
      </w:pPr>
      <w:r>
        <w:rPr>
          <w:rFonts w:hint="cs"/>
          <w:rtl/>
        </w:rPr>
        <w:t xml:space="preserve">עד כה ראינו שבפשטות יש איסור לאכול את כל השרצים הנמצאים באוכלים, אולם הגמרא במסכת חולין </w:t>
      </w:r>
      <w:r w:rsidR="00B70B24">
        <w:rPr>
          <w:rFonts w:hint="cs"/>
          <w:sz w:val="18"/>
          <w:szCs w:val="18"/>
          <w:rtl/>
        </w:rPr>
        <w:t xml:space="preserve">(סז ע''ב) </w:t>
      </w:r>
      <w:r>
        <w:rPr>
          <w:rFonts w:hint="cs"/>
          <w:rtl/>
        </w:rPr>
        <w:t>מצמצמת דין זה. הגמרא כותבת, שבשביל ששרץ ייאסר הוא צריך לרחוש על הארץ, וכלשון הפסוק 'השרץ השורץ על הארץ', אבל אם התולעת גדלה בתוך הפרי ולא הגיעה מבחוץ - היא מותרת באכילה. נחלקו האמוראים ובעקבותיהם הראשונים, בביאור דין זה:</w:t>
      </w:r>
    </w:p>
    <w:p w14:paraId="22EFF5DC" w14:textId="7696E21D" w:rsidR="00DB6D13" w:rsidRDefault="00DB6D13" w:rsidP="00650005">
      <w:pPr>
        <w:spacing w:after="80"/>
        <w:rPr>
          <w:rtl/>
        </w:rPr>
      </w:pPr>
      <w:r>
        <w:rPr>
          <w:rFonts w:hint="cs"/>
          <w:rtl/>
        </w:rPr>
        <w:t xml:space="preserve">א. שמואל </w:t>
      </w:r>
      <w:r w:rsidR="00117C6B">
        <w:rPr>
          <w:rFonts w:hint="cs"/>
          <w:rtl/>
        </w:rPr>
        <w:t xml:space="preserve">ובעקבותיו </w:t>
      </w:r>
      <w:r w:rsidR="00117C6B" w:rsidRPr="00D70276">
        <w:rPr>
          <w:rFonts w:hint="cs"/>
          <w:b/>
          <w:bCs/>
          <w:rtl/>
        </w:rPr>
        <w:t>הרמב''ם</w:t>
      </w:r>
      <w:r w:rsidR="00117C6B">
        <w:rPr>
          <w:rFonts w:hint="cs"/>
          <w:rtl/>
        </w:rPr>
        <w:t xml:space="preserve"> </w:t>
      </w:r>
      <w:r w:rsidR="00663AFB">
        <w:rPr>
          <w:rFonts w:hint="cs"/>
          <w:sz w:val="18"/>
          <w:szCs w:val="18"/>
          <w:rtl/>
        </w:rPr>
        <w:t xml:space="preserve">(מאכלות אסורות ב, טו) </w:t>
      </w:r>
      <w:r w:rsidR="0022738F">
        <w:rPr>
          <w:rFonts w:hint="cs"/>
          <w:b/>
          <w:bCs/>
          <w:rtl/>
        </w:rPr>
        <w:t>ו</w:t>
      </w:r>
      <w:r w:rsidR="0022738F" w:rsidRPr="0022738F">
        <w:rPr>
          <w:rFonts w:hint="cs"/>
          <w:b/>
          <w:bCs/>
          <w:rtl/>
        </w:rPr>
        <w:t>הרשב''א</w:t>
      </w:r>
      <w:r w:rsidR="0022738F">
        <w:rPr>
          <w:rFonts w:hint="cs"/>
          <w:rtl/>
        </w:rPr>
        <w:t xml:space="preserve"> </w:t>
      </w:r>
      <w:r w:rsidR="002473C6">
        <w:rPr>
          <w:rFonts w:hint="cs"/>
          <w:sz w:val="18"/>
          <w:szCs w:val="18"/>
          <w:rtl/>
        </w:rPr>
        <w:t xml:space="preserve">(שם) </w:t>
      </w:r>
      <w:r w:rsidR="00663AFB">
        <w:rPr>
          <w:rFonts w:hint="cs"/>
          <w:rtl/>
        </w:rPr>
        <w:t>נקטו</w:t>
      </w:r>
      <w:r>
        <w:rPr>
          <w:rFonts w:hint="cs"/>
          <w:rtl/>
        </w:rPr>
        <w:t>, שכאשר הגמרא כותבת ששרץ הגדל בפרי מותר באכילה, כוונתה רק למקרה בו תלשו את הפרי, ולאחר מכן התליע</w:t>
      </w:r>
      <w:r w:rsidR="00A11ECE">
        <w:rPr>
          <w:rFonts w:hint="cs"/>
          <w:rtl/>
        </w:rPr>
        <w:t xml:space="preserve"> </w:t>
      </w:r>
      <w:r w:rsidR="00A11ECE" w:rsidRPr="003977EF">
        <w:rPr>
          <w:rFonts w:hint="cs"/>
          <w:sz w:val="18"/>
          <w:szCs w:val="18"/>
          <w:rtl/>
        </w:rPr>
        <w:t xml:space="preserve">(למשל שהפרי נמצא </w:t>
      </w:r>
      <w:r w:rsidR="00D252B5">
        <w:rPr>
          <w:rFonts w:hint="cs"/>
          <w:sz w:val="18"/>
          <w:szCs w:val="18"/>
          <w:rtl/>
        </w:rPr>
        <w:t xml:space="preserve">במכולת </w:t>
      </w:r>
      <w:r w:rsidR="0013388E" w:rsidRPr="003977EF">
        <w:rPr>
          <w:rFonts w:hint="cs"/>
          <w:sz w:val="18"/>
          <w:szCs w:val="18"/>
          <w:rtl/>
        </w:rPr>
        <w:t>מעל שנה</w:t>
      </w:r>
      <w:r w:rsidR="00B12C98" w:rsidRPr="003977EF">
        <w:rPr>
          <w:rFonts w:hint="cs"/>
          <w:sz w:val="18"/>
          <w:szCs w:val="18"/>
          <w:rtl/>
        </w:rPr>
        <w:t>, שאז מוכח שהתולעת גדלה בתוכו</w:t>
      </w:r>
      <w:r w:rsidR="00A11ECE" w:rsidRPr="003977EF">
        <w:rPr>
          <w:rFonts w:hint="cs"/>
          <w:sz w:val="18"/>
          <w:szCs w:val="18"/>
          <w:rtl/>
        </w:rPr>
        <w:t>)</w:t>
      </w:r>
      <w:r>
        <w:rPr>
          <w:rFonts w:hint="cs"/>
          <w:rtl/>
        </w:rPr>
        <w:t xml:space="preserve">, אבל במקרה בו התליע בעודו על העץ - נחשב הפרי עדיין כמחובר לאדמה, </w:t>
      </w:r>
      <w:r w:rsidR="008B1B39">
        <w:rPr>
          <w:rFonts w:hint="cs"/>
          <w:rtl/>
        </w:rPr>
        <w:t>ו</w:t>
      </w:r>
      <w:r w:rsidR="00A248F2">
        <w:rPr>
          <w:rFonts w:hint="cs"/>
          <w:rtl/>
        </w:rPr>
        <w:t>כ</w:t>
      </w:r>
      <w:r w:rsidR="008B1B39">
        <w:rPr>
          <w:rFonts w:hint="cs"/>
          <w:rtl/>
        </w:rPr>
        <w:t xml:space="preserve">שרץ </w:t>
      </w:r>
      <w:r w:rsidR="00A11ECE">
        <w:rPr>
          <w:rFonts w:hint="cs"/>
          <w:rtl/>
        </w:rPr>
        <w:t xml:space="preserve">שורץ על הארץ </w:t>
      </w:r>
      <w:r w:rsidR="0036300B">
        <w:rPr>
          <w:rFonts w:hint="cs"/>
          <w:rtl/>
        </w:rPr>
        <w:t>ואסור באכילה</w:t>
      </w:r>
      <w:r w:rsidR="001B0B44">
        <w:rPr>
          <w:rFonts w:hint="cs"/>
          <w:rtl/>
        </w:rPr>
        <w:t>,</w:t>
      </w:r>
      <w:r w:rsidR="007A5385">
        <w:rPr>
          <w:rFonts w:hint="cs"/>
          <w:rtl/>
        </w:rPr>
        <w:t xml:space="preserve"> ובלשונו:</w:t>
      </w:r>
    </w:p>
    <w:p w14:paraId="4073EEF3" w14:textId="484FD72A" w:rsidR="007A5385" w:rsidRDefault="0041263A" w:rsidP="00650005">
      <w:pPr>
        <w:spacing w:after="80"/>
        <w:ind w:left="720"/>
        <w:rPr>
          <w:rtl/>
        </w:rPr>
      </w:pPr>
      <w:r>
        <w:rPr>
          <w:rFonts w:cs="Arial" w:hint="cs"/>
          <w:rtl/>
        </w:rPr>
        <w:t>''</w:t>
      </w:r>
      <w:r w:rsidRPr="0041263A">
        <w:rPr>
          <w:rFonts w:cs="Arial"/>
          <w:rtl/>
        </w:rPr>
        <w:t>אם לא פרשו מותר לאכול הפרי והתולעת שבתוכו.</w:t>
      </w:r>
      <w:r w:rsidRPr="0041263A">
        <w:rPr>
          <w:rtl/>
        </w:rPr>
        <w:t xml:space="preserve"> </w:t>
      </w:r>
      <w:r w:rsidRPr="0041263A">
        <w:rPr>
          <w:rFonts w:cs="Arial"/>
          <w:rtl/>
        </w:rPr>
        <w:t>במה דברים אמורים</w:t>
      </w:r>
      <w:r>
        <w:rPr>
          <w:rFonts w:cs="Arial" w:hint="cs"/>
          <w:rtl/>
        </w:rPr>
        <w:t>?</w:t>
      </w:r>
      <w:r w:rsidRPr="0041263A">
        <w:rPr>
          <w:rFonts w:cs="Arial"/>
          <w:rtl/>
        </w:rPr>
        <w:t xml:space="preserve"> שהתליע האוכל אחר שנעקר מן הארץ, אבל אם התליע והוא מחובר, אותה התולעת אסורה כאילו פירשה לארץ שעל הארץ נבראת </w:t>
      </w:r>
      <w:proofErr w:type="spellStart"/>
      <w:r w:rsidRPr="0041263A">
        <w:rPr>
          <w:rFonts w:cs="Arial"/>
          <w:rtl/>
        </w:rPr>
        <w:t>ולוקין</w:t>
      </w:r>
      <w:proofErr w:type="spellEnd"/>
      <w:r w:rsidRPr="0041263A">
        <w:rPr>
          <w:rFonts w:cs="Arial"/>
          <w:rtl/>
        </w:rPr>
        <w:t xml:space="preserve"> עליה, ואם ספק אסורה, לפיכך כל מיני פירות שדרכן להתליע כשהן </w:t>
      </w:r>
      <w:proofErr w:type="spellStart"/>
      <w:r w:rsidRPr="0041263A">
        <w:rPr>
          <w:rFonts w:cs="Arial"/>
          <w:rtl/>
        </w:rPr>
        <w:t>מחוברין</w:t>
      </w:r>
      <w:proofErr w:type="spellEnd"/>
      <w:r w:rsidRPr="0041263A">
        <w:rPr>
          <w:rFonts w:cs="Arial"/>
          <w:rtl/>
        </w:rPr>
        <w:t xml:space="preserve"> לא יאכל עד שיבדוק הפרי מתוכו שמא יש בו תולעת</w:t>
      </w:r>
      <w:r>
        <w:rPr>
          <w:rFonts w:hint="cs"/>
          <w:rtl/>
        </w:rPr>
        <w:t>.''</w:t>
      </w:r>
    </w:p>
    <w:p w14:paraId="2E701AEC" w14:textId="262E6A6D" w:rsidR="00F07B94" w:rsidRPr="006E1541" w:rsidRDefault="007B3D7B" w:rsidP="00650005">
      <w:pPr>
        <w:spacing w:after="80"/>
        <w:rPr>
          <w:sz w:val="20"/>
          <w:szCs w:val="20"/>
          <w:rtl/>
        </w:rPr>
      </w:pPr>
      <w:r>
        <w:rPr>
          <w:rFonts w:hint="cs"/>
          <w:rtl/>
        </w:rPr>
        <w:t xml:space="preserve">ב. </w:t>
      </w:r>
      <w:r w:rsidR="00FF0EE9">
        <w:rPr>
          <w:rFonts w:hint="cs"/>
          <w:rtl/>
        </w:rPr>
        <w:t>אמורא</w:t>
      </w:r>
      <w:r w:rsidR="00B70B24">
        <w:rPr>
          <w:rFonts w:hint="cs"/>
          <w:rtl/>
        </w:rPr>
        <w:t xml:space="preserve"> אחר בגמרא חלק וסבר, שכאשר הגמרא מתירה תולעים שגדלו בתוך הפירות,</w:t>
      </w:r>
      <w:r w:rsidR="00FF0EE9">
        <w:rPr>
          <w:rFonts w:hint="cs"/>
          <w:rtl/>
        </w:rPr>
        <w:t xml:space="preserve"> כוונתה אפילו למקרה בו הפרי מחובר לעץ, עצם העובדה שהתולעת לא פרשה מהפרי (ואף לא זזה בתוכו),</w:t>
      </w:r>
      <w:r w:rsidR="006E1541">
        <w:rPr>
          <w:rFonts w:hint="cs"/>
          <w:rtl/>
        </w:rPr>
        <w:t xml:space="preserve"> גורמת לתולעת להיחשב כשרץ שאינו שורץ על הארץ, וממילא מתירה אותו באכילה. כשיטה זו פסקו להלכה, </w:t>
      </w:r>
      <w:r w:rsidR="006E1541" w:rsidRPr="00CD7EC4">
        <w:rPr>
          <w:rFonts w:hint="cs"/>
          <w:b/>
          <w:bCs/>
          <w:rtl/>
        </w:rPr>
        <w:t>רבינו תם</w:t>
      </w:r>
      <w:r w:rsidR="006E1541">
        <w:rPr>
          <w:rFonts w:hint="cs"/>
          <w:rtl/>
        </w:rPr>
        <w:t xml:space="preserve">, </w:t>
      </w:r>
      <w:r w:rsidR="006E1541" w:rsidRPr="00CD7EC4">
        <w:rPr>
          <w:rFonts w:hint="cs"/>
          <w:b/>
          <w:bCs/>
          <w:rtl/>
        </w:rPr>
        <w:t xml:space="preserve">רבינו נתנאל </w:t>
      </w:r>
      <w:proofErr w:type="spellStart"/>
      <w:r w:rsidR="006E1541" w:rsidRPr="00CD7EC4">
        <w:rPr>
          <w:rFonts w:hint="cs"/>
          <w:b/>
          <w:bCs/>
          <w:rtl/>
        </w:rPr>
        <w:t>וריב''א</w:t>
      </w:r>
      <w:proofErr w:type="spellEnd"/>
      <w:r w:rsidR="006E1541">
        <w:rPr>
          <w:rFonts w:hint="cs"/>
          <w:rtl/>
        </w:rPr>
        <w:t xml:space="preserve"> </w:t>
      </w:r>
      <w:r w:rsidR="006E1541">
        <w:rPr>
          <w:rFonts w:hint="cs"/>
          <w:sz w:val="18"/>
          <w:szCs w:val="18"/>
          <w:rtl/>
        </w:rPr>
        <w:t xml:space="preserve">(תוספות שם ד''ה </w:t>
      </w:r>
      <w:proofErr w:type="spellStart"/>
      <w:r w:rsidR="006E1541">
        <w:rPr>
          <w:rFonts w:hint="cs"/>
          <w:sz w:val="18"/>
          <w:szCs w:val="18"/>
          <w:rtl/>
        </w:rPr>
        <w:t>דייקא</w:t>
      </w:r>
      <w:proofErr w:type="spellEnd"/>
      <w:r w:rsidR="006E1541">
        <w:rPr>
          <w:rFonts w:hint="cs"/>
          <w:sz w:val="18"/>
          <w:szCs w:val="18"/>
          <w:rtl/>
        </w:rPr>
        <w:t>)</w:t>
      </w:r>
      <w:r w:rsidR="006E1541">
        <w:rPr>
          <w:rFonts w:hint="cs"/>
          <w:rtl/>
        </w:rPr>
        <w:t xml:space="preserve">. </w:t>
      </w:r>
    </w:p>
    <w:p w14:paraId="2097F5C7" w14:textId="09F63821" w:rsidR="00271453" w:rsidRPr="00271453" w:rsidRDefault="00271453" w:rsidP="00650005">
      <w:pPr>
        <w:spacing w:after="80"/>
        <w:rPr>
          <w:u w:val="single"/>
          <w:rtl/>
        </w:rPr>
      </w:pPr>
      <w:r>
        <w:rPr>
          <w:rFonts w:hint="cs"/>
          <w:u w:val="single"/>
          <w:rtl/>
        </w:rPr>
        <w:t>תולעים שבדגים</w:t>
      </w:r>
    </w:p>
    <w:p w14:paraId="580158AD" w14:textId="0FD1CF5C" w:rsidR="002B4620" w:rsidRDefault="00EB5EF5" w:rsidP="00650005">
      <w:pPr>
        <w:spacing w:after="80"/>
        <w:rPr>
          <w:rtl/>
        </w:rPr>
      </w:pPr>
      <w:r>
        <w:rPr>
          <w:rFonts w:hint="cs"/>
          <w:rtl/>
        </w:rPr>
        <w:t>סוגיה נוספת המקבילה לסוגיה זו, היא סוגיית תולעים שבדגים</w:t>
      </w:r>
      <w:r w:rsidR="00A248F2">
        <w:rPr>
          <w:rFonts w:hint="cs"/>
          <w:rtl/>
        </w:rPr>
        <w:t>.</w:t>
      </w:r>
      <w:r w:rsidR="00203E1B">
        <w:rPr>
          <w:rFonts w:hint="cs"/>
          <w:rtl/>
        </w:rPr>
        <w:t xml:space="preserve"> </w:t>
      </w:r>
      <w:r w:rsidR="00B672FE">
        <w:rPr>
          <w:rFonts w:hint="cs"/>
          <w:rtl/>
        </w:rPr>
        <w:t>ב</w:t>
      </w:r>
      <w:r w:rsidR="00203E1B">
        <w:rPr>
          <w:rFonts w:hint="cs"/>
          <w:rtl/>
        </w:rPr>
        <w:t>ה</w:t>
      </w:r>
      <w:r w:rsidR="00B672FE">
        <w:rPr>
          <w:rFonts w:hint="cs"/>
          <w:rtl/>
        </w:rPr>
        <w:t>משך ה</w:t>
      </w:r>
      <w:r w:rsidR="00203E1B">
        <w:rPr>
          <w:rFonts w:hint="cs"/>
          <w:rtl/>
        </w:rPr>
        <w:t xml:space="preserve">גמרא במסכת חולין </w:t>
      </w:r>
      <w:r w:rsidR="00203E1B">
        <w:rPr>
          <w:rFonts w:hint="cs"/>
          <w:sz w:val="18"/>
          <w:szCs w:val="18"/>
          <w:rtl/>
        </w:rPr>
        <w:t xml:space="preserve">(שם) </w:t>
      </w:r>
      <w:r w:rsidR="00A248F2">
        <w:rPr>
          <w:rFonts w:hint="cs"/>
          <w:rtl/>
        </w:rPr>
        <w:t>היא</w:t>
      </w:r>
      <w:r w:rsidR="004D6488">
        <w:rPr>
          <w:rFonts w:hint="cs"/>
          <w:rtl/>
        </w:rPr>
        <w:t xml:space="preserve"> </w:t>
      </w:r>
      <w:r w:rsidR="00203E1B">
        <w:rPr>
          <w:rFonts w:hint="cs"/>
          <w:rtl/>
        </w:rPr>
        <w:t>כותבת, שתולעים הנמצאות בדגים מותרות</w:t>
      </w:r>
      <w:r w:rsidR="00636878">
        <w:rPr>
          <w:rFonts w:hint="cs"/>
          <w:rtl/>
        </w:rPr>
        <w:t>, ובטעם הדבר נחלקו הראשונים</w:t>
      </w:r>
      <w:r w:rsidR="002B4620">
        <w:rPr>
          <w:rFonts w:hint="cs"/>
          <w:rtl/>
        </w:rPr>
        <w:t>:</w:t>
      </w:r>
    </w:p>
    <w:p w14:paraId="6A8B499B" w14:textId="6A1E9EAE" w:rsidR="00636878" w:rsidRDefault="00636878" w:rsidP="00650005">
      <w:pPr>
        <w:spacing w:after="80"/>
        <w:rPr>
          <w:rtl/>
        </w:rPr>
      </w:pPr>
      <w:r>
        <w:rPr>
          <w:rFonts w:hint="cs"/>
          <w:rtl/>
        </w:rPr>
        <w:t xml:space="preserve">א. </w:t>
      </w:r>
      <w:r w:rsidRPr="00636878">
        <w:rPr>
          <w:rFonts w:hint="cs"/>
          <w:b/>
          <w:bCs/>
          <w:rtl/>
        </w:rPr>
        <w:t>הרמב''ם</w:t>
      </w:r>
      <w:r>
        <w:rPr>
          <w:rFonts w:hint="cs"/>
          <w:rtl/>
        </w:rPr>
        <w:t xml:space="preserve"> </w:t>
      </w:r>
      <w:r>
        <w:rPr>
          <w:rFonts w:hint="cs"/>
          <w:sz w:val="18"/>
          <w:szCs w:val="18"/>
          <w:rtl/>
        </w:rPr>
        <w:t>(שם ב, יז)</w:t>
      </w:r>
      <w:r>
        <w:rPr>
          <w:rFonts w:hint="cs"/>
          <w:rtl/>
        </w:rPr>
        <w:t xml:space="preserve">, כפי שראינו לעיל סובר </w:t>
      </w:r>
      <w:r w:rsidR="008B6263">
        <w:rPr>
          <w:rFonts w:hint="cs"/>
          <w:rtl/>
        </w:rPr>
        <w:t>שבשביל שתולעת שגדלה ב</w:t>
      </w:r>
      <w:r>
        <w:rPr>
          <w:rFonts w:hint="cs"/>
          <w:rtl/>
        </w:rPr>
        <w:t xml:space="preserve">פרי </w:t>
      </w:r>
      <w:r w:rsidR="008B6263">
        <w:rPr>
          <w:rFonts w:hint="cs"/>
          <w:rtl/>
        </w:rPr>
        <w:t>תהיה מותרת באכילה</w:t>
      </w:r>
      <w:r>
        <w:rPr>
          <w:rFonts w:hint="cs"/>
          <w:rtl/>
        </w:rPr>
        <w:t>,</w:t>
      </w:r>
      <w:r w:rsidR="008B6263">
        <w:rPr>
          <w:rFonts w:hint="cs"/>
          <w:rtl/>
        </w:rPr>
        <w:t xml:space="preserve"> צריך שהפרי ייתלש מהעץ</w:t>
      </w:r>
      <w:r w:rsidR="00A248F2">
        <w:rPr>
          <w:rFonts w:hint="cs"/>
          <w:rtl/>
        </w:rPr>
        <w:t xml:space="preserve">.  ולכן </w:t>
      </w:r>
      <w:r>
        <w:rPr>
          <w:rFonts w:hint="cs"/>
          <w:rtl/>
        </w:rPr>
        <w:t xml:space="preserve">כוונת הגמרא לומר, שכאשר התולעת גדלה בתוך הדג כאשר הוא </w:t>
      </w:r>
      <w:r w:rsidR="008B6263">
        <w:rPr>
          <w:rFonts w:hint="cs"/>
          <w:rtl/>
        </w:rPr>
        <w:t>כבר יצא מה</w:t>
      </w:r>
      <w:r>
        <w:rPr>
          <w:rFonts w:hint="cs"/>
          <w:rtl/>
        </w:rPr>
        <w:t xml:space="preserve">מים - היא </w:t>
      </w:r>
      <w:r w:rsidR="00B672FE">
        <w:rPr>
          <w:rFonts w:hint="cs"/>
          <w:rtl/>
        </w:rPr>
        <w:t xml:space="preserve">מותרת </w:t>
      </w:r>
      <w:r>
        <w:rPr>
          <w:rFonts w:hint="cs"/>
          <w:rtl/>
        </w:rPr>
        <w:t xml:space="preserve">באכילה, </w:t>
      </w:r>
      <w:r w:rsidR="00B672FE">
        <w:rPr>
          <w:rFonts w:hint="cs"/>
          <w:rtl/>
        </w:rPr>
        <w:t>אבל כל עוד הדג נמצא במים ולמעשה מחובר למקור חיותו, התולעת הגדלה בתוכו נחשבת מחוברת לקרקע, שורצת על הארץ, ואסורה.</w:t>
      </w:r>
    </w:p>
    <w:p w14:paraId="5A981347" w14:textId="0259F1AF" w:rsidR="00B672FE" w:rsidRDefault="00B672FE" w:rsidP="00650005">
      <w:pPr>
        <w:spacing w:after="80"/>
        <w:rPr>
          <w:rtl/>
        </w:rPr>
      </w:pPr>
      <w:r>
        <w:rPr>
          <w:rFonts w:hint="cs"/>
          <w:rtl/>
        </w:rPr>
        <w:t>ב. רוב הראשונים</w:t>
      </w:r>
      <w:r w:rsidR="007875FF">
        <w:rPr>
          <w:rFonts w:hint="cs"/>
          <w:rtl/>
        </w:rPr>
        <w:t xml:space="preserve"> </w:t>
      </w:r>
      <w:r w:rsidR="009B7348">
        <w:rPr>
          <w:rFonts w:hint="cs"/>
          <w:rtl/>
        </w:rPr>
        <w:t>וב</w:t>
      </w:r>
      <w:r w:rsidR="00A248F2">
        <w:rPr>
          <w:rFonts w:hint="cs"/>
          <w:rtl/>
        </w:rPr>
        <w:t>י</w:t>
      </w:r>
      <w:r w:rsidR="009B7348">
        <w:rPr>
          <w:rFonts w:hint="cs"/>
          <w:rtl/>
        </w:rPr>
        <w:t xml:space="preserve">ניהם </w:t>
      </w:r>
      <w:r w:rsidR="009B7348" w:rsidRPr="009B7348">
        <w:rPr>
          <w:rFonts w:hint="cs"/>
          <w:b/>
          <w:bCs/>
          <w:rtl/>
        </w:rPr>
        <w:t>המאירי</w:t>
      </w:r>
      <w:r w:rsidR="009B7348">
        <w:rPr>
          <w:rFonts w:hint="cs"/>
          <w:rtl/>
        </w:rPr>
        <w:t xml:space="preserve"> </w:t>
      </w:r>
      <w:r w:rsidR="009B7348">
        <w:rPr>
          <w:rFonts w:hint="cs"/>
          <w:sz w:val="18"/>
          <w:szCs w:val="18"/>
          <w:rtl/>
        </w:rPr>
        <w:t xml:space="preserve">(שם) </w:t>
      </w:r>
      <w:r w:rsidR="009B7348" w:rsidRPr="009B7348">
        <w:rPr>
          <w:rFonts w:hint="cs"/>
          <w:b/>
          <w:bCs/>
          <w:rtl/>
        </w:rPr>
        <w:t>והאור זרוע</w:t>
      </w:r>
      <w:r w:rsidR="009B7348">
        <w:rPr>
          <w:rFonts w:hint="cs"/>
          <w:rtl/>
        </w:rPr>
        <w:t xml:space="preserve"> </w:t>
      </w:r>
      <w:r w:rsidR="009B7348">
        <w:rPr>
          <w:rFonts w:hint="cs"/>
          <w:sz w:val="18"/>
          <w:szCs w:val="18"/>
          <w:rtl/>
        </w:rPr>
        <w:t xml:space="preserve">(טריפות סי' </w:t>
      </w:r>
      <w:proofErr w:type="spellStart"/>
      <w:r w:rsidR="009B7348">
        <w:rPr>
          <w:rFonts w:hint="cs"/>
          <w:sz w:val="18"/>
          <w:szCs w:val="18"/>
          <w:rtl/>
        </w:rPr>
        <w:t>תלז</w:t>
      </w:r>
      <w:proofErr w:type="spellEnd"/>
      <w:r w:rsidR="009B7348">
        <w:rPr>
          <w:rFonts w:hint="cs"/>
          <w:sz w:val="18"/>
          <w:szCs w:val="18"/>
          <w:rtl/>
        </w:rPr>
        <w:t xml:space="preserve">) </w:t>
      </w:r>
      <w:r w:rsidR="007875FF">
        <w:rPr>
          <w:rFonts w:hint="cs"/>
          <w:rtl/>
        </w:rPr>
        <w:t>חלקו על הרמב''ם וסברו, שכוונת הגמרא להתיר גם תולעים שגדלו בתוך מעי הדג בעודו במים</w:t>
      </w:r>
      <w:r w:rsidR="009B7348">
        <w:rPr>
          <w:rFonts w:hint="cs"/>
          <w:rtl/>
        </w:rPr>
        <w:t xml:space="preserve">, וכן פסק </w:t>
      </w:r>
      <w:r w:rsidR="009B7348" w:rsidRPr="009B7348">
        <w:rPr>
          <w:rFonts w:hint="cs"/>
          <w:b/>
          <w:bCs/>
          <w:rtl/>
        </w:rPr>
        <w:t>השולחן</w:t>
      </w:r>
      <w:r w:rsidR="009B7348">
        <w:rPr>
          <w:rFonts w:hint="cs"/>
          <w:rtl/>
        </w:rPr>
        <w:t xml:space="preserve"> </w:t>
      </w:r>
      <w:r w:rsidR="009B7348" w:rsidRPr="009B7348">
        <w:rPr>
          <w:rFonts w:hint="cs"/>
          <w:b/>
          <w:bCs/>
          <w:rtl/>
        </w:rPr>
        <w:t>ערוך</w:t>
      </w:r>
      <w:r w:rsidR="009B7348">
        <w:rPr>
          <w:rFonts w:hint="cs"/>
          <w:rtl/>
        </w:rPr>
        <w:t xml:space="preserve"> </w:t>
      </w:r>
      <w:r w:rsidR="009B7348">
        <w:rPr>
          <w:rFonts w:hint="cs"/>
          <w:sz w:val="18"/>
          <w:szCs w:val="18"/>
          <w:rtl/>
        </w:rPr>
        <w:t>(יו''ד פז, טז)</w:t>
      </w:r>
      <w:r w:rsidR="007875FF">
        <w:rPr>
          <w:rFonts w:hint="cs"/>
          <w:rtl/>
        </w:rPr>
        <w:t>.</w:t>
      </w:r>
      <w:r w:rsidR="009B7348">
        <w:rPr>
          <w:rFonts w:hint="cs"/>
          <w:rtl/>
        </w:rPr>
        <w:t xml:space="preserve"> הסיבה לכך ככל הנראה היא שהם הבינו, שגם כאשר הדג נמצא במים הוא נחשב תלוש מהקרקע, ומשום כך תולעים הגדלים בו נחשבות כתולעים שגדלו על פרי התלוש מהאדמה.</w:t>
      </w:r>
    </w:p>
    <w:p w14:paraId="16BDFB01" w14:textId="12A921C6" w:rsidR="00EB5EF5" w:rsidRPr="00E260EB" w:rsidRDefault="00271453" w:rsidP="00650005">
      <w:pPr>
        <w:spacing w:after="80"/>
        <w:rPr>
          <w:u w:val="single"/>
          <w:rtl/>
        </w:rPr>
      </w:pPr>
      <w:r>
        <w:rPr>
          <w:rFonts w:hint="cs"/>
          <w:u w:val="single"/>
          <w:rtl/>
        </w:rPr>
        <w:t xml:space="preserve">תולעת </w:t>
      </w:r>
      <w:proofErr w:type="spellStart"/>
      <w:r>
        <w:rPr>
          <w:rFonts w:hint="cs"/>
          <w:u w:val="single"/>
          <w:rtl/>
        </w:rPr>
        <w:t>האניסאקיס</w:t>
      </w:r>
      <w:proofErr w:type="spellEnd"/>
    </w:p>
    <w:p w14:paraId="787990B9" w14:textId="7EA6C9D9" w:rsidR="00F07B94" w:rsidRDefault="00F5374A" w:rsidP="00650005">
      <w:pPr>
        <w:spacing w:after="80"/>
        <w:rPr>
          <w:rtl/>
        </w:rPr>
      </w:pPr>
      <w:r>
        <w:rPr>
          <w:rFonts w:hint="cs"/>
          <w:rtl/>
        </w:rPr>
        <w:t>ייתכן ש</w:t>
      </w:r>
      <w:r w:rsidR="00B70BDA">
        <w:rPr>
          <w:rFonts w:hint="cs"/>
          <w:rtl/>
        </w:rPr>
        <w:t xml:space="preserve">השלכה </w:t>
      </w:r>
      <w:r w:rsidR="00320E9F">
        <w:rPr>
          <w:rFonts w:hint="cs"/>
          <w:rtl/>
        </w:rPr>
        <w:t>למחלוקת זו תהיה</w:t>
      </w:r>
      <w:r w:rsidR="001A3505">
        <w:rPr>
          <w:rFonts w:hint="cs"/>
          <w:rtl/>
        </w:rPr>
        <w:t xml:space="preserve">, </w:t>
      </w:r>
      <w:r w:rsidR="00A6433E">
        <w:rPr>
          <w:rFonts w:hint="cs"/>
          <w:rtl/>
        </w:rPr>
        <w:t>ה</w:t>
      </w:r>
      <w:r w:rsidR="001A3505">
        <w:rPr>
          <w:rFonts w:hint="cs"/>
          <w:rtl/>
        </w:rPr>
        <w:t xml:space="preserve">מחלוקת </w:t>
      </w:r>
      <w:r w:rsidR="00B70BDA">
        <w:rPr>
          <w:rFonts w:hint="cs"/>
          <w:rtl/>
        </w:rPr>
        <w:t xml:space="preserve">בתולעי </w:t>
      </w:r>
      <w:proofErr w:type="spellStart"/>
      <w:r w:rsidR="00B70BDA" w:rsidRPr="00B70BDA">
        <w:rPr>
          <w:rFonts w:hint="cs"/>
          <w:rtl/>
        </w:rPr>
        <w:t>האניסאקיס</w:t>
      </w:r>
      <w:proofErr w:type="spellEnd"/>
      <w:r w:rsidR="00B70BDA">
        <w:rPr>
          <w:rFonts w:hint="cs"/>
          <w:rtl/>
        </w:rPr>
        <w:t xml:space="preserve">. סוגי תולעת זו גדלים בים, בתחילה מוטלות ביצי התולעת לקרקעית הים, ובהמשך כאשר נוצרת התולעת היא שוחה בו, ונבלעת על ידי סרטנים, דגים ועוד יצורים ימיים, דבר שלא הורג את התולעת, אלא גורם לה להתפתח בתוך הייצור שבלע אותה. </w:t>
      </w:r>
    </w:p>
    <w:p w14:paraId="60C685EC" w14:textId="067C8AC3" w:rsidR="00DD4AF2" w:rsidRDefault="00EF1756" w:rsidP="00650005">
      <w:pPr>
        <w:spacing w:after="80"/>
        <w:rPr>
          <w:rtl/>
        </w:rPr>
      </w:pPr>
      <w:r>
        <w:rPr>
          <w:rFonts w:hint="cs"/>
          <w:rtl/>
        </w:rPr>
        <w:t xml:space="preserve">לכאורה לפי מה שראינו עד כה, תולעת זו שמצויה מאוד בדגים תהיה אסורה באכילה, שהרי </w:t>
      </w:r>
      <w:r w:rsidR="00E31D25">
        <w:rPr>
          <w:rFonts w:hint="cs"/>
          <w:rtl/>
        </w:rPr>
        <w:t>היא נוצרת מחוץ לדג על קרקעית הים, ורק לאחר מכן הדג בולע אותה</w:t>
      </w:r>
      <w:r w:rsidR="001A3505">
        <w:rPr>
          <w:rFonts w:hint="cs"/>
          <w:rtl/>
        </w:rPr>
        <w:t>. אמנם כפי שראינו</w:t>
      </w:r>
      <w:r w:rsidR="00F118D3">
        <w:rPr>
          <w:rFonts w:hint="cs"/>
          <w:rtl/>
        </w:rPr>
        <w:t>,</w:t>
      </w:r>
      <w:r w:rsidR="001A3505">
        <w:rPr>
          <w:rFonts w:hint="cs"/>
          <w:rtl/>
        </w:rPr>
        <w:t xml:space="preserve"> השולחן ערוך פסק כדעת רוב הראשונים שתולעים </w:t>
      </w:r>
      <w:r w:rsidR="007E5FEA">
        <w:rPr>
          <w:rFonts w:hint="cs"/>
          <w:rtl/>
        </w:rPr>
        <w:t xml:space="preserve">הנמצאות בבשר הדג </w:t>
      </w:r>
      <w:r w:rsidR="001A3505">
        <w:rPr>
          <w:rFonts w:hint="cs"/>
          <w:rtl/>
        </w:rPr>
        <w:t>מותרות באכילה</w:t>
      </w:r>
      <w:r w:rsidR="0001119E">
        <w:rPr>
          <w:rFonts w:hint="cs"/>
          <w:rtl/>
        </w:rPr>
        <w:t>!</w:t>
      </w:r>
      <w:r w:rsidR="001A3505">
        <w:rPr>
          <w:rFonts w:hint="cs"/>
          <w:rtl/>
        </w:rPr>
        <w:t xml:space="preserve"> בעקבות כך נחלקו האחרונים במעמדה ההלכתי של תולעת זו</w:t>
      </w:r>
      <w:r w:rsidR="007B70A0">
        <w:rPr>
          <w:rFonts w:hint="cs"/>
          <w:rtl/>
        </w:rPr>
        <w:t>:</w:t>
      </w:r>
    </w:p>
    <w:p w14:paraId="31623345" w14:textId="5F9A87A3" w:rsidR="007B70A0" w:rsidRPr="007B70A0" w:rsidRDefault="007B70A0" w:rsidP="00650005">
      <w:pPr>
        <w:spacing w:after="80"/>
        <w:rPr>
          <w:rtl/>
        </w:rPr>
      </w:pPr>
      <w:r>
        <w:rPr>
          <w:rFonts w:hint="cs"/>
          <w:rtl/>
        </w:rPr>
        <w:t xml:space="preserve">א. </w:t>
      </w:r>
      <w:r w:rsidRPr="00306C96">
        <w:rPr>
          <w:rFonts w:hint="cs"/>
          <w:b/>
          <w:bCs/>
          <w:rtl/>
        </w:rPr>
        <w:t>הרב עמאר</w:t>
      </w:r>
      <w:r>
        <w:rPr>
          <w:rFonts w:hint="cs"/>
          <w:rtl/>
        </w:rPr>
        <w:t xml:space="preserve"> </w:t>
      </w:r>
      <w:r>
        <w:rPr>
          <w:rFonts w:hint="cs"/>
          <w:sz w:val="18"/>
          <w:szCs w:val="18"/>
          <w:rtl/>
        </w:rPr>
        <w:t xml:space="preserve">(תולעת השני עמ' 10) </w:t>
      </w:r>
      <w:r>
        <w:rPr>
          <w:rFonts w:hint="cs"/>
          <w:rtl/>
        </w:rPr>
        <w:t>סבר, שבמקרה זה התולעת אסורה באכילה, ויש לנקות את כל הדגים מתולעת זו. בטעם הדבר נימק, שעל אף שהשולחן ערוך פסק שתולעים שבדגים מותר</w:t>
      </w:r>
      <w:r w:rsidR="00A6433E">
        <w:rPr>
          <w:rFonts w:hint="cs"/>
          <w:rtl/>
        </w:rPr>
        <w:t>ות</w:t>
      </w:r>
      <w:r>
        <w:rPr>
          <w:rFonts w:hint="cs"/>
          <w:rtl/>
        </w:rPr>
        <w:t>, פסיקתו נובעת מתפיסה מציאותית שהם גדלים בתוך הדג, וכיום שהתברר שאין הדבר כך - אותם התולעים אסורים באכילה</w:t>
      </w:r>
      <w:r w:rsidR="00E8632F">
        <w:rPr>
          <w:rFonts w:hint="cs"/>
          <w:rtl/>
        </w:rPr>
        <w:t xml:space="preserve">, וכן נקט </w:t>
      </w:r>
      <w:r w:rsidR="00E8632F" w:rsidRPr="00342A71">
        <w:rPr>
          <w:rFonts w:hint="cs"/>
          <w:b/>
          <w:bCs/>
          <w:rtl/>
        </w:rPr>
        <w:t>הרב</w:t>
      </w:r>
      <w:r w:rsidR="00E8632F">
        <w:rPr>
          <w:rFonts w:hint="cs"/>
          <w:rtl/>
        </w:rPr>
        <w:t xml:space="preserve"> </w:t>
      </w:r>
      <w:r w:rsidR="00E8632F" w:rsidRPr="00342A71">
        <w:rPr>
          <w:rFonts w:hint="cs"/>
          <w:b/>
          <w:bCs/>
          <w:rtl/>
        </w:rPr>
        <w:t xml:space="preserve">וואזנר </w:t>
      </w:r>
      <w:r w:rsidR="00E8632F">
        <w:rPr>
          <w:rFonts w:hint="cs"/>
          <w:sz w:val="18"/>
          <w:szCs w:val="18"/>
          <w:rtl/>
        </w:rPr>
        <w:t>(</w:t>
      </w:r>
      <w:r w:rsidR="001B3EE5">
        <w:rPr>
          <w:rFonts w:hint="cs"/>
          <w:sz w:val="18"/>
          <w:szCs w:val="18"/>
          <w:rtl/>
        </w:rPr>
        <w:t xml:space="preserve">שבט הלוי </w:t>
      </w:r>
      <w:r w:rsidR="00E8632F">
        <w:rPr>
          <w:rFonts w:hint="cs"/>
          <w:sz w:val="18"/>
          <w:szCs w:val="18"/>
          <w:rtl/>
        </w:rPr>
        <w:t xml:space="preserve">ז, </w:t>
      </w:r>
      <w:proofErr w:type="spellStart"/>
      <w:r w:rsidR="00E8632F">
        <w:rPr>
          <w:rFonts w:hint="cs"/>
          <w:sz w:val="18"/>
          <w:szCs w:val="18"/>
          <w:rtl/>
        </w:rPr>
        <w:t>קכז</w:t>
      </w:r>
      <w:proofErr w:type="spellEnd"/>
      <w:r w:rsidR="00E8632F">
        <w:rPr>
          <w:rFonts w:hint="cs"/>
          <w:sz w:val="18"/>
          <w:szCs w:val="18"/>
          <w:rtl/>
        </w:rPr>
        <w:t>)</w:t>
      </w:r>
      <w:r w:rsidR="005E5898">
        <w:rPr>
          <w:rFonts w:hint="cs"/>
          <w:rtl/>
        </w:rPr>
        <w:t>, אם כי מטעם אחר</w:t>
      </w:r>
      <w:r w:rsidR="00235554">
        <w:rPr>
          <w:rFonts w:hint="cs"/>
          <w:rtl/>
        </w:rPr>
        <w:t>.</w:t>
      </w:r>
    </w:p>
    <w:p w14:paraId="5FF630C8" w14:textId="3F3D0583" w:rsidR="006909A4" w:rsidRDefault="006909A4" w:rsidP="00650005">
      <w:pPr>
        <w:spacing w:after="80"/>
        <w:rPr>
          <w:rtl/>
        </w:rPr>
      </w:pPr>
      <w:r>
        <w:rPr>
          <w:rFonts w:hint="cs"/>
          <w:rtl/>
        </w:rPr>
        <w:t xml:space="preserve">ב. </w:t>
      </w:r>
      <w:r w:rsidRPr="00BD223D">
        <w:rPr>
          <w:rFonts w:hint="cs"/>
          <w:b/>
          <w:bCs/>
          <w:rtl/>
        </w:rPr>
        <w:t xml:space="preserve">הרב </w:t>
      </w:r>
      <w:proofErr w:type="spellStart"/>
      <w:r w:rsidRPr="00BD223D">
        <w:rPr>
          <w:rFonts w:hint="cs"/>
          <w:b/>
          <w:bCs/>
          <w:rtl/>
        </w:rPr>
        <w:t>ו</w:t>
      </w:r>
      <w:r w:rsidR="00F118D3">
        <w:rPr>
          <w:rFonts w:hint="cs"/>
          <w:b/>
          <w:bCs/>
          <w:rtl/>
        </w:rPr>
        <w:t>יי</w:t>
      </w:r>
      <w:r w:rsidRPr="00BD223D">
        <w:rPr>
          <w:rFonts w:hint="cs"/>
          <w:b/>
          <w:bCs/>
          <w:rtl/>
        </w:rPr>
        <w:t>א</w:t>
      </w:r>
      <w:proofErr w:type="spellEnd"/>
      <w:r w:rsidR="00BD223D">
        <w:rPr>
          <w:rFonts w:hint="cs"/>
          <w:sz w:val="18"/>
          <w:szCs w:val="18"/>
          <w:rtl/>
        </w:rPr>
        <w:t xml:space="preserve"> </w:t>
      </w:r>
      <w:r>
        <w:rPr>
          <w:rFonts w:hint="cs"/>
          <w:sz w:val="18"/>
          <w:szCs w:val="18"/>
          <w:rtl/>
        </w:rPr>
        <w:t>(</w:t>
      </w:r>
      <w:r w:rsidR="00BD223D">
        <w:rPr>
          <w:rFonts w:hint="cs"/>
          <w:sz w:val="18"/>
          <w:szCs w:val="18"/>
          <w:rtl/>
        </w:rPr>
        <w:t>בדיקת המזון א, עמ' 110</w:t>
      </w:r>
      <w:r>
        <w:rPr>
          <w:rFonts w:hint="cs"/>
          <w:sz w:val="18"/>
          <w:szCs w:val="18"/>
          <w:rtl/>
        </w:rPr>
        <w:t xml:space="preserve">) </w:t>
      </w:r>
      <w:r>
        <w:rPr>
          <w:rFonts w:hint="cs"/>
          <w:rtl/>
        </w:rPr>
        <w:t xml:space="preserve">הביא בשם </w:t>
      </w:r>
      <w:r w:rsidRPr="00DE635E">
        <w:rPr>
          <w:rFonts w:hint="cs"/>
          <w:b/>
          <w:bCs/>
          <w:rtl/>
        </w:rPr>
        <w:t>הגרש''ז</w:t>
      </w:r>
      <w:r>
        <w:rPr>
          <w:rFonts w:hint="cs"/>
          <w:rtl/>
        </w:rPr>
        <w:t xml:space="preserve"> </w:t>
      </w:r>
      <w:r w:rsidRPr="00DE635E">
        <w:rPr>
          <w:rFonts w:hint="cs"/>
          <w:b/>
          <w:bCs/>
          <w:rtl/>
        </w:rPr>
        <w:t>אויערבך</w:t>
      </w:r>
      <w:r>
        <w:rPr>
          <w:rFonts w:hint="cs"/>
          <w:rtl/>
        </w:rPr>
        <w:t xml:space="preserve"> שחלק וסבר, שלא תתכן סתירה בין ההלכה למדע, וגם בזמן הזה תולעים אלו מותרות. כיצד יישב את העובדה </w:t>
      </w:r>
      <w:r w:rsidR="00DE635E">
        <w:rPr>
          <w:rFonts w:hint="cs"/>
          <w:rtl/>
        </w:rPr>
        <w:t>שתולעים אלו גדל</w:t>
      </w:r>
      <w:r w:rsidR="00CA2272">
        <w:rPr>
          <w:rFonts w:hint="cs"/>
          <w:rtl/>
        </w:rPr>
        <w:t>ו</w:t>
      </w:r>
      <w:r w:rsidR="00DE635E">
        <w:rPr>
          <w:rFonts w:hint="cs"/>
          <w:rtl/>
        </w:rPr>
        <w:t xml:space="preserve"> מחוץ לדג? </w:t>
      </w:r>
      <w:r w:rsidR="00D210F8">
        <w:rPr>
          <w:rFonts w:hint="cs"/>
          <w:rtl/>
        </w:rPr>
        <w:t xml:space="preserve">הוא </w:t>
      </w:r>
      <w:r w:rsidR="00DE635E">
        <w:rPr>
          <w:rFonts w:hint="cs"/>
          <w:rtl/>
        </w:rPr>
        <w:t xml:space="preserve">הסביר, שייתכן שכוונת חז''ל הייתה, </w:t>
      </w:r>
      <w:r w:rsidR="00191AA6">
        <w:rPr>
          <w:rFonts w:hint="cs"/>
          <w:rtl/>
        </w:rPr>
        <w:t>שמכיוון שתולעים אלו קטנות ולא נראות לעין לפני שנכנסו לדג, הם נחשבות כבעל חי רק לאחר שהם גדלו בתוכ</w:t>
      </w:r>
      <w:r w:rsidR="00CA7CD0">
        <w:rPr>
          <w:rFonts w:hint="cs"/>
          <w:rtl/>
        </w:rPr>
        <w:t>ו, ובלשונו:</w:t>
      </w:r>
    </w:p>
    <w:p w14:paraId="4BF7C0AB" w14:textId="41B8B14C" w:rsidR="00CA7CD0" w:rsidRDefault="00E81501" w:rsidP="00650005">
      <w:pPr>
        <w:spacing w:after="80"/>
        <w:ind w:left="720"/>
        <w:rPr>
          <w:rtl/>
        </w:rPr>
      </w:pPr>
      <w:r>
        <w:rPr>
          <w:rFonts w:hint="cs"/>
          <w:rtl/>
        </w:rPr>
        <w:t>''כאשר שאלנו את דעת רבותינו הפוסקים הלכה למעשה בעניין זה, נקטו שלא זזה הלכה ממקומה, ואין לחוש לתולעים הנמצאים בבשר הדג. ולביאור טעם הדבר, היו שקיבל סברא זו שאין הם נחשבים שפירשו, היות וכאשר הם היו במים גודלם היה מיקרוסקופי.''</w:t>
      </w:r>
    </w:p>
    <w:p w14:paraId="15379FDC" w14:textId="464CDF38" w:rsidR="005C0E7B" w:rsidRDefault="006909A4" w:rsidP="00650005">
      <w:pPr>
        <w:spacing w:after="80"/>
        <w:rPr>
          <w:rtl/>
        </w:rPr>
      </w:pPr>
      <w:r>
        <w:rPr>
          <w:rFonts w:hint="cs"/>
          <w:rtl/>
        </w:rPr>
        <w:t xml:space="preserve">פסיקה זו דומה לפסיקה אחרת שראינו בעבר </w:t>
      </w:r>
      <w:r>
        <w:rPr>
          <w:rFonts w:hint="cs"/>
          <w:sz w:val="18"/>
          <w:szCs w:val="18"/>
          <w:rtl/>
        </w:rPr>
        <w:t>(בהעלותך שנה ב')</w:t>
      </w:r>
      <w:r>
        <w:rPr>
          <w:rFonts w:hint="cs"/>
          <w:rtl/>
        </w:rPr>
        <w:t xml:space="preserve">, ביחס לכינים שהגמרא </w:t>
      </w:r>
      <w:r w:rsidR="00E95E4F">
        <w:rPr>
          <w:rFonts w:hint="cs"/>
          <w:sz w:val="18"/>
          <w:szCs w:val="18"/>
          <w:rtl/>
        </w:rPr>
        <w:t>(שבת</w:t>
      </w:r>
      <w:r w:rsidR="00AE1D33">
        <w:rPr>
          <w:rFonts w:hint="cs"/>
          <w:sz w:val="18"/>
          <w:szCs w:val="18"/>
          <w:rtl/>
        </w:rPr>
        <w:t xml:space="preserve"> יב ע''א</w:t>
      </w:r>
      <w:r w:rsidR="00E95E4F">
        <w:rPr>
          <w:rFonts w:hint="cs"/>
          <w:sz w:val="18"/>
          <w:szCs w:val="18"/>
          <w:rtl/>
        </w:rPr>
        <w:t xml:space="preserve">) </w:t>
      </w:r>
      <w:r>
        <w:rPr>
          <w:rFonts w:hint="cs"/>
          <w:rtl/>
        </w:rPr>
        <w:t xml:space="preserve">כותבת שמותר להורגם בשבת, כיוון שהם נולדים מהעיפוש. ראינו שלדעת פוסקים אלו, </w:t>
      </w:r>
      <w:r w:rsidR="00E95E4F">
        <w:rPr>
          <w:rFonts w:hint="cs"/>
          <w:rtl/>
        </w:rPr>
        <w:t>על אף שהתברר בזמן הזה שכינים אלו נולדים מביצים ולא מהעיפוש כפי שטענה הגמרא, ייתכן שכוונת חז''ל הייתה שמדובר בתולעים כל כך קטנות ולא משמעותיות שלא אסרום חז''ל</w:t>
      </w:r>
      <w:r w:rsidR="00F72894">
        <w:rPr>
          <w:rFonts w:hint="cs"/>
          <w:rtl/>
        </w:rPr>
        <w:t xml:space="preserve"> </w:t>
      </w:r>
      <w:r w:rsidR="00F72894">
        <w:rPr>
          <w:rFonts w:hint="cs"/>
          <w:sz w:val="18"/>
          <w:szCs w:val="18"/>
          <w:rtl/>
        </w:rPr>
        <w:t>(ועיין הערה</w:t>
      </w:r>
      <w:r w:rsidR="00F72894" w:rsidRPr="00A05E57">
        <w:rPr>
          <w:rStyle w:val="a5"/>
          <w:rtl/>
        </w:rPr>
        <w:footnoteReference w:id="3"/>
      </w:r>
      <w:r w:rsidR="00F72894">
        <w:rPr>
          <w:rFonts w:hint="cs"/>
          <w:sz w:val="18"/>
          <w:szCs w:val="18"/>
          <w:rtl/>
        </w:rPr>
        <w:t>)</w:t>
      </w:r>
      <w:r w:rsidR="00E95E4F">
        <w:rPr>
          <w:rFonts w:hint="cs"/>
          <w:rtl/>
        </w:rPr>
        <w:t>.</w:t>
      </w:r>
    </w:p>
    <w:p w14:paraId="463B2AD2" w14:textId="0E1C3D97" w:rsidR="00D427BD" w:rsidRDefault="005C0E7B" w:rsidP="00650005">
      <w:pPr>
        <w:spacing w:after="80"/>
        <w:rPr>
          <w:rtl/>
        </w:rPr>
      </w:pPr>
      <w:r>
        <w:rPr>
          <w:rFonts w:hint="cs"/>
          <w:rtl/>
        </w:rPr>
        <w:t xml:space="preserve">ג. דעה נוספת הנוקטת גם שדג זה מותר באכילה, אך מטעם אחר כתב </w:t>
      </w:r>
      <w:r w:rsidRPr="005C0E7B">
        <w:rPr>
          <w:rFonts w:hint="cs"/>
          <w:b/>
          <w:bCs/>
          <w:rtl/>
        </w:rPr>
        <w:t>הרב בלס</w:t>
      </w:r>
      <w:r>
        <w:rPr>
          <w:rFonts w:hint="cs"/>
          <w:rtl/>
        </w:rPr>
        <w:t xml:space="preserve"> </w:t>
      </w:r>
      <w:r>
        <w:rPr>
          <w:rFonts w:hint="cs"/>
          <w:sz w:val="18"/>
          <w:szCs w:val="18"/>
          <w:rtl/>
        </w:rPr>
        <w:t>(תחומין כרך לב)</w:t>
      </w:r>
      <w:r>
        <w:rPr>
          <w:rFonts w:hint="cs"/>
          <w:rtl/>
        </w:rPr>
        <w:t xml:space="preserve">. </w:t>
      </w:r>
      <w:r w:rsidR="00F1069C">
        <w:rPr>
          <w:rFonts w:hint="cs"/>
          <w:rtl/>
        </w:rPr>
        <w:t>הוא סבר, שכאשר חז''ל פסקו שתולעים אלו מותרות באכילה כיוון שהן גדלות בדג, הן לא התייחסו לתפיסה המדעית ממנה עולה אחרת וכפי שראינו לעיל, אלא לתפיסה אנושית. בגלל שעל פי תפיסה אנושית תולעים אלו משמעותיות רק בתוך הדג, התולעים נחשבים כחלק ממנו.</w:t>
      </w:r>
    </w:p>
    <w:p w14:paraId="3793DEBD" w14:textId="26951A0D" w:rsidR="00D427BD" w:rsidRPr="00D427BD" w:rsidRDefault="00D427BD" w:rsidP="009E2041">
      <w:pPr>
        <w:spacing w:after="80"/>
        <w:rPr>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D427BD" w:rsidRPr="00D427BD" w:rsidSect="0059275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B6F47" w14:textId="77777777" w:rsidR="002947A4" w:rsidRDefault="002947A4" w:rsidP="00F72894">
      <w:pPr>
        <w:spacing w:after="0" w:line="240" w:lineRule="auto"/>
      </w:pPr>
      <w:r>
        <w:separator/>
      </w:r>
    </w:p>
  </w:endnote>
  <w:endnote w:type="continuationSeparator" w:id="0">
    <w:p w14:paraId="2930DC50" w14:textId="77777777" w:rsidR="002947A4" w:rsidRDefault="002947A4" w:rsidP="00F72894">
      <w:pPr>
        <w:spacing w:after="0" w:line="240" w:lineRule="auto"/>
      </w:pPr>
      <w:r>
        <w:continuationSeparator/>
      </w:r>
    </w:p>
  </w:endnote>
  <w:endnote w:type="continuationNotice" w:id="1">
    <w:p w14:paraId="2D74CF9D" w14:textId="77777777" w:rsidR="002947A4" w:rsidRDefault="00294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F9B55" w14:textId="77777777" w:rsidR="002947A4" w:rsidRDefault="002947A4" w:rsidP="00F72894">
      <w:pPr>
        <w:spacing w:after="0" w:line="240" w:lineRule="auto"/>
      </w:pPr>
      <w:r>
        <w:separator/>
      </w:r>
    </w:p>
  </w:footnote>
  <w:footnote w:type="continuationSeparator" w:id="0">
    <w:p w14:paraId="59FA2484" w14:textId="77777777" w:rsidR="002947A4" w:rsidRDefault="002947A4" w:rsidP="00F72894">
      <w:pPr>
        <w:spacing w:after="0" w:line="240" w:lineRule="auto"/>
      </w:pPr>
      <w:r>
        <w:continuationSeparator/>
      </w:r>
    </w:p>
  </w:footnote>
  <w:footnote w:type="continuationNotice" w:id="1">
    <w:p w14:paraId="7E7B20AB" w14:textId="77777777" w:rsidR="002947A4" w:rsidRDefault="002947A4">
      <w:pPr>
        <w:spacing w:after="0" w:line="240" w:lineRule="auto"/>
      </w:pPr>
    </w:p>
  </w:footnote>
  <w:footnote w:id="2">
    <w:p w14:paraId="59BBABBD" w14:textId="4C925231" w:rsidR="000E2380" w:rsidRDefault="000E2380" w:rsidP="00ED0FC8">
      <w:pPr>
        <w:pStyle w:val="a3"/>
      </w:pPr>
      <w:r>
        <w:rPr>
          <w:rStyle w:val="a5"/>
        </w:rPr>
        <w:footnoteRef/>
      </w:r>
      <w:r>
        <w:rPr>
          <w:rtl/>
        </w:rPr>
        <w:t xml:space="preserve"> </w:t>
      </w:r>
      <w:r>
        <w:rPr>
          <w:rFonts w:hint="cs"/>
          <w:rtl/>
        </w:rPr>
        <w:t xml:space="preserve">גם כאשר יש לבדוק במיעוט המצוי, יש לשאול מאיזו כמות: למשל, האם כאשר בודקים תמרים מתייחסים לכל שקית כיחידה, ואז אם ימצאו תולעים באחת ממספר שקיות, זה נחשב מיעוט המצוי. או שסופרים תמרים בודדים, ואז הסיכוי שיהיה חובה לבדוק נמוך משמעותית, כיוון שבודקים פחות תמרים. נראה שלמעשה ניתן להקל, בין השאר בגלל שהחובה לבדוק במיעוט המצוי מדרבנן, ויש אומרים שמדובר בחומרא בלבד. אמנם, כאשר מדובר באורז </w:t>
      </w:r>
      <w:r w:rsidRPr="00092D95">
        <w:rPr>
          <w:rFonts w:hint="cs"/>
          <w:sz w:val="16"/>
          <w:szCs w:val="16"/>
          <w:rtl/>
        </w:rPr>
        <w:t xml:space="preserve">(במקרה </w:t>
      </w:r>
      <w:r>
        <w:rPr>
          <w:rFonts w:hint="cs"/>
          <w:sz w:val="16"/>
          <w:szCs w:val="16"/>
          <w:rtl/>
        </w:rPr>
        <w:t>ש</w:t>
      </w:r>
      <w:r w:rsidRPr="00092D95">
        <w:rPr>
          <w:rFonts w:hint="cs"/>
          <w:sz w:val="16"/>
          <w:szCs w:val="16"/>
          <w:rtl/>
        </w:rPr>
        <w:t>חייב בבדיקה)</w:t>
      </w:r>
      <w:r>
        <w:rPr>
          <w:rFonts w:hint="cs"/>
          <w:rtl/>
        </w:rPr>
        <w:t xml:space="preserve">, סביר שלא סופרים יחידות בודדות כיוון שלא רגילים לאוכלם כך, אלא מנות אכילה. </w:t>
      </w:r>
    </w:p>
  </w:footnote>
  <w:footnote w:id="3">
    <w:p w14:paraId="6FF26B90" w14:textId="22F66750" w:rsidR="000E2380" w:rsidRDefault="000E2380">
      <w:pPr>
        <w:pStyle w:val="a3"/>
        <w:rPr>
          <w:rtl/>
        </w:rPr>
      </w:pPr>
      <w:r>
        <w:rPr>
          <w:rStyle w:val="a5"/>
        </w:rPr>
        <w:footnoteRef/>
      </w:r>
      <w:r>
        <w:rPr>
          <w:rtl/>
        </w:rPr>
        <w:t xml:space="preserve"> </w:t>
      </w:r>
      <w:r>
        <w:rPr>
          <w:rFonts w:hint="cs"/>
          <w:rtl/>
        </w:rPr>
        <w:t xml:space="preserve">הקושי המשמעותי ביישוב זה של </w:t>
      </w:r>
      <w:r w:rsidRPr="00ED4C7A">
        <w:rPr>
          <w:rFonts w:hint="cs"/>
          <w:b/>
          <w:bCs/>
          <w:rtl/>
        </w:rPr>
        <w:t>הגרש''ז אויערבך</w:t>
      </w:r>
      <w:r>
        <w:rPr>
          <w:rFonts w:hint="cs"/>
          <w:rtl/>
        </w:rPr>
        <w:t xml:space="preserve"> (וכן </w:t>
      </w:r>
      <w:r w:rsidRPr="00ED4C7A">
        <w:rPr>
          <w:rFonts w:hint="cs"/>
          <w:b/>
          <w:bCs/>
          <w:rtl/>
        </w:rPr>
        <w:t>הרב בן ציון אבא שאול והרב ניסים קרליץ</w:t>
      </w:r>
      <w:r>
        <w:rPr>
          <w:rFonts w:hint="cs"/>
          <w:rtl/>
        </w:rPr>
        <w:t xml:space="preserve"> שנקטו כך להלכה), שלמעשה כפי שהוכח כבר כאשר התולעים נמצאות במים ועוד לא נכנסו לבשר הדג, לא מדובר בתולעים בגודל מקרוסקופי אותם לא אסרום חז''ל, וכן אפשר לראותם גם בעין, כך שיישובם לסתירה בין המדע להלכה, קשה.   </w:t>
      </w:r>
    </w:p>
  </w:footnote>
  <w:footnote w:id="4">
    <w:p w14:paraId="032C863D" w14:textId="77777777" w:rsidR="000E2380" w:rsidRPr="000E67A9" w:rsidRDefault="000E2380" w:rsidP="00D427BD">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9A"/>
    <w:rsid w:val="00001766"/>
    <w:rsid w:val="00005951"/>
    <w:rsid w:val="0001119E"/>
    <w:rsid w:val="00015717"/>
    <w:rsid w:val="0001595C"/>
    <w:rsid w:val="000639A1"/>
    <w:rsid w:val="000709B7"/>
    <w:rsid w:val="000747A8"/>
    <w:rsid w:val="000776C5"/>
    <w:rsid w:val="000776EB"/>
    <w:rsid w:val="00081DD8"/>
    <w:rsid w:val="0009295C"/>
    <w:rsid w:val="00092D95"/>
    <w:rsid w:val="000A4242"/>
    <w:rsid w:val="000B5C34"/>
    <w:rsid w:val="000C4EF2"/>
    <w:rsid w:val="000E21EC"/>
    <w:rsid w:val="000E2380"/>
    <w:rsid w:val="000F3993"/>
    <w:rsid w:val="000F5089"/>
    <w:rsid w:val="000F5D88"/>
    <w:rsid w:val="00102299"/>
    <w:rsid w:val="0011416D"/>
    <w:rsid w:val="00117C6B"/>
    <w:rsid w:val="001217B0"/>
    <w:rsid w:val="0013388E"/>
    <w:rsid w:val="00152457"/>
    <w:rsid w:val="00156DC8"/>
    <w:rsid w:val="001674EC"/>
    <w:rsid w:val="00170160"/>
    <w:rsid w:val="00181923"/>
    <w:rsid w:val="0018301C"/>
    <w:rsid w:val="00191AA6"/>
    <w:rsid w:val="001A3505"/>
    <w:rsid w:val="001A7684"/>
    <w:rsid w:val="001B0B44"/>
    <w:rsid w:val="001B3EE5"/>
    <w:rsid w:val="001D6E18"/>
    <w:rsid w:val="00203E1B"/>
    <w:rsid w:val="0022738F"/>
    <w:rsid w:val="00234567"/>
    <w:rsid w:val="00235554"/>
    <w:rsid w:val="00243BF6"/>
    <w:rsid w:val="002473C6"/>
    <w:rsid w:val="00264862"/>
    <w:rsid w:val="00271453"/>
    <w:rsid w:val="00273653"/>
    <w:rsid w:val="002947A4"/>
    <w:rsid w:val="00295C4D"/>
    <w:rsid w:val="002B4620"/>
    <w:rsid w:val="002E52B5"/>
    <w:rsid w:val="0030220F"/>
    <w:rsid w:val="003046F0"/>
    <w:rsid w:val="00306C96"/>
    <w:rsid w:val="00320E9F"/>
    <w:rsid w:val="00342A71"/>
    <w:rsid w:val="0036300B"/>
    <w:rsid w:val="003719C6"/>
    <w:rsid w:val="003740D1"/>
    <w:rsid w:val="003977EF"/>
    <w:rsid w:val="003A07A1"/>
    <w:rsid w:val="003A6456"/>
    <w:rsid w:val="003B4496"/>
    <w:rsid w:val="003D366D"/>
    <w:rsid w:val="003E22A0"/>
    <w:rsid w:val="003E29E1"/>
    <w:rsid w:val="003E73C3"/>
    <w:rsid w:val="003F0537"/>
    <w:rsid w:val="0041263A"/>
    <w:rsid w:val="004235E1"/>
    <w:rsid w:val="0045650F"/>
    <w:rsid w:val="0046177F"/>
    <w:rsid w:val="004825D9"/>
    <w:rsid w:val="00485C94"/>
    <w:rsid w:val="00494B1C"/>
    <w:rsid w:val="00497D07"/>
    <w:rsid w:val="004B4DF7"/>
    <w:rsid w:val="004D6488"/>
    <w:rsid w:val="0050743D"/>
    <w:rsid w:val="00514F44"/>
    <w:rsid w:val="00515EBA"/>
    <w:rsid w:val="00516FB9"/>
    <w:rsid w:val="00557C99"/>
    <w:rsid w:val="00557E91"/>
    <w:rsid w:val="00560489"/>
    <w:rsid w:val="00592753"/>
    <w:rsid w:val="005B1D07"/>
    <w:rsid w:val="005B4C4E"/>
    <w:rsid w:val="005B669E"/>
    <w:rsid w:val="005C0E7B"/>
    <w:rsid w:val="005C146F"/>
    <w:rsid w:val="005C336A"/>
    <w:rsid w:val="005D76D9"/>
    <w:rsid w:val="005E5898"/>
    <w:rsid w:val="006022F5"/>
    <w:rsid w:val="00602612"/>
    <w:rsid w:val="00610669"/>
    <w:rsid w:val="006178C3"/>
    <w:rsid w:val="00635EB6"/>
    <w:rsid w:val="00636878"/>
    <w:rsid w:val="00637F55"/>
    <w:rsid w:val="00650005"/>
    <w:rsid w:val="0065171B"/>
    <w:rsid w:val="006552A6"/>
    <w:rsid w:val="00663AFB"/>
    <w:rsid w:val="00670429"/>
    <w:rsid w:val="00673D92"/>
    <w:rsid w:val="006909A4"/>
    <w:rsid w:val="00696283"/>
    <w:rsid w:val="006A52C5"/>
    <w:rsid w:val="006C2619"/>
    <w:rsid w:val="006E1541"/>
    <w:rsid w:val="006F01DA"/>
    <w:rsid w:val="00703F62"/>
    <w:rsid w:val="00714AE3"/>
    <w:rsid w:val="00725242"/>
    <w:rsid w:val="007314F4"/>
    <w:rsid w:val="00741F6E"/>
    <w:rsid w:val="00753A32"/>
    <w:rsid w:val="00781218"/>
    <w:rsid w:val="007875FF"/>
    <w:rsid w:val="007A5385"/>
    <w:rsid w:val="007B3D7B"/>
    <w:rsid w:val="007B70A0"/>
    <w:rsid w:val="007C41B0"/>
    <w:rsid w:val="007E5FEA"/>
    <w:rsid w:val="008061F8"/>
    <w:rsid w:val="008260FE"/>
    <w:rsid w:val="00896A6C"/>
    <w:rsid w:val="008A15D6"/>
    <w:rsid w:val="008A578B"/>
    <w:rsid w:val="008B1B39"/>
    <w:rsid w:val="008B6263"/>
    <w:rsid w:val="008D219E"/>
    <w:rsid w:val="008E4966"/>
    <w:rsid w:val="009203C1"/>
    <w:rsid w:val="00920C80"/>
    <w:rsid w:val="00935B5E"/>
    <w:rsid w:val="00935D42"/>
    <w:rsid w:val="009440BB"/>
    <w:rsid w:val="00953946"/>
    <w:rsid w:val="0098459A"/>
    <w:rsid w:val="00994D37"/>
    <w:rsid w:val="009B1E31"/>
    <w:rsid w:val="009B7348"/>
    <w:rsid w:val="009E2041"/>
    <w:rsid w:val="009E5721"/>
    <w:rsid w:val="009F3DFB"/>
    <w:rsid w:val="00A0086B"/>
    <w:rsid w:val="00A05E57"/>
    <w:rsid w:val="00A11ECE"/>
    <w:rsid w:val="00A16A5A"/>
    <w:rsid w:val="00A21463"/>
    <w:rsid w:val="00A2221E"/>
    <w:rsid w:val="00A248F2"/>
    <w:rsid w:val="00A2681E"/>
    <w:rsid w:val="00A27793"/>
    <w:rsid w:val="00A341C1"/>
    <w:rsid w:val="00A53D52"/>
    <w:rsid w:val="00A6433E"/>
    <w:rsid w:val="00A8737F"/>
    <w:rsid w:val="00AA0F17"/>
    <w:rsid w:val="00AB44C2"/>
    <w:rsid w:val="00AD641A"/>
    <w:rsid w:val="00AE1D33"/>
    <w:rsid w:val="00AE4D6B"/>
    <w:rsid w:val="00AF502E"/>
    <w:rsid w:val="00AF5EBC"/>
    <w:rsid w:val="00B12C98"/>
    <w:rsid w:val="00B12E41"/>
    <w:rsid w:val="00B20862"/>
    <w:rsid w:val="00B43626"/>
    <w:rsid w:val="00B672FE"/>
    <w:rsid w:val="00B70B24"/>
    <w:rsid w:val="00B70BDA"/>
    <w:rsid w:val="00B94E6B"/>
    <w:rsid w:val="00BB221E"/>
    <w:rsid w:val="00BD223D"/>
    <w:rsid w:val="00BD4C9E"/>
    <w:rsid w:val="00BD5C3B"/>
    <w:rsid w:val="00C02D5B"/>
    <w:rsid w:val="00C20453"/>
    <w:rsid w:val="00C2613E"/>
    <w:rsid w:val="00C429E2"/>
    <w:rsid w:val="00C84CC9"/>
    <w:rsid w:val="00CA2272"/>
    <w:rsid w:val="00CA434E"/>
    <w:rsid w:val="00CA46BB"/>
    <w:rsid w:val="00CA7CD0"/>
    <w:rsid w:val="00CA7D0D"/>
    <w:rsid w:val="00CD3A53"/>
    <w:rsid w:val="00CD7EC4"/>
    <w:rsid w:val="00CE2640"/>
    <w:rsid w:val="00CE3ABE"/>
    <w:rsid w:val="00CE44BE"/>
    <w:rsid w:val="00CF2064"/>
    <w:rsid w:val="00D210F8"/>
    <w:rsid w:val="00D2420D"/>
    <w:rsid w:val="00D252B5"/>
    <w:rsid w:val="00D427BD"/>
    <w:rsid w:val="00D62152"/>
    <w:rsid w:val="00D66A83"/>
    <w:rsid w:val="00D70276"/>
    <w:rsid w:val="00D7036E"/>
    <w:rsid w:val="00D83495"/>
    <w:rsid w:val="00D855C4"/>
    <w:rsid w:val="00DA0F3E"/>
    <w:rsid w:val="00DB031D"/>
    <w:rsid w:val="00DB6D13"/>
    <w:rsid w:val="00DC0A82"/>
    <w:rsid w:val="00DC6257"/>
    <w:rsid w:val="00DC741F"/>
    <w:rsid w:val="00DD4AF2"/>
    <w:rsid w:val="00DD4ECF"/>
    <w:rsid w:val="00DE635E"/>
    <w:rsid w:val="00DF10E6"/>
    <w:rsid w:val="00DF5372"/>
    <w:rsid w:val="00E02154"/>
    <w:rsid w:val="00E11472"/>
    <w:rsid w:val="00E1329E"/>
    <w:rsid w:val="00E260EB"/>
    <w:rsid w:val="00E30D25"/>
    <w:rsid w:val="00E314C4"/>
    <w:rsid w:val="00E31D25"/>
    <w:rsid w:val="00E45381"/>
    <w:rsid w:val="00E81501"/>
    <w:rsid w:val="00E8632F"/>
    <w:rsid w:val="00E95066"/>
    <w:rsid w:val="00E95E4F"/>
    <w:rsid w:val="00EA3484"/>
    <w:rsid w:val="00EB23F8"/>
    <w:rsid w:val="00EB385C"/>
    <w:rsid w:val="00EB5EF5"/>
    <w:rsid w:val="00EB6099"/>
    <w:rsid w:val="00EC685E"/>
    <w:rsid w:val="00EC7081"/>
    <w:rsid w:val="00ED0FC8"/>
    <w:rsid w:val="00ED4C7A"/>
    <w:rsid w:val="00EE4F30"/>
    <w:rsid w:val="00EF1756"/>
    <w:rsid w:val="00F0153F"/>
    <w:rsid w:val="00F07B94"/>
    <w:rsid w:val="00F1069C"/>
    <w:rsid w:val="00F118D3"/>
    <w:rsid w:val="00F244C1"/>
    <w:rsid w:val="00F50725"/>
    <w:rsid w:val="00F5374A"/>
    <w:rsid w:val="00F64062"/>
    <w:rsid w:val="00F72894"/>
    <w:rsid w:val="00FA09CD"/>
    <w:rsid w:val="00FD59E7"/>
    <w:rsid w:val="00FD7E26"/>
    <w:rsid w:val="00FF01FE"/>
    <w:rsid w:val="00FF0EE9"/>
    <w:rsid w:val="00FF1E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86DB"/>
  <w15:chartTrackingRefBased/>
  <w15:docId w15:val="{D6E5F317-A374-4B67-B1BA-3E30CED2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72894"/>
    <w:pPr>
      <w:spacing w:after="0" w:line="240" w:lineRule="auto"/>
    </w:pPr>
    <w:rPr>
      <w:sz w:val="20"/>
      <w:szCs w:val="20"/>
    </w:rPr>
  </w:style>
  <w:style w:type="character" w:customStyle="1" w:styleId="a4">
    <w:name w:val="טקסט הערת שוליים תו"/>
    <w:basedOn w:val="a0"/>
    <w:link w:val="a3"/>
    <w:uiPriority w:val="99"/>
    <w:rsid w:val="00F72894"/>
    <w:rPr>
      <w:sz w:val="20"/>
      <w:szCs w:val="20"/>
    </w:rPr>
  </w:style>
  <w:style w:type="character" w:styleId="a5">
    <w:name w:val="footnote reference"/>
    <w:basedOn w:val="a0"/>
    <w:uiPriority w:val="99"/>
    <w:semiHidden/>
    <w:unhideWhenUsed/>
    <w:rsid w:val="00F72894"/>
    <w:rPr>
      <w:vertAlign w:val="superscript"/>
    </w:rPr>
  </w:style>
  <w:style w:type="character" w:styleId="Hyperlink">
    <w:name w:val="Hyperlink"/>
    <w:basedOn w:val="a0"/>
    <w:uiPriority w:val="99"/>
    <w:semiHidden/>
    <w:unhideWhenUsed/>
    <w:rsid w:val="00D427BD"/>
    <w:rPr>
      <w:color w:val="0000FF"/>
      <w:u w:val="single"/>
    </w:rPr>
  </w:style>
  <w:style w:type="paragraph" w:styleId="a6">
    <w:name w:val="header"/>
    <w:basedOn w:val="a"/>
    <w:link w:val="a7"/>
    <w:uiPriority w:val="99"/>
    <w:unhideWhenUsed/>
    <w:rsid w:val="00FF1E31"/>
    <w:pPr>
      <w:tabs>
        <w:tab w:val="center" w:pos="4153"/>
        <w:tab w:val="right" w:pos="8306"/>
      </w:tabs>
      <w:spacing w:after="0" w:line="240" w:lineRule="auto"/>
    </w:pPr>
  </w:style>
  <w:style w:type="character" w:customStyle="1" w:styleId="a7">
    <w:name w:val="כותרת עליונה תו"/>
    <w:basedOn w:val="a0"/>
    <w:link w:val="a6"/>
    <w:uiPriority w:val="99"/>
    <w:rsid w:val="00FF1E31"/>
  </w:style>
  <w:style w:type="paragraph" w:styleId="a8">
    <w:name w:val="footer"/>
    <w:basedOn w:val="a"/>
    <w:link w:val="a9"/>
    <w:uiPriority w:val="99"/>
    <w:unhideWhenUsed/>
    <w:rsid w:val="00FF1E31"/>
    <w:pPr>
      <w:tabs>
        <w:tab w:val="center" w:pos="4153"/>
        <w:tab w:val="right" w:pos="8306"/>
      </w:tabs>
      <w:spacing w:after="0" w:line="240" w:lineRule="auto"/>
    </w:pPr>
  </w:style>
  <w:style w:type="character" w:customStyle="1" w:styleId="a9">
    <w:name w:val="כותרת תחתונה תו"/>
    <w:basedOn w:val="a0"/>
    <w:link w:val="a8"/>
    <w:uiPriority w:val="99"/>
    <w:rsid w:val="00FF1E31"/>
  </w:style>
  <w:style w:type="paragraph" w:styleId="aa">
    <w:name w:val="Revision"/>
    <w:hidden/>
    <w:uiPriority w:val="99"/>
    <w:semiHidden/>
    <w:rsid w:val="00FF1E3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4158">
      <w:bodyDiv w:val="1"/>
      <w:marLeft w:val="0"/>
      <w:marRight w:val="0"/>
      <w:marTop w:val="0"/>
      <w:marBottom w:val="0"/>
      <w:divBdr>
        <w:top w:val="none" w:sz="0" w:space="0" w:color="auto"/>
        <w:left w:val="none" w:sz="0" w:space="0" w:color="auto"/>
        <w:bottom w:val="none" w:sz="0" w:space="0" w:color="auto"/>
        <w:right w:val="none" w:sz="0" w:space="0" w:color="auto"/>
      </w:divBdr>
    </w:div>
    <w:div w:id="2766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2044</TotalTime>
  <Pages>2</Pages>
  <Words>1435</Words>
  <Characters>7180</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17</cp:revision>
  <cp:lastPrinted>2021-03-10T21:55:00Z</cp:lastPrinted>
  <dcterms:created xsi:type="dcterms:W3CDTF">2021-03-09T08:06:00Z</dcterms:created>
  <dcterms:modified xsi:type="dcterms:W3CDTF">2022-03-24T15:28:00Z</dcterms:modified>
</cp:coreProperties>
</file>