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1"/>
        </w:rPr>
        <w:t xml:space="preserve">בס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ab/>
        <w:t xml:space="preserve">   </w:t>
      </w:r>
      <w:r w:rsidDel="00000000" w:rsidR="00000000" w:rsidRPr="00000000">
        <w:rPr>
          <w:b w:val="1"/>
          <w:sz w:val="36"/>
          <w:szCs w:val="36"/>
          <w:rtl w:val="1"/>
        </w:rPr>
        <w:t xml:space="preserve">פרשת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וישב</w:t>
      </w:r>
      <w:r w:rsidDel="00000000" w:rsidR="00000000" w:rsidRPr="00000000">
        <w:rPr>
          <w:b w:val="1"/>
          <w:sz w:val="36"/>
          <w:szCs w:val="36"/>
          <w:rtl w:val="1"/>
        </w:rPr>
        <w:t xml:space="preserve">: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האם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יש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למסור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הנפש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בשביל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לא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לבייש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אדם</w:t>
      </w:r>
    </w:p>
    <w:p w:rsidR="00000000" w:rsidDel="00000000" w:rsidP="00000000" w:rsidRDefault="00000000" w:rsidRPr="00000000" w14:paraId="00000002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פתיחה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בפרשת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לביישו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ממעשיה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להיהרג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תנחומא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ויגש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ה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והנוכחים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בהישארותו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שעוד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ידעו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שהוא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יוסף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ויכלו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להורגו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שהוא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מתנכל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אליהם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יתביישו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יתגלה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לביישם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ובלשונו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spacing w:after="8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(= </w:t>
      </w:r>
      <w:r w:rsidDel="00000000" w:rsidR="00000000" w:rsidRPr="00000000">
        <w:rPr>
          <w:sz w:val="18"/>
          <w:szCs w:val="18"/>
          <w:rtl w:val="1"/>
        </w:rPr>
        <w:t xml:space="preserve">שניגש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אליו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יהודה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להתאפק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שאיהרג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המצרים</w:t>
      </w:r>
      <w:r w:rsidDel="00000000" w:rsidR="00000000" w:rsidRPr="00000000">
        <w:rPr>
          <w:rtl w:val="1"/>
        </w:rPr>
        <w:t xml:space="preserve">.''</w:t>
      </w:r>
    </w:p>
    <w:p w:rsidR="00000000" w:rsidDel="00000000" w:rsidP="00000000" w:rsidRDefault="00000000" w:rsidRPr="00000000" w14:paraId="00000006">
      <w:pPr>
        <w:bidi w:val="1"/>
        <w:spacing w:after="80" w:lineRule="auto"/>
        <w:rPr/>
      </w:pPr>
      <w:r w:rsidDel="00000000" w:rsidR="00000000" w:rsidRPr="00000000">
        <w:rPr>
          <w:rtl w:val="1"/>
        </w:rPr>
        <w:t xml:space="preserve">ממעשי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נפסקו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ברבים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07">
      <w:pPr>
        <w:bidi w:val="1"/>
        <w:spacing w:after="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יהרג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ואל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יעבור</w:t>
      </w:r>
    </w:p>
    <w:p w:rsidR="00000000" w:rsidDel="00000000" w:rsidP="00000000" w:rsidRDefault="00000000" w:rsidRPr="00000000" w14:paraId="00000008">
      <w:pPr>
        <w:bidi w:val="1"/>
        <w:spacing w:after="80" w:lineRule="auto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להיהרג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לקיימן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תולדות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1"/>
        </w:rPr>
        <w:t xml:space="preserve">')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בסנהדרין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עד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כותבת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שחכמים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ושפיכות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ישמעאל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או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לפחות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בחלקן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יוסף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יו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קנז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bidi w:val="1"/>
        <w:spacing w:after="8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סנהדרין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יהוצדק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ייהרג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ושפיכות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ופסקו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הרמב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יסודי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התורה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והרא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סי</w:t>
      </w:r>
      <w:r w:rsidDel="00000000" w:rsidR="00000000" w:rsidRPr="00000000">
        <w:rPr>
          <w:sz w:val="18"/>
          <w:szCs w:val="18"/>
          <w:rtl w:val="1"/>
        </w:rPr>
        <w:t xml:space="preserve">' </w:t>
      </w:r>
      <w:r w:rsidDel="00000000" w:rsidR="00000000" w:rsidRPr="00000000">
        <w:rPr>
          <w:sz w:val="18"/>
          <w:szCs w:val="18"/>
          <w:rtl w:val="1"/>
        </w:rPr>
        <w:t xml:space="preserve">ג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  <w:t xml:space="preserve">.''  </w:t>
      </w:r>
    </w:p>
    <w:p w:rsidR="00000000" w:rsidDel="00000000" w:rsidP="00000000" w:rsidRDefault="00000000" w:rsidRPr="00000000" w14:paraId="0000000A">
      <w:pPr>
        <w:bidi w:val="1"/>
        <w:spacing w:after="80" w:lineRule="auto"/>
        <w:rPr>
          <w:b w:val="1"/>
        </w:rPr>
      </w:pPr>
      <w:r w:rsidDel="00000000" w:rsidR="00000000" w:rsidRPr="00000000">
        <w:rPr>
          <w:rtl w:val="1"/>
        </w:rPr>
        <w:t xml:space="preserve">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מעוגן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בסברא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</w:t>
      </w:r>
      <w:r w:rsidDel="00000000" w:rsidR="00000000" w:rsidRPr="00000000">
        <w:rPr>
          <w:b w:val="1"/>
          <w:rtl w:val="1"/>
        </w:rPr>
        <w:t xml:space="preserve">''</w:t>
      </w:r>
      <w:r w:rsidDel="00000000" w:rsidR="00000000" w:rsidRPr="00000000">
        <w:rPr>
          <w:b w:val="1"/>
          <w:rtl w:val="1"/>
        </w:rPr>
        <w:t xml:space="preserve">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חוץ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נפשו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נחלקו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80" w:lineRule="auto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הרמב</w:t>
      </w:r>
      <w:r w:rsidDel="00000000" w:rsidR="00000000" w:rsidRPr="00000000">
        <w:rPr>
          <w:b w:val="1"/>
          <w:rtl w:val="1"/>
        </w:rPr>
        <w:t xml:space="preserve">''</w:t>
      </w:r>
      <w:r w:rsidDel="00000000" w:rsidR="00000000" w:rsidRPr="00000000">
        <w:rPr>
          <w:b w:val="1"/>
          <w:rtl w:val="1"/>
        </w:rPr>
        <w:t xml:space="preserve">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יסודי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התורה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התוספות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עבודה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זרה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מתקיף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ורוב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נימקו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אנוס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רחמנא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פטריה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לחטוא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באונס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ובלשון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הרמב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spacing w:after="80" w:lineRule="auto"/>
        <w:ind w:left="72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''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וכל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שנאמר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ייהרג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ואל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יעבור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ועבר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ולא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נהרג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הרי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זה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מחלל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השם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ואם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בעשרה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מישראל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הרי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זה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חילל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השם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ברבים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וביטל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מצוות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עשה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שהיא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קידוש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השם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ועבר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מצוות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תעשה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שהיא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חלול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השם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ואף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פי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מפני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שעבר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באונס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אין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מלקין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אותו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ואין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צריך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לומר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שאין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ממיתין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אותו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בית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דין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8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רבינו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דוד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(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בר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''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ן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סנהדרין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סא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ע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''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ב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ד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''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ה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איתמר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מיתה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נימק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מיתה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באונס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שהחוטא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משיגעון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8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חריגים</w:t>
      </w:r>
    </w:p>
    <w:p w:rsidR="00000000" w:rsidDel="00000000" w:rsidP="00000000" w:rsidRDefault="00000000" w:rsidRPr="00000000" w14:paraId="0000000F">
      <w:pPr>
        <w:bidi w:val="1"/>
        <w:spacing w:after="80" w:lineRule="auto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להיהרג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פרהסיא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בסנהדרין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עד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כותבת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בין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גברים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ובין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נשים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80" w:lineRule="auto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שעת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השמד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מקרה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נוסף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למסור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הנפש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גם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מדובר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בשלושת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העבירות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החמורות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-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הוא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שעת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השמד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(=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גזירות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על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קיום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המצוות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הגמרא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במסכת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סנהדרין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(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עד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ע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''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א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)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כותבת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שבשעת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השמד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אפילו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מצווה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קלה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למסור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הנפש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-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כגון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שינוי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'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ערקתא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דמסנא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',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כלומר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כשגויים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מחייבים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שינוי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קשירת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הסנדל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מהאופן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יהודים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קושרים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אותו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לאופן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שבו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קושרים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המבייש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חברו</w:t>
      </w:r>
    </w:p>
    <w:p w:rsidR="00000000" w:rsidDel="00000000" w:rsidP="00000000" w:rsidRDefault="00000000" w:rsidRPr="00000000" w14:paraId="00000012">
      <w:pPr>
        <w:bidi w:val="1"/>
        <w:spacing w:after="80" w:lineRule="auto"/>
        <w:rPr/>
      </w:pPr>
      <w:r w:rsidDel="00000000" w:rsidR="00000000" w:rsidRPr="00000000">
        <w:rPr>
          <w:rtl w:val="1"/>
        </w:rPr>
        <w:t xml:space="preserve">בפשטות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בפרהסיא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1"/>
        </w:rPr>
        <w:t xml:space="preserve">הדנה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בפרשתנו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נשרפה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שזינתה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80" w:lineRule="auto"/>
        <w:rPr/>
      </w:pP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לכבשן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ולהיהרג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ביהודה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4">
      <w:pPr>
        <w:bidi w:val="1"/>
        <w:spacing w:after="8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מחלוקת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הראשונים</w:t>
      </w:r>
    </w:p>
    <w:p w:rsidR="00000000" w:rsidDel="00000000" w:rsidP="00000000" w:rsidRDefault="00000000" w:rsidRPr="00000000" w14:paraId="00000015">
      <w:pPr>
        <w:bidi w:val="1"/>
        <w:spacing w:after="80" w:lineRule="auto"/>
        <w:rPr/>
      </w:pPr>
      <w:r w:rsidDel="00000000" w:rsidR="00000000" w:rsidRPr="00000000">
        <w:rPr>
          <w:rtl w:val="1"/>
        </w:rPr>
        <w:t xml:space="preserve">נחלקו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המאירי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לעולם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בסנהדרין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אגדתיות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בלשון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וממספר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שהלשון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הלכתית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יג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מביאה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'. </w:t>
      </w:r>
      <w:r w:rsidDel="00000000" w:rsidR="00000000" w:rsidRPr="00000000">
        <w:rPr>
          <w:rtl w:val="1"/>
        </w:rPr>
        <w:t xml:space="preserve">ובלשון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וייס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('</w:t>
      </w:r>
      <w:r w:rsidDel="00000000" w:rsidR="00000000" w:rsidRPr="00000000">
        <w:rPr>
          <w:sz w:val="18"/>
          <w:szCs w:val="18"/>
          <w:rtl w:val="1"/>
        </w:rPr>
        <w:t xml:space="preserve">וישב</w:t>
      </w:r>
      <w:r w:rsidDel="00000000" w:rsidR="00000000" w:rsidRPr="00000000">
        <w:rPr>
          <w:sz w:val="18"/>
          <w:szCs w:val="18"/>
          <w:rtl w:val="1"/>
        </w:rPr>
        <w:t xml:space="preserve">')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בפשטות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משמע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בהלכתא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בעירובין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משנברא</w:t>
      </w:r>
      <w:r w:rsidDel="00000000" w:rsidR="00000000" w:rsidRPr="00000000">
        <w:rPr>
          <w:rtl w:val="1"/>
        </w:rPr>
        <w:t xml:space="preserve">''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והנהגה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דבברכות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צחות</w:t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אמרו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לכבשן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ברבים</w:t>
      </w:r>
      <w:r w:rsidDel="00000000" w:rsidR="00000000" w:rsidRPr="00000000">
        <w:rPr>
          <w:rtl w:val="1"/>
        </w:rPr>
        <w:t xml:space="preserve">.''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התוספות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נוח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וסברו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הלכתית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להיהרג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בסנהדרין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ייהרג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תירצו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המוזכרות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בדרשה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בסנהדרין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רבינו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יונה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שערי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תשובה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קלט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נח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שהלבנת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בפירוש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להיהרג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נחשבים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רבים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מהאחרונים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ברובם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מוטב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שמסתבר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העלבה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ברבים</w:t>
      </w:r>
      <w:r w:rsidDel="00000000" w:rsidR="00000000" w:rsidRPr="00000000">
        <w:rPr>
          <w:rtl w:val="1"/>
        </w:rPr>
        <w:t xml:space="preserve">':  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החפץ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שלח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</w:t>
      </w:r>
      <w:r w:rsidDel="00000000" w:rsidR="00000000" w:rsidRPr="00000000">
        <w:rPr>
          <w:sz w:val="18"/>
          <w:szCs w:val="18"/>
          <w:rtl w:val="1"/>
        </w:rPr>
        <w:t xml:space="preserve">')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E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פרסום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בעיתון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ובאינטרנט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כהעלבה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ההעלבה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כהעלבה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נחלקו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הפוסקים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spacing w:after="80" w:lineRule="auto"/>
        <w:rPr>
          <w:b w:val="1"/>
        </w:rPr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בסנהדרין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שם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תמהה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אחשוורוש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בפרהסיא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b w:val="1"/>
          <w:rtl w:val="1"/>
        </w:rPr>
        <w:t xml:space="preserve">הרדב</w:t>
      </w:r>
      <w:r w:rsidDel="00000000" w:rsidR="00000000" w:rsidRPr="00000000">
        <w:rPr>
          <w:b w:val="1"/>
          <w:rtl w:val="1"/>
        </w:rPr>
        <w:t xml:space="preserve">''</w:t>
      </w:r>
      <w:r w:rsidDel="00000000" w:rsidR="00000000" w:rsidRPr="00000000">
        <w:rPr>
          <w:b w:val="1"/>
          <w:rtl w:val="1"/>
        </w:rPr>
        <w:t xml:space="preserve">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צב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ומסתמא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ידעו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שאסתר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נלקחה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בפרהסיא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המהרי</w:t>
      </w:r>
      <w:r w:rsidDel="00000000" w:rsidR="00000000" w:rsidRPr="00000000">
        <w:rPr>
          <w:b w:val="1"/>
          <w:rtl w:val="1"/>
        </w:rPr>
        <w:t xml:space="preserve">''</w:t>
      </w:r>
      <w:r w:rsidDel="00000000" w:rsidR="00000000" w:rsidRPr="00000000">
        <w:rPr>
          <w:b w:val="1"/>
          <w:rtl w:val="1"/>
        </w:rPr>
        <w:t xml:space="preserve">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שורש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קס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הש</w:t>
      </w:r>
      <w:r w:rsidDel="00000000" w:rsidR="00000000" w:rsidRPr="00000000">
        <w:rPr>
          <w:b w:val="1"/>
          <w:rtl w:val="1"/>
        </w:rPr>
        <w:t xml:space="preserve">''</w:t>
      </w:r>
      <w:r w:rsidDel="00000000" w:rsidR="00000000" w:rsidRPr="00000000">
        <w:rPr>
          <w:b w:val="1"/>
          <w:rtl w:val="1"/>
        </w:rPr>
        <w:t xml:space="preserve">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יו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קנז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הרדב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80" w:lineRule="auto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"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ופירוש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בפרהסיא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כגון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דידעי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(=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שידעו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)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עשרה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מישראל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בדבר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אף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גב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דלא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הוו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בשעת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מעשה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מדפרכינן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בגמרא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והא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אסתר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פרהסיא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והא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הוו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עשרה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בשעת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מעשה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הביאה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אלא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משום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דידעי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למילתא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(=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שידעו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את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המעשה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)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קרי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פרהסיא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וזה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ברור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."</w:t>
      </w:r>
    </w:p>
    <w:p w:rsidR="00000000" w:rsidDel="00000000" w:rsidP="00000000" w:rsidRDefault="00000000" w:rsidRPr="00000000" w14:paraId="00000022">
      <w:pPr>
        <w:bidi w:val="1"/>
        <w:spacing w:after="80" w:lineRule="auto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המאירי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(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שם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ד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''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ה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שעת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)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לעומת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זאת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העלה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אפשרות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שרק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כאשר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עשרה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יהודים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רואים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העבירה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למסור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הנפש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מקרה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אסתר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תירץ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הרב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עטלינגר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(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בניין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ציון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סי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'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סד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שמפני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שמעשה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ביאה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לרוב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הוא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חשאי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באופן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חריג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אין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צורך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לראות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המעשה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ממש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ודי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בכך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שראו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לקיחתה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אסתר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לארמון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אבל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בשאר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עבירות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צריך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ראייה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ממש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דינים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נוספים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השלכות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הגרש</w:t>
      </w:r>
      <w:r w:rsidDel="00000000" w:rsidR="00000000" w:rsidRPr="00000000">
        <w:rPr>
          <w:b w:val="1"/>
          <w:rtl w:val="1"/>
        </w:rPr>
        <w:t xml:space="preserve">''</w:t>
      </w:r>
      <w:r w:rsidDel="00000000" w:rsidR="00000000" w:rsidRPr="00000000">
        <w:rPr>
          <w:b w:val="1"/>
          <w:rtl w:val="1"/>
        </w:rPr>
        <w:t xml:space="preserve">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אויערבך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מנחת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שלמה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ז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לביישו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לרצוח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שהביוש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התלבט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וחילק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להיהרג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לעבירה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6">
      <w:pPr>
        <w:bidi w:val="1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שלום</w:t>
      </w:r>
      <w:r w:rsidDel="00000000" w:rsidR="00000000" w:rsidRPr="00000000">
        <w:rPr>
          <w:b w:val="1"/>
          <w:rtl w:val="1"/>
        </w:rPr>
        <w:t xml:space="preserve">! </w:t>
      </w:r>
      <w:r w:rsidDel="00000000" w:rsidR="00000000" w:rsidRPr="00000000">
        <w:rPr>
          <w:b w:val="1"/>
          <w:rtl w:val="1"/>
        </w:rPr>
        <w:t xml:space="preserve">קח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לקרוא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בשולחן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תעביר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בבקשה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יקראו</w:t>
      </w:r>
      <w:r w:rsidDel="00000000" w:rsidR="00000000" w:rsidRPr="00000000">
        <w:rPr>
          <w:sz w:val="26"/>
          <w:szCs w:val="26"/>
          <w:vertAlign w:val="superscript"/>
        </w:rPr>
        <w:footnoteReference w:customMarkFollows="0" w:id="2"/>
      </w:r>
      <w:r w:rsidDel="00000000" w:rsidR="00000000" w:rsidRPr="00000000">
        <w:rPr>
          <w:b w:val="1"/>
          <w:rtl w:val="0"/>
        </w:rPr>
        <w:t xml:space="preserve">... </w:t>
      </w:r>
    </w:p>
    <w:sectPr>
      <w:pgSz w:h="16838" w:w="11906" w:orient="portrait"/>
      <w:pgMar w:bottom="822" w:top="720" w:left="737" w:right="73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המאירי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לראובן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להרוג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הפוסקים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סברו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שהבינו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חריגים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משמעותי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בשיקול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</w:footnote>
  <w:footnote w:id="1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תוספות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עיקרון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בסוגיה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פדיון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שבויים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מקץ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')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הגמרא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כותבת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פדיון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שבויים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מצווה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)'.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פדיון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הקשו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הגמרא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במגילה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כותבת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למכור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שבויים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למכור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נשיאת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ולימוד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שבאמת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למכור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והסיבה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שהגמרא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מנתה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להזכירו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2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מצאת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שבוע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למייל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במקומך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למשפחה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מוזמן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hyperlink r:id="rId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tora2338@gmail.com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note text"/>
    <w:basedOn w:val="a"/>
    <w:link w:val="a4"/>
    <w:uiPriority w:val="99"/>
    <w:semiHidden w:val="1"/>
    <w:unhideWhenUsed w:val="1"/>
    <w:rsid w:val="00524B97"/>
    <w:pPr>
      <w:spacing w:after="0" w:line="240" w:lineRule="auto"/>
    </w:pPr>
    <w:rPr>
      <w:sz w:val="20"/>
      <w:szCs w:val="20"/>
    </w:rPr>
  </w:style>
  <w:style w:type="character" w:styleId="a4" w:customStyle="1">
    <w:name w:val="טקסט הערת שוליים תו"/>
    <w:basedOn w:val="a0"/>
    <w:link w:val="a3"/>
    <w:uiPriority w:val="99"/>
    <w:semiHidden w:val="1"/>
    <w:rsid w:val="00524B97"/>
    <w:rPr>
      <w:sz w:val="20"/>
      <w:szCs w:val="20"/>
    </w:rPr>
  </w:style>
  <w:style w:type="character" w:styleId="a5">
    <w:name w:val="footnote reference"/>
    <w:basedOn w:val="a0"/>
    <w:uiPriority w:val="99"/>
    <w:semiHidden w:val="1"/>
    <w:unhideWhenUsed w:val="1"/>
    <w:rsid w:val="00524B97"/>
    <w:rPr>
      <w:vertAlign w:val="superscript"/>
    </w:rPr>
  </w:style>
  <w:style w:type="character" w:styleId="1" w:customStyle="1">
    <w:name w:val="ציטוט1"/>
    <w:basedOn w:val="a0"/>
    <w:rsid w:val="00524B97"/>
    <w:rPr>
      <w:rFonts w:ascii="FrankRuehl" w:cs="Guttman Keren" w:hAnsi="FrankRuehl" w:hint="default"/>
      <w:color w:val="000000"/>
      <w:sz w:val="20"/>
      <w:szCs w:val="20"/>
      <w:lang w:bidi="he-IL"/>
    </w:rPr>
  </w:style>
  <w:style w:type="character" w:styleId="Hyperlink">
    <w:name w:val="Hyperlink"/>
    <w:basedOn w:val="a0"/>
    <w:uiPriority w:val="99"/>
    <w:semiHidden w:val="1"/>
    <w:unhideWhenUsed w:val="1"/>
    <w:rsid w:val="0012789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 w:val="1"/>
    <w:rsid w:val="009C5CDF"/>
    <w:pPr>
      <w:tabs>
        <w:tab w:val="center" w:pos="4153"/>
        <w:tab w:val="right" w:pos="8306"/>
      </w:tabs>
      <w:spacing w:after="0" w:line="240" w:lineRule="auto"/>
    </w:pPr>
  </w:style>
  <w:style w:type="character" w:styleId="a7" w:customStyle="1">
    <w:name w:val="כותרת עליונה תו"/>
    <w:basedOn w:val="a0"/>
    <w:link w:val="a6"/>
    <w:uiPriority w:val="99"/>
    <w:rsid w:val="009C5CDF"/>
  </w:style>
  <w:style w:type="paragraph" w:styleId="a8">
    <w:name w:val="footer"/>
    <w:basedOn w:val="a"/>
    <w:link w:val="a9"/>
    <w:uiPriority w:val="99"/>
    <w:unhideWhenUsed w:val="1"/>
    <w:rsid w:val="009C5CDF"/>
    <w:pPr>
      <w:tabs>
        <w:tab w:val="center" w:pos="4153"/>
        <w:tab w:val="right" w:pos="8306"/>
      </w:tabs>
      <w:spacing w:after="0" w:line="240" w:lineRule="auto"/>
    </w:pPr>
  </w:style>
  <w:style w:type="character" w:styleId="a9" w:customStyle="1">
    <w:name w:val="כותרת תחתונה תו"/>
    <w:basedOn w:val="a0"/>
    <w:link w:val="a8"/>
    <w:uiPriority w:val="99"/>
    <w:rsid w:val="009C5CDF"/>
  </w:style>
  <w:style w:type="paragraph" w:styleId="aa">
    <w:name w:val="Revision"/>
    <w:hidden w:val="1"/>
    <w:uiPriority w:val="99"/>
    <w:semiHidden w:val="1"/>
    <w:rsid w:val="009C5CDF"/>
    <w:pPr>
      <w:bidi w:val="0"/>
      <w:spacing w:after="0" w:line="240" w:lineRule="auto"/>
      <w:jc w:val="left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t0ehY3UbmBXKPPTu83J4PMlhhQ==">AMUW2mXLSY5C/msx1GGV3xQuxdT62rsC6SRIaP8sxnoRJaQEu5aB3g5cbbxwKH29Qr9z7hQa0sVxXF7T9yEODYLrEl/CQR9nhJ1q/C3/9eS3GnPetb++jOo=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2021-11-13T18:43:00Z</dcterms:created>
  <dc:creator>יגאל גרוס</dc:creator>
</cp:coreProperties>
</file>