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799D3" w14:textId="255F39B1" w:rsidR="0050743D" w:rsidRDefault="00915526" w:rsidP="00C27DB8">
      <w:pPr>
        <w:rPr>
          <w:b/>
          <w:bCs/>
          <w:sz w:val="36"/>
          <w:szCs w:val="36"/>
          <w:rtl/>
        </w:rPr>
      </w:pPr>
      <w:r>
        <w:rPr>
          <w:rFonts w:hint="cs"/>
          <w:rtl/>
        </w:rPr>
        <w:t>בס''ד</w:t>
      </w:r>
      <w:r>
        <w:rPr>
          <w:rtl/>
        </w:rPr>
        <w:tab/>
      </w:r>
      <w:r>
        <w:rPr>
          <w:rFonts w:hint="cs"/>
          <w:rtl/>
        </w:rPr>
        <w:t xml:space="preserve">  </w:t>
      </w:r>
      <w:r w:rsidRPr="00915526">
        <w:rPr>
          <w:rFonts w:hint="cs"/>
          <w:b/>
          <w:bCs/>
          <w:sz w:val="36"/>
          <w:szCs w:val="36"/>
          <w:rtl/>
        </w:rPr>
        <w:t xml:space="preserve">פרשת תרומה: </w:t>
      </w:r>
      <w:r w:rsidR="00F7122D">
        <w:rPr>
          <w:rFonts w:hint="cs"/>
          <w:b/>
          <w:bCs/>
          <w:sz w:val="36"/>
          <w:szCs w:val="36"/>
          <w:rtl/>
        </w:rPr>
        <w:t>כיצד</w:t>
      </w:r>
      <w:r w:rsidRPr="00915526">
        <w:rPr>
          <w:rFonts w:hint="cs"/>
          <w:b/>
          <w:bCs/>
          <w:sz w:val="36"/>
          <w:szCs w:val="36"/>
          <w:rtl/>
        </w:rPr>
        <w:t xml:space="preserve"> מותר </w:t>
      </w:r>
      <w:r w:rsidR="00FE7E44">
        <w:rPr>
          <w:rFonts w:hint="cs"/>
          <w:b/>
          <w:bCs/>
          <w:sz w:val="36"/>
          <w:szCs w:val="36"/>
          <w:rtl/>
        </w:rPr>
        <w:t>לשים מאכל על הפלטה</w:t>
      </w:r>
      <w:r w:rsidR="00C27DB8" w:rsidRPr="00C27DB8">
        <w:rPr>
          <w:rFonts w:hint="cs"/>
          <w:b/>
          <w:bCs/>
          <w:sz w:val="36"/>
          <w:szCs w:val="36"/>
          <w:rtl/>
        </w:rPr>
        <w:t xml:space="preserve"> </w:t>
      </w:r>
      <w:r w:rsidR="00C27DB8">
        <w:rPr>
          <w:rFonts w:hint="cs"/>
          <w:b/>
          <w:bCs/>
          <w:sz w:val="36"/>
          <w:szCs w:val="36"/>
          <w:rtl/>
        </w:rPr>
        <w:t>ב</w:t>
      </w:r>
      <w:r w:rsidR="00E84962">
        <w:rPr>
          <w:rFonts w:hint="cs"/>
          <w:b/>
          <w:bCs/>
          <w:sz w:val="36"/>
          <w:szCs w:val="36"/>
          <w:rtl/>
        </w:rPr>
        <w:t xml:space="preserve">ערב </w:t>
      </w:r>
      <w:r w:rsidR="00C27DB8">
        <w:rPr>
          <w:rFonts w:hint="cs"/>
          <w:b/>
          <w:bCs/>
          <w:sz w:val="36"/>
          <w:szCs w:val="36"/>
          <w:rtl/>
        </w:rPr>
        <w:t>שבת</w:t>
      </w:r>
    </w:p>
    <w:p w14:paraId="21787CF9" w14:textId="5D50708C" w:rsidR="00915526" w:rsidRDefault="00915526">
      <w:pPr>
        <w:rPr>
          <w:b/>
          <w:bCs/>
          <w:u w:val="single"/>
          <w:rtl/>
        </w:rPr>
      </w:pPr>
      <w:r w:rsidRPr="00915526">
        <w:rPr>
          <w:rFonts w:hint="cs"/>
          <w:b/>
          <w:bCs/>
          <w:u w:val="single"/>
          <w:rtl/>
        </w:rPr>
        <w:t>פתיחה</w:t>
      </w:r>
    </w:p>
    <w:p w14:paraId="71FA8632" w14:textId="6729F15A" w:rsidR="00915526" w:rsidRDefault="00915526" w:rsidP="00C27DB8">
      <w:pPr>
        <w:rPr>
          <w:rtl/>
        </w:rPr>
      </w:pPr>
      <w:r>
        <w:rPr>
          <w:rFonts w:hint="cs"/>
          <w:rtl/>
        </w:rPr>
        <w:t xml:space="preserve">בפרשת השבוע כותבת התורה </w:t>
      </w:r>
      <w:r w:rsidR="00CE7036">
        <w:rPr>
          <w:rFonts w:hint="cs"/>
          <w:rtl/>
        </w:rPr>
        <w:t xml:space="preserve">את מלאכת בניית המשכן, </w:t>
      </w:r>
      <w:r w:rsidR="00C27DB8">
        <w:rPr>
          <w:rFonts w:hint="cs"/>
          <w:rtl/>
        </w:rPr>
        <w:t>ו</w:t>
      </w:r>
      <w:r w:rsidR="00CE7036">
        <w:rPr>
          <w:rFonts w:hint="cs"/>
          <w:rtl/>
        </w:rPr>
        <w:t xml:space="preserve">כפי שדרשו חז''ל </w:t>
      </w:r>
      <w:r w:rsidR="00CE7036">
        <w:rPr>
          <w:rFonts w:hint="cs"/>
          <w:sz w:val="18"/>
          <w:szCs w:val="18"/>
          <w:rtl/>
        </w:rPr>
        <w:t>(שבת</w:t>
      </w:r>
      <w:r w:rsidR="00866F2E">
        <w:rPr>
          <w:rFonts w:hint="cs"/>
          <w:sz w:val="18"/>
          <w:szCs w:val="18"/>
          <w:rtl/>
        </w:rPr>
        <w:t xml:space="preserve"> מט ע''</w:t>
      </w:r>
      <w:r w:rsidR="008C32CA">
        <w:rPr>
          <w:rFonts w:hint="cs"/>
          <w:sz w:val="18"/>
          <w:szCs w:val="18"/>
          <w:rtl/>
        </w:rPr>
        <w:t>ב</w:t>
      </w:r>
      <w:r w:rsidR="00A923C4">
        <w:rPr>
          <w:rFonts w:hint="cs"/>
          <w:sz w:val="18"/>
          <w:szCs w:val="18"/>
          <w:rtl/>
        </w:rPr>
        <w:t xml:space="preserve">) </w:t>
      </w:r>
      <w:r w:rsidR="00CE7036">
        <w:rPr>
          <w:rFonts w:hint="cs"/>
          <w:rtl/>
        </w:rPr>
        <w:t xml:space="preserve">ל''ט המלאכות שנאסרו בשבת נלמדו מכך שהוסמך הציווי על השבת למלאכת בניית המשכן. </w:t>
      </w:r>
      <w:r w:rsidR="00985300">
        <w:rPr>
          <w:rFonts w:hint="cs"/>
          <w:rtl/>
        </w:rPr>
        <w:t xml:space="preserve">אחת מהמלאכות האסורות בשבת היא מלאכת אופה ומבשל, </w:t>
      </w:r>
      <w:r w:rsidR="00C27DB8">
        <w:rPr>
          <w:rFonts w:hint="cs"/>
          <w:rtl/>
        </w:rPr>
        <w:t>ו</w:t>
      </w:r>
      <w:r w:rsidR="00985300">
        <w:rPr>
          <w:rFonts w:hint="cs"/>
          <w:rtl/>
        </w:rPr>
        <w:t xml:space="preserve">דנו האחרונים </w:t>
      </w:r>
      <w:r w:rsidR="00CB4EF3">
        <w:rPr>
          <w:rFonts w:hint="cs"/>
          <w:rtl/>
        </w:rPr>
        <w:t>ה</w:t>
      </w:r>
      <w:r w:rsidR="00985300">
        <w:rPr>
          <w:rFonts w:hint="cs"/>
          <w:rtl/>
        </w:rPr>
        <w:t xml:space="preserve">אם יש איסור </w:t>
      </w:r>
      <w:r w:rsidR="00157B9B">
        <w:rPr>
          <w:rFonts w:hint="cs"/>
          <w:rtl/>
        </w:rPr>
        <w:t xml:space="preserve">בישול </w:t>
      </w:r>
      <w:r w:rsidR="00985300">
        <w:rPr>
          <w:rFonts w:hint="cs"/>
          <w:rtl/>
        </w:rPr>
        <w:t>במיקרוגל:</w:t>
      </w:r>
    </w:p>
    <w:p w14:paraId="212CAA55" w14:textId="188FF7F1" w:rsidR="0031063D" w:rsidRDefault="0031063D" w:rsidP="00C27DB8">
      <w:pPr>
        <w:rPr>
          <w:rtl/>
        </w:rPr>
      </w:pPr>
      <w:r>
        <w:rPr>
          <w:rFonts w:hint="cs"/>
          <w:rtl/>
        </w:rPr>
        <w:t xml:space="preserve">א. </w:t>
      </w:r>
      <w:r w:rsidR="004E2A90">
        <w:rPr>
          <w:rFonts w:hint="cs"/>
          <w:rtl/>
        </w:rPr>
        <w:t xml:space="preserve">הגמרא במסכת שבת </w:t>
      </w:r>
      <w:r w:rsidR="004E2A90">
        <w:rPr>
          <w:rFonts w:hint="cs"/>
          <w:sz w:val="18"/>
          <w:szCs w:val="18"/>
          <w:rtl/>
        </w:rPr>
        <w:t xml:space="preserve">(לט ע''א) </w:t>
      </w:r>
      <w:r w:rsidR="004E2A90">
        <w:rPr>
          <w:rFonts w:hint="cs"/>
          <w:rtl/>
        </w:rPr>
        <w:t xml:space="preserve">פוסקת, שלמרות שאסור לבשל בשבת - בישול </w:t>
      </w:r>
      <w:r w:rsidR="00B77C95">
        <w:rPr>
          <w:rFonts w:hint="cs"/>
          <w:rtl/>
        </w:rPr>
        <w:t xml:space="preserve">באופן ישיר על ידי </w:t>
      </w:r>
      <w:r w:rsidR="004E2A90">
        <w:rPr>
          <w:rFonts w:hint="cs"/>
          <w:rtl/>
        </w:rPr>
        <w:t>השמש מותר</w:t>
      </w:r>
      <w:r w:rsidR="00B77C95">
        <w:rPr>
          <w:rFonts w:hint="cs"/>
          <w:rtl/>
        </w:rPr>
        <w:t xml:space="preserve"> </w:t>
      </w:r>
      <w:r w:rsidR="00D0681D">
        <w:rPr>
          <w:rFonts w:hint="cs"/>
          <w:rtl/>
        </w:rPr>
        <w:t xml:space="preserve">כיוון ''שאין דרך בישולו בכך </w:t>
      </w:r>
      <w:r w:rsidR="00D0681D">
        <w:rPr>
          <w:rFonts w:hint="cs"/>
          <w:sz w:val="18"/>
          <w:szCs w:val="18"/>
          <w:rtl/>
        </w:rPr>
        <w:t>(רש''י)</w:t>
      </w:r>
      <w:r w:rsidR="00D0681D">
        <w:rPr>
          <w:rFonts w:hint="cs"/>
          <w:rtl/>
        </w:rPr>
        <w:t xml:space="preserve">''. מדוע אם כן אין </w:t>
      </w:r>
      <w:r w:rsidR="00663545">
        <w:rPr>
          <w:rFonts w:hint="cs"/>
          <w:rtl/>
        </w:rPr>
        <w:t xml:space="preserve">בכך </w:t>
      </w:r>
      <w:r w:rsidR="00D0681D">
        <w:rPr>
          <w:rFonts w:hint="cs"/>
          <w:rtl/>
        </w:rPr>
        <w:t xml:space="preserve">איסור מדרבנן ככל פעלה שעושים בשינוי? </w:t>
      </w:r>
      <w:r w:rsidR="00CB1C9E">
        <w:rPr>
          <w:rFonts w:hint="cs"/>
          <w:b/>
          <w:bCs/>
          <w:rtl/>
        </w:rPr>
        <w:t xml:space="preserve">הגרש''ז אויערבך </w:t>
      </w:r>
      <w:r w:rsidR="00D0681D">
        <w:rPr>
          <w:rFonts w:hint="cs"/>
          <w:sz w:val="18"/>
          <w:szCs w:val="18"/>
          <w:rtl/>
        </w:rPr>
        <w:t>(</w:t>
      </w:r>
      <w:r w:rsidR="00CB1C9E">
        <w:rPr>
          <w:rFonts w:hint="cs"/>
          <w:sz w:val="18"/>
          <w:szCs w:val="18"/>
          <w:rtl/>
        </w:rPr>
        <w:t>מנחת שלמה א, יב</w:t>
      </w:r>
      <w:r w:rsidR="00D0681D">
        <w:rPr>
          <w:rFonts w:hint="cs"/>
          <w:sz w:val="18"/>
          <w:szCs w:val="18"/>
          <w:rtl/>
        </w:rPr>
        <w:t xml:space="preserve">) </w:t>
      </w:r>
      <w:r w:rsidR="00D0681D">
        <w:rPr>
          <w:rFonts w:hint="cs"/>
          <w:rtl/>
        </w:rPr>
        <w:t>תירץ</w:t>
      </w:r>
      <w:r w:rsidR="00E00204">
        <w:rPr>
          <w:rFonts w:hint="cs"/>
          <w:rtl/>
        </w:rPr>
        <w:t xml:space="preserve">, </w:t>
      </w:r>
      <w:r w:rsidR="00526EAC">
        <w:rPr>
          <w:rFonts w:hint="cs"/>
          <w:rtl/>
        </w:rPr>
        <w:t>ש</w:t>
      </w:r>
      <w:r w:rsidR="0022635B">
        <w:rPr>
          <w:rFonts w:hint="cs"/>
          <w:rtl/>
        </w:rPr>
        <w:t xml:space="preserve">למדו מהמשכן שרק בישול באש נחשב בישול, ולא שאר סוגי הבישולים. גזרו חכמים רק על הדומה לאש, ולא על חמה. </w:t>
      </w:r>
    </w:p>
    <w:p w14:paraId="23A9E09C" w14:textId="5BDD47B7" w:rsidR="00C404F3" w:rsidRPr="00AE1F59" w:rsidRDefault="00C404F3" w:rsidP="00C27DB8">
      <w:pPr>
        <w:rPr>
          <w:sz w:val="18"/>
          <w:szCs w:val="18"/>
          <w:rtl/>
        </w:rPr>
      </w:pPr>
      <w:r>
        <w:rPr>
          <w:rFonts w:hint="cs"/>
          <w:rtl/>
        </w:rPr>
        <w:t xml:space="preserve">ב. </w:t>
      </w:r>
      <w:r w:rsidRPr="00C404F3">
        <w:rPr>
          <w:rFonts w:hint="cs"/>
          <w:b/>
          <w:bCs/>
          <w:rtl/>
        </w:rPr>
        <w:t>הרב משה פיינשטיין</w:t>
      </w:r>
      <w:r>
        <w:rPr>
          <w:rFonts w:hint="cs"/>
          <w:rtl/>
        </w:rPr>
        <w:t xml:space="preserve"> </w:t>
      </w:r>
      <w:r>
        <w:rPr>
          <w:rFonts w:hint="cs"/>
          <w:sz w:val="18"/>
          <w:szCs w:val="18"/>
          <w:rtl/>
        </w:rPr>
        <w:t>(אג</w:t>
      </w:r>
      <w:r w:rsidR="006F6492">
        <w:rPr>
          <w:rFonts w:hint="cs"/>
          <w:sz w:val="18"/>
          <w:szCs w:val="18"/>
          <w:rtl/>
        </w:rPr>
        <w:t>''מ</w:t>
      </w:r>
      <w:r>
        <w:rPr>
          <w:rFonts w:hint="cs"/>
          <w:sz w:val="18"/>
          <w:szCs w:val="18"/>
          <w:rtl/>
        </w:rPr>
        <w:t xml:space="preserve"> </w:t>
      </w:r>
      <w:r w:rsidR="00AE1F59">
        <w:rPr>
          <w:rFonts w:hint="cs"/>
          <w:sz w:val="18"/>
          <w:szCs w:val="18"/>
          <w:rtl/>
        </w:rPr>
        <w:t xml:space="preserve">או''ח ג, נב) </w:t>
      </w:r>
      <w:r>
        <w:rPr>
          <w:rFonts w:hint="cs"/>
          <w:rtl/>
        </w:rPr>
        <w:t>חלק וסבר,</w:t>
      </w:r>
      <w:r w:rsidR="00AE1F59">
        <w:rPr>
          <w:rFonts w:hint="cs"/>
          <w:rtl/>
        </w:rPr>
        <w:t xml:space="preserve"> שהסיבה שאין איסור לבשל בשמש </w:t>
      </w:r>
      <w:r w:rsidR="00E56E89">
        <w:rPr>
          <w:rFonts w:hint="cs"/>
          <w:rtl/>
        </w:rPr>
        <w:t>ה</w:t>
      </w:r>
      <w:r w:rsidR="00C27DB8">
        <w:rPr>
          <w:rFonts w:hint="cs"/>
          <w:rtl/>
        </w:rPr>
        <w:t>י</w:t>
      </w:r>
      <w:r w:rsidR="00E56E89">
        <w:rPr>
          <w:rFonts w:hint="cs"/>
          <w:rtl/>
        </w:rPr>
        <w:t>א</w:t>
      </w:r>
      <w:r w:rsidR="00E95C42">
        <w:rPr>
          <w:rFonts w:hint="cs"/>
          <w:rtl/>
        </w:rPr>
        <w:t xml:space="preserve">, </w:t>
      </w:r>
      <w:r w:rsidR="00AE1F59">
        <w:rPr>
          <w:rFonts w:hint="cs"/>
          <w:rtl/>
        </w:rPr>
        <w:t>ש</w:t>
      </w:r>
      <w:r w:rsidR="00E56E89">
        <w:rPr>
          <w:rFonts w:hint="cs"/>
          <w:rtl/>
        </w:rPr>
        <w:t xml:space="preserve">גם </w:t>
      </w:r>
      <w:r w:rsidR="00AE1F59">
        <w:rPr>
          <w:rFonts w:hint="cs"/>
          <w:rtl/>
        </w:rPr>
        <w:t>ב</w:t>
      </w:r>
      <w:r w:rsidR="00C27DB8">
        <w:rPr>
          <w:rFonts w:hint="cs"/>
          <w:rtl/>
        </w:rPr>
        <w:t xml:space="preserve">עבר לא </w:t>
      </w:r>
      <w:r w:rsidR="00E56E89">
        <w:rPr>
          <w:rFonts w:hint="cs"/>
          <w:rtl/>
        </w:rPr>
        <w:t>היה</w:t>
      </w:r>
      <w:r w:rsidR="00AE1F59">
        <w:rPr>
          <w:rFonts w:hint="cs"/>
          <w:rtl/>
        </w:rPr>
        <w:t xml:space="preserve"> מצוי לבשל כך. ועל אף שחז''ל גזרו על חלק מהדברים, גזרו רק ב</w:t>
      </w:r>
      <w:r w:rsidR="00C27DB8">
        <w:rPr>
          <w:rFonts w:hint="cs"/>
          <w:rtl/>
        </w:rPr>
        <w:t>אופנים</w:t>
      </w:r>
      <w:r w:rsidR="00AE1F59">
        <w:rPr>
          <w:rFonts w:hint="cs"/>
          <w:rtl/>
        </w:rPr>
        <w:t xml:space="preserve"> </w:t>
      </w:r>
      <w:r w:rsidR="00E95C42">
        <w:rPr>
          <w:rFonts w:hint="cs"/>
          <w:rtl/>
        </w:rPr>
        <w:t>בהם הי</w:t>
      </w:r>
      <w:r w:rsidR="001A2CE3">
        <w:rPr>
          <w:rFonts w:hint="cs"/>
          <w:rtl/>
        </w:rPr>
        <w:t>יתה</w:t>
      </w:r>
      <w:r w:rsidR="00E95C42">
        <w:rPr>
          <w:rFonts w:hint="cs"/>
          <w:rtl/>
        </w:rPr>
        <w:t xml:space="preserve"> רגילות</w:t>
      </w:r>
      <w:r w:rsidR="001A2CE3">
        <w:rPr>
          <w:rFonts w:hint="cs"/>
          <w:rtl/>
        </w:rPr>
        <w:t xml:space="preserve"> לבשל</w:t>
      </w:r>
      <w:r w:rsidR="00E95C42">
        <w:rPr>
          <w:rFonts w:hint="cs"/>
          <w:rtl/>
        </w:rPr>
        <w:t>.</w:t>
      </w:r>
      <w:r w:rsidR="00CB5F34">
        <w:rPr>
          <w:rFonts w:hint="cs"/>
          <w:rtl/>
        </w:rPr>
        <w:t xml:space="preserve"> </w:t>
      </w:r>
      <w:r w:rsidR="00C27DB8">
        <w:rPr>
          <w:rFonts w:hint="cs"/>
          <w:rtl/>
        </w:rPr>
        <w:t xml:space="preserve">נמצא כי </w:t>
      </w:r>
      <w:r w:rsidR="0002409A">
        <w:rPr>
          <w:rFonts w:hint="cs"/>
          <w:rtl/>
        </w:rPr>
        <w:t>בעוד של</w:t>
      </w:r>
      <w:r w:rsidR="00346F37">
        <w:rPr>
          <w:rFonts w:hint="cs"/>
          <w:rtl/>
        </w:rPr>
        <w:t>דעת ה</w:t>
      </w:r>
      <w:r w:rsidR="0002409A">
        <w:rPr>
          <w:rFonts w:hint="cs"/>
          <w:rtl/>
        </w:rPr>
        <w:t xml:space="preserve">גזרש''ז בישול במיקרוגל אסור מדרבנן </w:t>
      </w:r>
      <w:r w:rsidR="00BB065C">
        <w:rPr>
          <w:rFonts w:hint="cs"/>
          <w:rtl/>
        </w:rPr>
        <w:t xml:space="preserve">כי הבישול </w:t>
      </w:r>
      <w:r w:rsidR="00C27DB8">
        <w:rPr>
          <w:rFonts w:hint="cs"/>
          <w:rtl/>
        </w:rPr>
        <w:t>אינו</w:t>
      </w:r>
      <w:r w:rsidR="00BB065C">
        <w:rPr>
          <w:rFonts w:hint="cs"/>
          <w:rtl/>
        </w:rPr>
        <w:t xml:space="preserve"> ב</w:t>
      </w:r>
      <w:r w:rsidR="0002409A">
        <w:rPr>
          <w:rFonts w:hint="cs"/>
          <w:rtl/>
        </w:rPr>
        <w:t xml:space="preserve">אש, לשיטתו יהיה בכך </w:t>
      </w:r>
      <w:r w:rsidR="00CB1C9E">
        <w:rPr>
          <w:rFonts w:hint="cs"/>
          <w:rtl/>
        </w:rPr>
        <w:t>איסור דאורייתא, כיוון שבזמן הזה כך רגילים לבשל, ובלשונו:</w:t>
      </w:r>
    </w:p>
    <w:p w14:paraId="43AD1FD2" w14:textId="0822C9B2" w:rsidR="002378E6" w:rsidRDefault="00773F90" w:rsidP="00CA0295">
      <w:pPr>
        <w:ind w:left="720"/>
        <w:rPr>
          <w:rtl/>
        </w:rPr>
      </w:pPr>
      <w:r>
        <w:rPr>
          <w:rFonts w:cs="Arial" w:hint="cs"/>
          <w:rtl/>
        </w:rPr>
        <w:t xml:space="preserve">''אם כן </w:t>
      </w:r>
      <w:r w:rsidR="002378E6" w:rsidRPr="002378E6">
        <w:rPr>
          <w:rFonts w:cs="Arial"/>
          <w:rtl/>
        </w:rPr>
        <w:t>בהמייקר - וייו אווען שטוב לבשל בו כמו באש ממש</w:t>
      </w:r>
      <w:r w:rsidR="00491162">
        <w:rPr>
          <w:rFonts w:cs="Arial" w:hint="cs"/>
          <w:rtl/>
        </w:rPr>
        <w:t>,</w:t>
      </w:r>
      <w:r w:rsidR="002378E6" w:rsidRPr="002378E6">
        <w:rPr>
          <w:rFonts w:cs="Arial"/>
          <w:rtl/>
        </w:rPr>
        <w:t xml:space="preserve"> ואלו שיש להם תנור כזה משתמשים בו יותר מבשול דבאש</w:t>
      </w:r>
      <w:r w:rsidR="00491162">
        <w:rPr>
          <w:rFonts w:cs="Arial" w:hint="cs"/>
          <w:rtl/>
        </w:rPr>
        <w:t>.</w:t>
      </w:r>
      <w:r w:rsidR="002378E6" w:rsidRPr="002378E6">
        <w:rPr>
          <w:rFonts w:cs="Arial"/>
          <w:rtl/>
        </w:rPr>
        <w:t xml:space="preserve"> ומה שלא </w:t>
      </w:r>
      <w:r w:rsidR="00C66A18">
        <w:rPr>
          <w:rFonts w:cs="Arial" w:hint="cs"/>
          <w:rtl/>
        </w:rPr>
        <w:t>ה</w:t>
      </w:r>
      <w:r w:rsidR="002378E6" w:rsidRPr="002378E6">
        <w:rPr>
          <w:rFonts w:cs="Arial"/>
          <w:rtl/>
        </w:rPr>
        <w:t>תפשטו תנורים אלו עדיין הוא</w:t>
      </w:r>
      <w:r w:rsidR="00491162">
        <w:rPr>
          <w:rFonts w:cs="Arial" w:hint="cs"/>
          <w:rtl/>
        </w:rPr>
        <w:t>,</w:t>
      </w:r>
      <w:r w:rsidR="002378E6" w:rsidRPr="002378E6">
        <w:rPr>
          <w:rFonts w:cs="Arial"/>
          <w:rtl/>
        </w:rPr>
        <w:t xml:space="preserve"> משום דלא מצוי עדיין הרבה תנורים וכשיהיו מצויין ודאי ישתמשו בהם </w:t>
      </w:r>
      <w:r w:rsidR="00491162">
        <w:rPr>
          <w:rFonts w:cs="Arial" w:hint="cs"/>
          <w:rtl/>
        </w:rPr>
        <w:t xml:space="preserve">כולי עלמא </w:t>
      </w:r>
      <w:r w:rsidR="002378E6" w:rsidRPr="002378E6">
        <w:rPr>
          <w:rFonts w:cs="Arial"/>
          <w:rtl/>
        </w:rPr>
        <w:t>דהא הוא יותר טוב, ודאי יש למילף מבשול דאור דהיה במשכן בחשיבות תולדה שהוא לכל הדינים כהאב</w:t>
      </w:r>
      <w:r w:rsidR="00CA0295">
        <w:rPr>
          <w:rFonts w:cs="Arial" w:hint="cs"/>
          <w:rtl/>
        </w:rPr>
        <w:t>.''</w:t>
      </w:r>
    </w:p>
    <w:p w14:paraId="4BC1CE0D" w14:textId="5134FB10" w:rsidR="00AB112C" w:rsidRDefault="00782052" w:rsidP="00496631">
      <w:pPr>
        <w:rPr>
          <w:rtl/>
        </w:rPr>
      </w:pPr>
      <w:r>
        <w:rPr>
          <w:rFonts w:hint="cs"/>
          <w:rtl/>
        </w:rPr>
        <w:t xml:space="preserve">בעקבת איסורי המשכן </w:t>
      </w:r>
      <w:r w:rsidR="00BD20FA">
        <w:rPr>
          <w:rFonts w:hint="cs"/>
          <w:rtl/>
        </w:rPr>
        <w:t>ואיסור בישול בפרט נעסוק השבוע באיסור בישול</w:t>
      </w:r>
      <w:r w:rsidR="00AB112C">
        <w:rPr>
          <w:rFonts w:hint="cs"/>
          <w:rtl/>
        </w:rPr>
        <w:t>,</w:t>
      </w:r>
      <w:r w:rsidR="00BD20FA">
        <w:rPr>
          <w:rFonts w:hint="cs"/>
          <w:rtl/>
        </w:rPr>
        <w:t xml:space="preserve"> אך בעיקר ב</w:t>
      </w:r>
      <w:r w:rsidR="00F966EF">
        <w:rPr>
          <w:rFonts w:hint="cs"/>
          <w:rtl/>
        </w:rPr>
        <w:t xml:space="preserve">חלק </w:t>
      </w:r>
      <w:r w:rsidR="009333F0">
        <w:rPr>
          <w:rFonts w:hint="cs"/>
          <w:rtl/>
        </w:rPr>
        <w:t>מה</w:t>
      </w:r>
      <w:r w:rsidR="00C27DB8">
        <w:rPr>
          <w:rFonts w:hint="cs"/>
          <w:rtl/>
        </w:rPr>
        <w:t>ג</w:t>
      </w:r>
      <w:r w:rsidR="00BD20FA">
        <w:rPr>
          <w:rFonts w:hint="cs"/>
          <w:rtl/>
        </w:rPr>
        <w:t>זירות שגזרו חז''ל</w:t>
      </w:r>
      <w:r w:rsidR="007D520C">
        <w:rPr>
          <w:rFonts w:hint="cs"/>
          <w:rtl/>
        </w:rPr>
        <w:t>, והרלוונטיות לימינו שהחימום מתבצע על פלטה:</w:t>
      </w:r>
      <w:r w:rsidR="00BD20FA">
        <w:rPr>
          <w:rFonts w:hint="cs"/>
          <w:rtl/>
        </w:rPr>
        <w:t xml:space="preserve"> </w:t>
      </w:r>
      <w:r w:rsidR="007D520C" w:rsidRPr="007D520C">
        <w:rPr>
          <w:rFonts w:hint="cs"/>
          <w:b/>
          <w:bCs/>
          <w:rtl/>
        </w:rPr>
        <w:t>איסור שהייה</w:t>
      </w:r>
      <w:r w:rsidR="007D520C">
        <w:rPr>
          <w:rFonts w:hint="cs"/>
          <w:rtl/>
        </w:rPr>
        <w:t>, הקובע שאין להניח דברים על האש לפני שבת.</w:t>
      </w:r>
      <w:r w:rsidR="00496631">
        <w:rPr>
          <w:rFonts w:hint="cs"/>
          <w:rtl/>
        </w:rPr>
        <w:t xml:space="preserve"> על</w:t>
      </w:r>
      <w:r w:rsidR="007D520C">
        <w:rPr>
          <w:rFonts w:hint="cs"/>
          <w:rtl/>
        </w:rPr>
        <w:t xml:space="preserve"> </w:t>
      </w:r>
      <w:r w:rsidR="007D520C" w:rsidRPr="007D520C">
        <w:rPr>
          <w:rFonts w:hint="cs"/>
          <w:b/>
          <w:bCs/>
          <w:rtl/>
        </w:rPr>
        <w:t xml:space="preserve">איסור </w:t>
      </w:r>
      <w:r w:rsidR="00C27DB8">
        <w:rPr>
          <w:rFonts w:hint="cs"/>
          <w:b/>
          <w:bCs/>
          <w:rtl/>
        </w:rPr>
        <w:t>ה</w:t>
      </w:r>
      <w:r w:rsidR="007D520C" w:rsidRPr="007D520C">
        <w:rPr>
          <w:rFonts w:hint="cs"/>
          <w:b/>
          <w:bCs/>
          <w:rtl/>
        </w:rPr>
        <w:t>חזרה</w:t>
      </w:r>
      <w:r w:rsidR="007D520C" w:rsidRPr="007D520C">
        <w:rPr>
          <w:rFonts w:hint="cs"/>
          <w:rtl/>
        </w:rPr>
        <w:t>,</w:t>
      </w:r>
      <w:r w:rsidR="007D520C">
        <w:rPr>
          <w:rFonts w:hint="cs"/>
          <w:rtl/>
        </w:rPr>
        <w:t xml:space="preserve"> הקובע שאין להחזיר </w:t>
      </w:r>
      <w:r w:rsidR="00AB112C">
        <w:rPr>
          <w:rFonts w:hint="cs"/>
          <w:rtl/>
        </w:rPr>
        <w:t>לאש דבר שהיה מונח עליה בכניסת השבת</w:t>
      </w:r>
      <w:r w:rsidR="009333F0">
        <w:rPr>
          <w:rFonts w:hint="cs"/>
          <w:rtl/>
        </w:rPr>
        <w:t xml:space="preserve"> </w:t>
      </w:r>
      <w:r w:rsidR="00496631">
        <w:rPr>
          <w:rFonts w:hint="cs"/>
          <w:rtl/>
        </w:rPr>
        <w:t>בע"ה</w:t>
      </w:r>
      <w:r w:rsidR="009333F0">
        <w:rPr>
          <w:rFonts w:hint="cs"/>
          <w:rtl/>
        </w:rPr>
        <w:t xml:space="preserve"> נעסוק בפעם אחרת</w:t>
      </w:r>
      <w:r w:rsidR="00AB112C">
        <w:rPr>
          <w:rFonts w:hint="cs"/>
          <w:rtl/>
        </w:rPr>
        <w:t xml:space="preserve">. </w:t>
      </w:r>
    </w:p>
    <w:p w14:paraId="0299B2E8" w14:textId="7B005B04" w:rsidR="00AB112C" w:rsidRDefault="00AB112C" w:rsidP="00782052">
      <w:pPr>
        <w:rPr>
          <w:b/>
          <w:bCs/>
          <w:u w:val="single"/>
          <w:rtl/>
        </w:rPr>
      </w:pPr>
      <w:r>
        <w:rPr>
          <w:rFonts w:hint="cs"/>
          <w:b/>
          <w:bCs/>
          <w:u w:val="single"/>
          <w:rtl/>
        </w:rPr>
        <w:t>איסור שהייה</w:t>
      </w:r>
    </w:p>
    <w:p w14:paraId="57B0959F" w14:textId="3F4A7853" w:rsidR="0000133B" w:rsidRDefault="006A641F" w:rsidP="00496631">
      <w:pPr>
        <w:rPr>
          <w:rtl/>
        </w:rPr>
      </w:pPr>
      <w:r>
        <w:rPr>
          <w:rFonts w:hint="cs"/>
          <w:rtl/>
        </w:rPr>
        <w:t>מהו איסור שהייה?</w:t>
      </w:r>
      <w:r>
        <w:rPr>
          <w:rFonts w:hint="cs"/>
        </w:rPr>
        <w:t xml:space="preserve"> </w:t>
      </w:r>
      <w:r>
        <w:rPr>
          <w:rFonts w:hint="cs"/>
          <w:rtl/>
        </w:rPr>
        <w:t>כפי שכותבת הגמרא במסכת שבת</w:t>
      </w:r>
      <w:r w:rsidR="0031692E">
        <w:rPr>
          <w:rFonts w:hint="cs"/>
          <w:rtl/>
        </w:rPr>
        <w:t xml:space="preserve"> </w:t>
      </w:r>
      <w:r w:rsidR="0031692E">
        <w:rPr>
          <w:rFonts w:hint="cs"/>
          <w:sz w:val="18"/>
          <w:szCs w:val="18"/>
          <w:rtl/>
        </w:rPr>
        <w:t>(יח ע''ב)</w:t>
      </w:r>
      <w:r>
        <w:rPr>
          <w:rFonts w:hint="cs"/>
          <w:rtl/>
        </w:rPr>
        <w:t xml:space="preserve">, למרות שלדעת בית הלל כליו של אדם לא צריכים לשבות </w:t>
      </w:r>
      <w:r w:rsidRPr="006A641F">
        <w:rPr>
          <w:rFonts w:hint="cs"/>
          <w:sz w:val="18"/>
          <w:szCs w:val="18"/>
          <w:rtl/>
        </w:rPr>
        <w:t xml:space="preserve">(ומשום כך מותר לדוגמא </w:t>
      </w:r>
      <w:r>
        <w:rPr>
          <w:rFonts w:hint="cs"/>
          <w:sz w:val="18"/>
          <w:szCs w:val="18"/>
          <w:rtl/>
        </w:rPr>
        <w:t>שהמזגן ימשיך ל</w:t>
      </w:r>
      <w:r w:rsidR="00496631">
        <w:rPr>
          <w:rFonts w:hint="cs"/>
          <w:sz w:val="18"/>
          <w:szCs w:val="18"/>
          <w:rtl/>
        </w:rPr>
        <w:t>פעול</w:t>
      </w:r>
      <w:r>
        <w:rPr>
          <w:rFonts w:hint="cs"/>
          <w:sz w:val="18"/>
          <w:szCs w:val="18"/>
          <w:rtl/>
        </w:rPr>
        <w:t xml:space="preserve"> בשבת</w:t>
      </w:r>
      <w:r w:rsidRPr="006A641F">
        <w:rPr>
          <w:rFonts w:hint="cs"/>
          <w:sz w:val="18"/>
          <w:szCs w:val="18"/>
          <w:rtl/>
        </w:rPr>
        <w:t>)</w:t>
      </w:r>
      <w:r>
        <w:rPr>
          <w:rFonts w:hint="cs"/>
          <w:rtl/>
        </w:rPr>
        <w:t>, מכל מקום גם הם מודים שיש איסור דרבנן לשים מאכל מערב שבת על האש, מחשש שמא האדם שלהוט לזרז את הבישול</w:t>
      </w:r>
      <w:r w:rsidR="005B51AA">
        <w:rPr>
          <w:rFonts w:hint="cs"/>
          <w:rtl/>
        </w:rPr>
        <w:t>,</w:t>
      </w:r>
      <w:r>
        <w:rPr>
          <w:rFonts w:hint="cs"/>
          <w:rtl/>
        </w:rPr>
        <w:t xml:space="preserve"> יחתה בגחלים כדי להגביר את פעולת הבישול.</w:t>
      </w:r>
    </w:p>
    <w:p w14:paraId="1C165AC6" w14:textId="21ED8484" w:rsidR="00C01DBC" w:rsidRDefault="006A641F" w:rsidP="00496631">
      <w:pPr>
        <w:rPr>
          <w:rtl/>
        </w:rPr>
      </w:pPr>
      <w:r>
        <w:rPr>
          <w:rFonts w:hint="cs"/>
          <w:rtl/>
        </w:rPr>
        <w:t xml:space="preserve">אמנם, דווקא בגלל שהחשש הוא חיתוי בגחלים, יש מקרים בהם </w:t>
      </w:r>
      <w:r w:rsidR="0031692E">
        <w:rPr>
          <w:rFonts w:hint="cs"/>
          <w:rtl/>
        </w:rPr>
        <w:t>חכמים לא גזרו. למשל</w:t>
      </w:r>
      <w:r w:rsidR="00496631">
        <w:rPr>
          <w:rFonts w:hint="cs"/>
          <w:rtl/>
        </w:rPr>
        <w:t>,</w:t>
      </w:r>
      <w:r w:rsidR="0031692E">
        <w:rPr>
          <w:rFonts w:hint="cs"/>
          <w:rtl/>
        </w:rPr>
        <w:t xml:space="preserve"> אין איסור להניח בערב שבת תבשיל על קש וגבבא, כיוו</w:t>
      </w:r>
      <w:r w:rsidR="00C01DBC">
        <w:rPr>
          <w:rFonts w:hint="cs"/>
          <w:rtl/>
        </w:rPr>
        <w:t>ן שהם לא יוצרים גחלים</w:t>
      </w:r>
      <w:r w:rsidR="00496631">
        <w:rPr>
          <w:rFonts w:hint="cs"/>
          <w:rtl/>
        </w:rPr>
        <w:t>,</w:t>
      </w:r>
      <w:r w:rsidR="00C01DBC">
        <w:rPr>
          <w:rFonts w:hint="cs"/>
          <w:rtl/>
        </w:rPr>
        <w:t xml:space="preserve"> וחיתוי בהם לא יועיל לקרב את פעולת הבישול. </w:t>
      </w:r>
      <w:r w:rsidR="000549DC">
        <w:rPr>
          <w:rFonts w:hint="cs"/>
          <w:rtl/>
        </w:rPr>
        <w:t>כמו כן, גם כאשר ההסקה מתבצעת באמצעות עצים, כאשר מכסים אותם בעפר וכדומה אין איסור, כיוון שבמקרה זה אין חשש לחיתוי בגחלים.</w:t>
      </w:r>
    </w:p>
    <w:p w14:paraId="3CBC7108" w14:textId="47712441" w:rsidR="001C14A8" w:rsidRDefault="00F4100F" w:rsidP="00F4100F">
      <w:pPr>
        <w:rPr>
          <w:rtl/>
        </w:rPr>
      </w:pPr>
      <w:r>
        <w:rPr>
          <w:rFonts w:hint="cs"/>
          <w:rtl/>
        </w:rPr>
        <w:t xml:space="preserve">עוד </w:t>
      </w:r>
      <w:r w:rsidR="001C14A8">
        <w:rPr>
          <w:rFonts w:hint="cs"/>
          <w:rtl/>
        </w:rPr>
        <w:t xml:space="preserve">ממשיכה </w:t>
      </w:r>
      <w:r>
        <w:rPr>
          <w:rFonts w:hint="cs"/>
          <w:rtl/>
        </w:rPr>
        <w:t xml:space="preserve">הגמרא </w:t>
      </w:r>
      <w:r w:rsidR="001C14A8">
        <w:rPr>
          <w:rFonts w:hint="cs"/>
          <w:rtl/>
        </w:rPr>
        <w:t>וכותבת שאם מדובר במאכל שלא מבושל כלל 'קדרה חייתא', ו</w:t>
      </w:r>
      <w:r w:rsidR="00E63145">
        <w:rPr>
          <w:rFonts w:hint="cs"/>
          <w:rtl/>
        </w:rPr>
        <w:t xml:space="preserve">גם </w:t>
      </w:r>
      <w:r w:rsidR="001C14A8">
        <w:rPr>
          <w:rFonts w:hint="cs"/>
          <w:rtl/>
        </w:rPr>
        <w:t>אין סיכוי שיתבשל לסעודת הערב - אין איסור להשהות</w:t>
      </w:r>
      <w:r w:rsidR="000D3EBA">
        <w:rPr>
          <w:rFonts w:hint="cs"/>
          <w:rtl/>
        </w:rPr>
        <w:t>ו ו</w:t>
      </w:r>
      <w:r w:rsidR="001C14A8">
        <w:rPr>
          <w:rFonts w:hint="cs"/>
          <w:rtl/>
        </w:rPr>
        <w:t xml:space="preserve">אפילו על עצים </w:t>
      </w:r>
      <w:r w:rsidR="00F202FC">
        <w:rPr>
          <w:rFonts w:hint="cs"/>
          <w:rtl/>
        </w:rPr>
        <w:t>שאינם מכוסים</w:t>
      </w:r>
      <w:r w:rsidR="001C14A8">
        <w:rPr>
          <w:rFonts w:hint="cs"/>
          <w:rtl/>
        </w:rPr>
        <w:t xml:space="preserve">. הסברא לכך היא, </w:t>
      </w:r>
      <w:r w:rsidR="00A72495">
        <w:rPr>
          <w:rFonts w:hint="cs"/>
          <w:rtl/>
        </w:rPr>
        <w:t xml:space="preserve">שכאמור </w:t>
      </w:r>
      <w:r w:rsidR="001C14A8">
        <w:rPr>
          <w:rFonts w:hint="cs"/>
          <w:rtl/>
        </w:rPr>
        <w:t xml:space="preserve">טעם האיסור הוא מחשש שמא האדם יחתה בגחלים, אבל כאשר מדובר במאכל </w:t>
      </w:r>
      <w:r w:rsidR="003F0D59">
        <w:rPr>
          <w:rFonts w:hint="cs"/>
          <w:rtl/>
        </w:rPr>
        <w:t xml:space="preserve">שבכל מקרה </w:t>
      </w:r>
      <w:r w:rsidR="001C14A8">
        <w:rPr>
          <w:rFonts w:hint="cs"/>
          <w:rtl/>
        </w:rPr>
        <w:t>לא יתבשל לסעודת הערב, אין חשש חיתוי</w:t>
      </w:r>
      <w:r w:rsidR="0088180B">
        <w:rPr>
          <w:rFonts w:hint="cs"/>
          <w:rtl/>
        </w:rPr>
        <w:t xml:space="preserve"> ומותר</w:t>
      </w:r>
      <w:r w:rsidR="00604066">
        <w:rPr>
          <w:rFonts w:hint="cs"/>
          <w:rtl/>
        </w:rPr>
        <w:t xml:space="preserve">, וכן פסק </w:t>
      </w:r>
      <w:r w:rsidR="00604066" w:rsidRPr="00604066">
        <w:rPr>
          <w:rFonts w:hint="cs"/>
          <w:b/>
          <w:bCs/>
          <w:rtl/>
        </w:rPr>
        <w:t>השולחן ערוך</w:t>
      </w:r>
      <w:r w:rsidR="00604066">
        <w:rPr>
          <w:rFonts w:hint="cs"/>
          <w:rtl/>
        </w:rPr>
        <w:t xml:space="preserve"> </w:t>
      </w:r>
      <w:r w:rsidR="00604066">
        <w:rPr>
          <w:rFonts w:hint="cs"/>
          <w:sz w:val="18"/>
          <w:szCs w:val="18"/>
          <w:rtl/>
        </w:rPr>
        <w:t>(או''ח רנג, א)</w:t>
      </w:r>
      <w:r w:rsidR="001C14A8">
        <w:rPr>
          <w:rFonts w:hint="cs"/>
          <w:rtl/>
        </w:rPr>
        <w:t>.</w:t>
      </w:r>
    </w:p>
    <w:p w14:paraId="7AA49167" w14:textId="24C2C725" w:rsidR="00C01DBC" w:rsidRDefault="00496631" w:rsidP="00782052">
      <w:pPr>
        <w:rPr>
          <w:u w:val="single"/>
          <w:rtl/>
        </w:rPr>
      </w:pPr>
      <w:r>
        <w:rPr>
          <w:rFonts w:hint="cs"/>
          <w:u w:val="single"/>
          <w:rtl/>
        </w:rPr>
        <w:t>מידת</w:t>
      </w:r>
      <w:r w:rsidR="00C01DBC">
        <w:rPr>
          <w:rFonts w:hint="cs"/>
          <w:u w:val="single"/>
          <w:rtl/>
        </w:rPr>
        <w:t xml:space="preserve"> </w:t>
      </w:r>
      <w:r>
        <w:rPr>
          <w:rFonts w:hint="cs"/>
          <w:u w:val="single"/>
          <w:rtl/>
        </w:rPr>
        <w:t>ה</w:t>
      </w:r>
      <w:r w:rsidR="00C01DBC">
        <w:rPr>
          <w:rFonts w:hint="cs"/>
          <w:u w:val="single"/>
          <w:rtl/>
        </w:rPr>
        <w:t>בישול</w:t>
      </w:r>
    </w:p>
    <w:p w14:paraId="3EFE7A78" w14:textId="145336C5" w:rsidR="002378E6" w:rsidRDefault="00C6244B" w:rsidP="00FC7D1F">
      <w:pPr>
        <w:rPr>
          <w:rtl/>
        </w:rPr>
      </w:pPr>
      <w:r>
        <w:rPr>
          <w:rFonts w:hint="cs"/>
          <w:rtl/>
        </w:rPr>
        <w:t>בנוסף להיתר לשים 'קדרתא חייתא'</w:t>
      </w:r>
      <w:r w:rsidR="00FC7D1F" w:rsidRPr="00FC7D1F">
        <w:rPr>
          <w:rFonts w:hint="cs"/>
          <w:rtl/>
        </w:rPr>
        <w:t xml:space="preserve"> </w:t>
      </w:r>
      <w:r>
        <w:rPr>
          <w:rFonts w:hint="cs"/>
          <w:rtl/>
        </w:rPr>
        <w:t>על אש מגולה בגלל שהחיתוי לא יועיל לה, כותבת הגמרא שגם לשים מאכל שמבושל</w:t>
      </w:r>
      <w:r w:rsidR="000E5D0D">
        <w:rPr>
          <w:rFonts w:hint="cs"/>
          <w:rtl/>
        </w:rPr>
        <w:t xml:space="preserve"> כל כך עד</w:t>
      </w:r>
      <w:r>
        <w:rPr>
          <w:rFonts w:hint="cs"/>
          <w:rtl/>
        </w:rPr>
        <w:t xml:space="preserve"> שח</w:t>
      </w:r>
      <w:r w:rsidR="00031A8F">
        <w:rPr>
          <w:rFonts w:hint="cs"/>
          <w:rtl/>
        </w:rPr>
        <w:t>י</w:t>
      </w:r>
      <w:r>
        <w:rPr>
          <w:rFonts w:hint="cs"/>
          <w:rtl/>
        </w:rPr>
        <w:t xml:space="preserve">תוי </w:t>
      </w:r>
      <w:r w:rsidR="000E5D0D">
        <w:rPr>
          <w:rFonts w:hint="cs"/>
          <w:rtl/>
        </w:rPr>
        <w:t xml:space="preserve">נוסף ישרוף אותו </w:t>
      </w:r>
      <w:r w:rsidR="000E5D0D">
        <w:rPr>
          <w:rFonts w:hint="cs"/>
          <w:sz w:val="18"/>
          <w:szCs w:val="18"/>
          <w:rtl/>
        </w:rPr>
        <w:t>('מצטמק ורע לו')</w:t>
      </w:r>
      <w:r w:rsidR="00F6187E">
        <w:rPr>
          <w:rFonts w:hint="cs"/>
          <w:rtl/>
        </w:rPr>
        <w:t xml:space="preserve"> מותר</w:t>
      </w:r>
      <w:r w:rsidR="000E5D0D">
        <w:rPr>
          <w:rFonts w:hint="cs"/>
          <w:rtl/>
        </w:rPr>
        <w:t>.</w:t>
      </w:r>
      <w:r w:rsidR="000E5D0D">
        <w:rPr>
          <w:rFonts w:hint="cs"/>
          <w:sz w:val="18"/>
          <w:szCs w:val="18"/>
          <w:rtl/>
        </w:rPr>
        <w:t xml:space="preserve"> </w:t>
      </w:r>
      <w:r w:rsidR="009E2860">
        <w:rPr>
          <w:rFonts w:hint="cs"/>
          <w:rtl/>
        </w:rPr>
        <w:t xml:space="preserve">נחלקו המפרשים בגמרא ובעקבותיהם הראשונים והאחרונים, </w:t>
      </w:r>
      <w:r w:rsidR="000E5D0D">
        <w:rPr>
          <w:rFonts w:hint="cs"/>
          <w:rtl/>
        </w:rPr>
        <w:t xml:space="preserve">האם יש היתר לשים מאכלים </w:t>
      </w:r>
      <w:r w:rsidR="00F96B36">
        <w:rPr>
          <w:rFonts w:hint="cs"/>
          <w:rtl/>
        </w:rPr>
        <w:t>אפילו מאכלים שמבושלים חלקית על אש גלויה:</w:t>
      </w:r>
    </w:p>
    <w:p w14:paraId="2E2E5BF9" w14:textId="333E7FC2" w:rsidR="005327E8" w:rsidRDefault="00F96B36" w:rsidP="005327E8">
      <w:pPr>
        <w:rPr>
          <w:rtl/>
        </w:rPr>
      </w:pPr>
      <w:r>
        <w:rPr>
          <w:rFonts w:hint="cs"/>
          <w:rtl/>
        </w:rPr>
        <w:t xml:space="preserve">א. </w:t>
      </w:r>
      <w:r w:rsidR="008C4594">
        <w:rPr>
          <w:rFonts w:hint="cs"/>
          <w:rtl/>
        </w:rPr>
        <w:t xml:space="preserve">כפי </w:t>
      </w:r>
      <w:r w:rsidR="0022701C">
        <w:rPr>
          <w:rFonts w:hint="cs"/>
          <w:rtl/>
        </w:rPr>
        <w:t xml:space="preserve">שמסופר </w:t>
      </w:r>
      <w:r w:rsidR="008C4594">
        <w:rPr>
          <w:rFonts w:hint="cs"/>
          <w:rtl/>
        </w:rPr>
        <w:t xml:space="preserve">בגמרא, </w:t>
      </w:r>
      <w:r w:rsidR="00C66A18">
        <w:rPr>
          <w:rFonts w:hint="cs"/>
          <w:rtl/>
        </w:rPr>
        <w:t>בן דר</w:t>
      </w:r>
      <w:r w:rsidR="0089001B">
        <w:rPr>
          <w:rFonts w:hint="cs"/>
          <w:rtl/>
        </w:rPr>
        <w:t>ו</w:t>
      </w:r>
      <w:r w:rsidR="00C66A18">
        <w:rPr>
          <w:rFonts w:hint="cs"/>
          <w:rtl/>
        </w:rPr>
        <w:t>סאי היה שודד ש</w:t>
      </w:r>
      <w:r w:rsidR="008C4594">
        <w:rPr>
          <w:rFonts w:hint="cs"/>
          <w:rtl/>
        </w:rPr>
        <w:t xml:space="preserve">מחמת המרדפים אחריו </w:t>
      </w:r>
      <w:r w:rsidR="007E08AF">
        <w:rPr>
          <w:rFonts w:hint="cs"/>
          <w:rtl/>
        </w:rPr>
        <w:t xml:space="preserve">נהג </w:t>
      </w:r>
      <w:r w:rsidR="00C66A18">
        <w:rPr>
          <w:rFonts w:hint="cs"/>
          <w:rtl/>
        </w:rPr>
        <w:t xml:space="preserve">לאכול את מאכליו מבושלים </w:t>
      </w:r>
      <w:r w:rsidR="00CC5D35">
        <w:rPr>
          <w:rFonts w:hint="cs"/>
          <w:rtl/>
        </w:rPr>
        <w:t xml:space="preserve">בשיעור המינימלי האפשרי, </w:t>
      </w:r>
      <w:r w:rsidR="00C66A18">
        <w:rPr>
          <w:rFonts w:hint="cs"/>
          <w:rtl/>
        </w:rPr>
        <w:t>ל</w:t>
      </w:r>
      <w:r w:rsidR="00E7724C">
        <w:rPr>
          <w:rFonts w:hint="cs"/>
          <w:rtl/>
        </w:rPr>
        <w:t xml:space="preserve">שליש </w:t>
      </w:r>
      <w:r w:rsidR="00E7724C">
        <w:rPr>
          <w:rFonts w:hint="cs"/>
          <w:sz w:val="18"/>
          <w:szCs w:val="18"/>
          <w:rtl/>
        </w:rPr>
        <w:t xml:space="preserve">(לרש''י) </w:t>
      </w:r>
      <w:r w:rsidR="00E7724C">
        <w:rPr>
          <w:rFonts w:hint="cs"/>
          <w:rtl/>
        </w:rPr>
        <w:t>ול</w:t>
      </w:r>
      <w:r w:rsidR="00C66A18">
        <w:rPr>
          <w:rFonts w:hint="cs"/>
          <w:rtl/>
        </w:rPr>
        <w:t xml:space="preserve">מחצה </w:t>
      </w:r>
      <w:r w:rsidR="00C66A18">
        <w:rPr>
          <w:rFonts w:hint="cs"/>
          <w:sz w:val="18"/>
          <w:szCs w:val="18"/>
          <w:rtl/>
        </w:rPr>
        <w:t>(</w:t>
      </w:r>
      <w:r w:rsidR="00E7724C">
        <w:rPr>
          <w:rFonts w:hint="cs"/>
          <w:sz w:val="18"/>
          <w:szCs w:val="18"/>
          <w:rtl/>
        </w:rPr>
        <w:t>לרמב''ם</w:t>
      </w:r>
      <w:r w:rsidR="00C66A18">
        <w:rPr>
          <w:rFonts w:hint="cs"/>
          <w:sz w:val="18"/>
          <w:szCs w:val="18"/>
          <w:rtl/>
        </w:rPr>
        <w:t>)</w:t>
      </w:r>
      <w:r w:rsidR="00C66A18">
        <w:rPr>
          <w:rFonts w:hint="cs"/>
          <w:rtl/>
        </w:rPr>
        <w:t>.</w:t>
      </w:r>
      <w:r w:rsidR="00C66A18">
        <w:rPr>
          <w:rFonts w:hint="cs"/>
          <w:sz w:val="18"/>
          <w:szCs w:val="18"/>
          <w:rtl/>
        </w:rPr>
        <w:t xml:space="preserve"> </w:t>
      </w:r>
      <w:r w:rsidR="00C66A18">
        <w:rPr>
          <w:rFonts w:hint="cs"/>
          <w:rtl/>
        </w:rPr>
        <w:t xml:space="preserve">בעקבות כך סבר </w:t>
      </w:r>
      <w:r>
        <w:rPr>
          <w:rFonts w:hint="cs"/>
          <w:rtl/>
        </w:rPr>
        <w:t>חנניה</w:t>
      </w:r>
      <w:r w:rsidR="00C66A18">
        <w:rPr>
          <w:rFonts w:hint="cs"/>
          <w:rtl/>
        </w:rPr>
        <w:t xml:space="preserve"> </w:t>
      </w:r>
      <w:r w:rsidR="00C66A18">
        <w:rPr>
          <w:rFonts w:hint="cs"/>
          <w:sz w:val="18"/>
          <w:szCs w:val="18"/>
          <w:rtl/>
        </w:rPr>
        <w:t>(כ ע''א)</w:t>
      </w:r>
      <w:r w:rsidR="00C66A18">
        <w:rPr>
          <w:rFonts w:hint="cs"/>
          <w:rtl/>
        </w:rPr>
        <w:t xml:space="preserve">, </w:t>
      </w:r>
      <w:r w:rsidR="0088690D">
        <w:rPr>
          <w:rFonts w:hint="cs"/>
          <w:rtl/>
        </w:rPr>
        <w:t xml:space="preserve">שאין איסור להשהות על </w:t>
      </w:r>
      <w:r w:rsidR="00433E7C">
        <w:rPr>
          <w:rFonts w:hint="cs"/>
          <w:rtl/>
        </w:rPr>
        <w:t>אש גלויה</w:t>
      </w:r>
      <w:r w:rsidR="0088690D">
        <w:rPr>
          <w:rFonts w:hint="cs"/>
          <w:rtl/>
        </w:rPr>
        <w:t xml:space="preserve"> מאכל המבושל בשיעור </w:t>
      </w:r>
      <w:r w:rsidR="003D7C1C">
        <w:rPr>
          <w:rFonts w:hint="cs"/>
          <w:rtl/>
        </w:rPr>
        <w:t>זה</w:t>
      </w:r>
      <w:r w:rsidR="00A460F3">
        <w:rPr>
          <w:rFonts w:hint="cs"/>
          <w:rtl/>
        </w:rPr>
        <w:t>. הנימוק לכך, שכיוון שהמאכל ראוי לאוכלו בשעת הדחק, האדם אינו להוט לזרז את שאר בישולו</w:t>
      </w:r>
      <w:r w:rsidR="0020345F">
        <w:rPr>
          <w:rFonts w:hint="cs"/>
          <w:rtl/>
        </w:rPr>
        <w:t>, ובלשון הגמרא:</w:t>
      </w:r>
    </w:p>
    <w:p w14:paraId="1FBCC2E1" w14:textId="532E64B0" w:rsidR="0020345F" w:rsidRDefault="0020345F" w:rsidP="0020345F">
      <w:pPr>
        <w:ind w:left="720"/>
        <w:rPr>
          <w:rtl/>
        </w:rPr>
      </w:pPr>
      <w:r>
        <w:rPr>
          <w:rFonts w:cs="Arial" w:hint="cs"/>
          <w:rtl/>
        </w:rPr>
        <w:t>''</w:t>
      </w:r>
      <w:r w:rsidRPr="0020345F">
        <w:rPr>
          <w:rFonts w:cs="Arial"/>
          <w:rtl/>
        </w:rPr>
        <w:t xml:space="preserve">אין צולין בשר בצל וביצה אלא כדי שיצולו מבעוד יום. </w:t>
      </w:r>
      <w:r>
        <w:rPr>
          <w:rFonts w:cs="Arial" w:hint="cs"/>
          <w:rtl/>
        </w:rPr>
        <w:t xml:space="preserve">וכמה? </w:t>
      </w:r>
      <w:r w:rsidRPr="0020345F">
        <w:rPr>
          <w:rFonts w:cs="Arial"/>
          <w:rtl/>
        </w:rPr>
        <w:t>אמר רבי אלעזר אמר רב: כדי שיצולו מבעוד יום כמאכל בן דרוסאי. איתמר נמי, אמר רב אסי אמר רבי יוחנן: כל שהוא כמאכל בן דרוסאי - אין בו משום בישולי נכרים. תניא, חנניא אומר: כל שהוא כמאכל בן דרוסאי מותר להשהותו על גבי כירה, ואף על פי שאין גרופה וקטומה.</w:t>
      </w:r>
      <w:r w:rsidR="005830DE">
        <w:rPr>
          <w:rFonts w:cs="Arial" w:hint="cs"/>
          <w:rtl/>
        </w:rPr>
        <w:t>''</w:t>
      </w:r>
    </w:p>
    <w:p w14:paraId="20E7AD50" w14:textId="25511758" w:rsidR="00F96B36" w:rsidRDefault="00F96B36" w:rsidP="00627D46">
      <w:pPr>
        <w:rPr>
          <w:rtl/>
        </w:rPr>
      </w:pPr>
      <w:r>
        <w:rPr>
          <w:rFonts w:hint="cs"/>
          <w:rtl/>
        </w:rPr>
        <w:t xml:space="preserve">ב. </w:t>
      </w:r>
      <w:r w:rsidR="00433E7C">
        <w:rPr>
          <w:rFonts w:hint="cs"/>
          <w:rtl/>
        </w:rPr>
        <w:t>מ</w:t>
      </w:r>
      <w:r>
        <w:rPr>
          <w:rFonts w:hint="cs"/>
          <w:rtl/>
        </w:rPr>
        <w:t>דעת חכמים</w:t>
      </w:r>
      <w:r w:rsidR="00433E7C">
        <w:rPr>
          <w:rFonts w:hint="cs"/>
          <w:rtl/>
        </w:rPr>
        <w:t xml:space="preserve"> לעומת זאת משמע, שההיתר להשהות מאכל על אש</w:t>
      </w:r>
      <w:r w:rsidR="00DD519A">
        <w:rPr>
          <w:rFonts w:hint="cs"/>
          <w:rtl/>
        </w:rPr>
        <w:t xml:space="preserve"> גלויה נאמר רק בקדרה חייתא או במאכל שחיתוי יזיק לו, אבל כל מאכל שחיתוי יועיל לו </w:t>
      </w:r>
      <w:r w:rsidR="0093538F">
        <w:rPr>
          <w:rFonts w:hint="cs"/>
          <w:sz w:val="18"/>
          <w:szCs w:val="18"/>
          <w:rtl/>
        </w:rPr>
        <w:t xml:space="preserve"> </w:t>
      </w:r>
      <w:r w:rsidR="00DD519A">
        <w:rPr>
          <w:rFonts w:hint="cs"/>
          <w:rtl/>
        </w:rPr>
        <w:t>- אסור</w:t>
      </w:r>
      <w:r w:rsidR="00627D46">
        <w:rPr>
          <w:rFonts w:hint="cs"/>
          <w:rtl/>
        </w:rPr>
        <w:t xml:space="preserve"> להשהותו. הם טענו כנגד חנניה, שהאדם רוצה לאכול את מאכליו בצורה הטובה ביותר</w:t>
      </w:r>
      <w:r w:rsidR="002E45E7">
        <w:rPr>
          <w:rFonts w:hint="cs"/>
          <w:rtl/>
        </w:rPr>
        <w:t xml:space="preserve"> והוא לא מסתפק בבישול מינימלי, ולכן גם במקרים אלו יש חשש שהאדם יחתה בגחלים. </w:t>
      </w:r>
      <w:r w:rsidR="00DD519A">
        <w:rPr>
          <w:rFonts w:hint="cs"/>
          <w:rtl/>
        </w:rPr>
        <w:t xml:space="preserve"> </w:t>
      </w:r>
      <w:r w:rsidR="00433E7C">
        <w:rPr>
          <w:rFonts w:hint="cs"/>
          <w:rtl/>
        </w:rPr>
        <w:t xml:space="preserve"> </w:t>
      </w:r>
    </w:p>
    <w:p w14:paraId="110B928B" w14:textId="66E27F55" w:rsidR="00F96B36" w:rsidRDefault="00F96B36" w:rsidP="00FC7D1F">
      <w:pPr>
        <w:rPr>
          <w:u w:val="single"/>
          <w:rtl/>
        </w:rPr>
      </w:pPr>
      <w:r>
        <w:rPr>
          <w:rFonts w:hint="cs"/>
          <w:u w:val="single"/>
          <w:rtl/>
        </w:rPr>
        <w:t>להלכה</w:t>
      </w:r>
    </w:p>
    <w:p w14:paraId="1A3BC9C1" w14:textId="7130E931" w:rsidR="00F96B36" w:rsidRDefault="00627D46" w:rsidP="00FC7D1F">
      <w:pPr>
        <w:rPr>
          <w:rtl/>
        </w:rPr>
      </w:pPr>
      <w:r>
        <w:rPr>
          <w:rFonts w:hint="cs"/>
          <w:rtl/>
        </w:rPr>
        <w:t>בפסק ההלכה נחלקו ראשונים ואחרונים:</w:t>
      </w:r>
    </w:p>
    <w:p w14:paraId="5F300E53" w14:textId="77777777" w:rsidR="006E72E9" w:rsidRDefault="00E82D92" w:rsidP="00085321">
      <w:pPr>
        <w:rPr>
          <w:rtl/>
        </w:rPr>
      </w:pPr>
      <w:r>
        <w:rPr>
          <w:rFonts w:hint="cs"/>
          <w:rtl/>
        </w:rPr>
        <w:t xml:space="preserve">א. </w:t>
      </w:r>
      <w:r w:rsidR="00FB189D" w:rsidRPr="00FB189D">
        <w:rPr>
          <w:rFonts w:hint="cs"/>
          <w:b/>
          <w:bCs/>
          <w:rtl/>
        </w:rPr>
        <w:t xml:space="preserve">הרי''ף </w:t>
      </w:r>
      <w:r w:rsidR="00FB189D" w:rsidRPr="00FB189D">
        <w:rPr>
          <w:rFonts w:hint="cs"/>
          <w:sz w:val="18"/>
          <w:szCs w:val="18"/>
          <w:rtl/>
        </w:rPr>
        <w:t>(טז ע''א בדה''ר)</w:t>
      </w:r>
      <w:r w:rsidR="00FB189D">
        <w:rPr>
          <w:rFonts w:hint="cs"/>
          <w:b/>
          <w:bCs/>
          <w:sz w:val="18"/>
          <w:szCs w:val="18"/>
          <w:rtl/>
        </w:rPr>
        <w:t xml:space="preserve"> </w:t>
      </w:r>
      <w:r w:rsidR="00FB189D" w:rsidRPr="00FB189D">
        <w:rPr>
          <w:rFonts w:hint="cs"/>
          <w:b/>
          <w:bCs/>
          <w:rtl/>
        </w:rPr>
        <w:t>והרמב''ם</w:t>
      </w:r>
      <w:r w:rsidR="00FB189D">
        <w:rPr>
          <w:rFonts w:hint="cs"/>
          <w:rtl/>
        </w:rPr>
        <w:t xml:space="preserve"> </w:t>
      </w:r>
      <w:r w:rsidR="00FB189D">
        <w:rPr>
          <w:rFonts w:hint="cs"/>
          <w:sz w:val="18"/>
          <w:szCs w:val="18"/>
          <w:rtl/>
        </w:rPr>
        <w:t xml:space="preserve">(שבת ג, ד) </w:t>
      </w:r>
      <w:r w:rsidR="00FB189D">
        <w:rPr>
          <w:rFonts w:hint="cs"/>
          <w:rtl/>
        </w:rPr>
        <w:t xml:space="preserve">פסקו להלכה כדעת חכמים, שאסור להשהות מאכל המבושל בשיעור בן דרוסאי על אש גלויה. </w:t>
      </w:r>
      <w:r w:rsidR="000E27DD">
        <w:rPr>
          <w:rFonts w:hint="cs"/>
          <w:rtl/>
        </w:rPr>
        <w:t xml:space="preserve">ראייה לדבריהם הביאו מהגמרא </w:t>
      </w:r>
      <w:r w:rsidR="000E27DD">
        <w:rPr>
          <w:rFonts w:hint="cs"/>
          <w:sz w:val="18"/>
          <w:szCs w:val="18"/>
          <w:rtl/>
        </w:rPr>
        <w:t xml:space="preserve">(לז ע''א) </w:t>
      </w:r>
      <w:r w:rsidR="000E27DD">
        <w:rPr>
          <w:rFonts w:hint="cs"/>
          <w:rtl/>
        </w:rPr>
        <w:t xml:space="preserve">הכותבת שכירה שבוערת באמצעות עצים </w:t>
      </w:r>
      <w:r w:rsidR="006E72E9">
        <w:rPr>
          <w:rFonts w:hint="cs"/>
          <w:rtl/>
        </w:rPr>
        <w:t>אי אפשר לשים עליה מאכל אלא אם כן הם מכוסים, ומוכח שלא כדעת חנניה. כמו כן רבי אושעיא ורבה בר חנה סוברים כך, ובלשון הרמב''ם:</w:t>
      </w:r>
    </w:p>
    <w:p w14:paraId="577CA88C" w14:textId="6CDC442D" w:rsidR="00E82D92" w:rsidRPr="000E27DD" w:rsidRDefault="00185C01" w:rsidP="00185C01">
      <w:pPr>
        <w:ind w:left="720"/>
        <w:rPr>
          <w:sz w:val="18"/>
          <w:szCs w:val="18"/>
          <w:rtl/>
        </w:rPr>
      </w:pPr>
      <w:r>
        <w:rPr>
          <w:rFonts w:cs="Arial" w:hint="cs"/>
          <w:rtl/>
        </w:rPr>
        <w:t>''</w:t>
      </w:r>
      <w:r w:rsidRPr="00185C01">
        <w:rPr>
          <w:rFonts w:cs="Arial"/>
          <w:rtl/>
        </w:rPr>
        <w:t>תבשיל שלא בשל כל צרכו וחמין שלא הוחמו כל צרכן</w:t>
      </w:r>
      <w:r>
        <w:rPr>
          <w:rFonts w:cs="Arial" w:hint="cs"/>
          <w:rtl/>
        </w:rPr>
        <w:t>,</w:t>
      </w:r>
      <w:r w:rsidRPr="00185C01">
        <w:rPr>
          <w:rFonts w:cs="Arial"/>
          <w:rtl/>
        </w:rPr>
        <w:t xml:space="preserve"> או תבשיל שבשל כל צרכו וכל זמן שמצטמק הוא יפה לו אין משהין אותו על גבי האש בשבת אף על פי שהונח מבעוד יום</w:t>
      </w:r>
      <w:r w:rsidR="00C53C8B">
        <w:rPr>
          <w:rFonts w:cs="Arial" w:hint="cs"/>
          <w:rtl/>
        </w:rPr>
        <w:t>,</w:t>
      </w:r>
      <w:r w:rsidRPr="00185C01">
        <w:rPr>
          <w:rFonts w:cs="Arial"/>
          <w:rtl/>
        </w:rPr>
        <w:t xml:space="preserve"> גזרה שמא יחתה בגחלים כדי להשלים בשולו או כדי לצמקו, לפיכך אם גרף האש או שכ</w:t>
      </w:r>
      <w:r w:rsidR="00C17E00">
        <w:rPr>
          <w:rFonts w:cs="Arial" w:hint="cs"/>
          <w:rtl/>
        </w:rPr>
        <w:t>י</w:t>
      </w:r>
      <w:r w:rsidRPr="00185C01">
        <w:rPr>
          <w:rFonts w:cs="Arial"/>
          <w:rtl/>
        </w:rPr>
        <w:t>סה אש הכירה באפר מותר לשהות עליה, שהרי הסיח דעתו מזה התבשיל</w:t>
      </w:r>
      <w:r>
        <w:rPr>
          <w:rFonts w:cs="Arial" w:hint="cs"/>
          <w:rtl/>
        </w:rPr>
        <w:t>.''</w:t>
      </w:r>
    </w:p>
    <w:p w14:paraId="0CE2CFED" w14:textId="46E6186A" w:rsidR="00E82D92" w:rsidRPr="00135672" w:rsidRDefault="00B90F3A" w:rsidP="00496631">
      <w:pPr>
        <w:rPr>
          <w:rtl/>
        </w:rPr>
      </w:pPr>
      <w:r>
        <w:rPr>
          <w:rFonts w:hint="cs"/>
          <w:rtl/>
        </w:rPr>
        <w:t xml:space="preserve">כדבריהם </w:t>
      </w:r>
      <w:r w:rsidR="00135672">
        <w:rPr>
          <w:rFonts w:hint="cs"/>
          <w:rtl/>
        </w:rPr>
        <w:t xml:space="preserve">משמע מלשון </w:t>
      </w:r>
      <w:r w:rsidR="00135672" w:rsidRPr="00135672">
        <w:rPr>
          <w:rFonts w:hint="cs"/>
          <w:b/>
          <w:bCs/>
          <w:rtl/>
        </w:rPr>
        <w:t>השולחן ערוך</w:t>
      </w:r>
      <w:r w:rsidR="008F19C9">
        <w:rPr>
          <w:rFonts w:hint="cs"/>
          <w:rtl/>
        </w:rPr>
        <w:t xml:space="preserve"> </w:t>
      </w:r>
      <w:r w:rsidR="008F19C9">
        <w:rPr>
          <w:rFonts w:hint="cs"/>
          <w:sz w:val="18"/>
          <w:szCs w:val="18"/>
          <w:rtl/>
        </w:rPr>
        <w:t>(רנג, א)</w:t>
      </w:r>
      <w:r w:rsidR="00135672">
        <w:rPr>
          <w:rFonts w:hint="cs"/>
          <w:rtl/>
        </w:rPr>
        <w:t xml:space="preserve">, כיוון שהביא בדעה ראשונה 'כסתם' את דעת חכמים </w:t>
      </w:r>
      <w:r w:rsidR="00496631">
        <w:rPr>
          <w:rFonts w:hint="cs"/>
          <w:rtl/>
        </w:rPr>
        <w:t>ה</w:t>
      </w:r>
      <w:r w:rsidR="00135672">
        <w:rPr>
          <w:rFonts w:hint="cs"/>
          <w:rtl/>
        </w:rPr>
        <w:t xml:space="preserve">מחמירים, ובדעה שנייה 'כיש אומרים' את דעת חנניה. כפי שראינו בעבר </w:t>
      </w:r>
      <w:r w:rsidR="00135672">
        <w:rPr>
          <w:rFonts w:hint="cs"/>
          <w:sz w:val="18"/>
          <w:szCs w:val="18"/>
          <w:rtl/>
        </w:rPr>
        <w:t>(שלח שנה ב')</w:t>
      </w:r>
      <w:r w:rsidR="00135672">
        <w:rPr>
          <w:rFonts w:hint="cs"/>
          <w:rtl/>
        </w:rPr>
        <w:t>, אמנם יש מחלוקת כיצד השולחן ערוך פוסק במקרים אלו, אך הדעה הרווחת שדעתו 'כסתם', ובמקרה</w:t>
      </w:r>
      <w:r w:rsidR="005B51AA">
        <w:rPr>
          <w:rFonts w:hint="cs"/>
          <w:rtl/>
        </w:rPr>
        <w:t xml:space="preserve"> להחמיר </w:t>
      </w:r>
      <w:r w:rsidR="00135672">
        <w:rPr>
          <w:rFonts w:hint="cs"/>
          <w:rtl/>
        </w:rPr>
        <w:t xml:space="preserve"> זה כדעת חכמים.</w:t>
      </w:r>
    </w:p>
    <w:p w14:paraId="5DFABAF1" w14:textId="3DFFE3AB" w:rsidR="00F96B36" w:rsidRPr="00196DFE" w:rsidRDefault="00E82D92" w:rsidP="00085321">
      <w:pPr>
        <w:rPr>
          <w:sz w:val="18"/>
          <w:szCs w:val="18"/>
          <w:rtl/>
        </w:rPr>
      </w:pPr>
      <w:r>
        <w:rPr>
          <w:rFonts w:hint="cs"/>
          <w:rtl/>
        </w:rPr>
        <w:lastRenderedPageBreak/>
        <w:t>ב</w:t>
      </w:r>
      <w:r w:rsidR="00016137">
        <w:rPr>
          <w:rFonts w:hint="cs"/>
          <w:rtl/>
        </w:rPr>
        <w:t xml:space="preserve">. </w:t>
      </w:r>
      <w:r w:rsidR="00A532A6" w:rsidRPr="00A532A6">
        <w:rPr>
          <w:rFonts w:hint="cs"/>
          <w:b/>
          <w:bCs/>
          <w:rtl/>
        </w:rPr>
        <w:t>רבינו חננאל</w:t>
      </w:r>
      <w:r w:rsidR="00A532A6">
        <w:rPr>
          <w:rFonts w:hint="cs"/>
          <w:rtl/>
        </w:rPr>
        <w:t xml:space="preserve"> </w:t>
      </w:r>
      <w:r w:rsidR="006375EC">
        <w:rPr>
          <w:rFonts w:hint="cs"/>
          <w:b/>
          <w:bCs/>
          <w:rtl/>
        </w:rPr>
        <w:t>ו</w:t>
      </w:r>
      <w:r w:rsidR="00385218" w:rsidRPr="0025434F">
        <w:rPr>
          <w:rFonts w:hint="cs"/>
          <w:b/>
          <w:bCs/>
          <w:rtl/>
        </w:rPr>
        <w:t>התוספות</w:t>
      </w:r>
      <w:r w:rsidR="00385218">
        <w:rPr>
          <w:rFonts w:hint="cs"/>
          <w:rtl/>
        </w:rPr>
        <w:t xml:space="preserve"> </w:t>
      </w:r>
      <w:r w:rsidR="0025434F">
        <w:rPr>
          <w:rFonts w:hint="cs"/>
          <w:sz w:val="18"/>
          <w:szCs w:val="18"/>
          <w:rtl/>
        </w:rPr>
        <w:t xml:space="preserve">(לז ע''ב ד''ה אמר) </w:t>
      </w:r>
      <w:r w:rsidR="0032350F">
        <w:rPr>
          <w:rFonts w:hint="cs"/>
          <w:rtl/>
        </w:rPr>
        <w:t>חלקו ו</w:t>
      </w:r>
      <w:r w:rsidR="00385218">
        <w:rPr>
          <w:rFonts w:hint="cs"/>
          <w:rtl/>
        </w:rPr>
        <w:t>פסקו להלכה כדעת חנניה, שמותר להשהות מאכל המבושל כמאכל בן דרוסאי.</w:t>
      </w:r>
      <w:r w:rsidR="00A532A6">
        <w:rPr>
          <w:rFonts w:hint="cs"/>
          <w:rtl/>
        </w:rPr>
        <w:t xml:space="preserve"> בטעם הפסיקה כתבו, שלמרות שחנניה חולק על דעת הרבים, כיוון שהגמרא כותבת בשם </w:t>
      </w:r>
      <w:r w:rsidR="00085321">
        <w:rPr>
          <w:rFonts w:hint="cs"/>
          <w:rtl/>
        </w:rPr>
        <w:t xml:space="preserve">רבא </w:t>
      </w:r>
      <w:r w:rsidR="00A532A6">
        <w:rPr>
          <w:rFonts w:hint="cs"/>
          <w:rtl/>
        </w:rPr>
        <w:t>שהלכה כמותו משמע שכך ההלכה</w:t>
      </w:r>
      <w:r w:rsidR="009C38B2">
        <w:rPr>
          <w:rFonts w:hint="cs"/>
          <w:rtl/>
        </w:rPr>
        <w:t>. עוד הוסיפו שכ</w:t>
      </w:r>
      <w:r w:rsidR="00A532A6">
        <w:rPr>
          <w:rFonts w:hint="cs"/>
          <w:rtl/>
        </w:rPr>
        <w:t>ן</w:t>
      </w:r>
      <w:r w:rsidR="00085321">
        <w:rPr>
          <w:rFonts w:hint="cs"/>
          <w:rtl/>
        </w:rPr>
        <w:t xml:space="preserve"> משמע מהמשנה שמביאה את דעתו </w:t>
      </w:r>
      <w:r w:rsidR="00F36CAB">
        <w:rPr>
          <w:rFonts w:hint="cs"/>
          <w:rtl/>
        </w:rPr>
        <w:t xml:space="preserve">ולא את דעת חכמים, </w:t>
      </w:r>
      <w:r w:rsidR="00085321">
        <w:rPr>
          <w:rFonts w:hint="cs"/>
          <w:rtl/>
        </w:rPr>
        <w:t>ובלשו</w:t>
      </w:r>
      <w:r w:rsidR="00196DFE">
        <w:rPr>
          <w:rFonts w:hint="cs"/>
          <w:rtl/>
        </w:rPr>
        <w:t xml:space="preserve">ן </w:t>
      </w:r>
      <w:r w:rsidR="00196DFE" w:rsidRPr="00196DFE">
        <w:rPr>
          <w:rFonts w:hint="cs"/>
          <w:b/>
          <w:bCs/>
          <w:rtl/>
        </w:rPr>
        <w:t>הר''ן</w:t>
      </w:r>
      <w:r w:rsidR="00196DFE">
        <w:rPr>
          <w:rFonts w:hint="cs"/>
          <w:rtl/>
        </w:rPr>
        <w:t xml:space="preserve"> </w:t>
      </w:r>
      <w:r w:rsidR="00196DFE">
        <w:rPr>
          <w:rFonts w:hint="cs"/>
          <w:sz w:val="18"/>
          <w:szCs w:val="18"/>
          <w:rtl/>
        </w:rPr>
        <w:t>(טז ע''ב בדה''ר)</w:t>
      </w:r>
    </w:p>
    <w:p w14:paraId="704415E2" w14:textId="4FC463BE" w:rsidR="00F96B36" w:rsidRDefault="00196DFE" w:rsidP="00196DFE">
      <w:pPr>
        <w:ind w:left="720"/>
        <w:rPr>
          <w:u w:val="single"/>
          <w:rtl/>
        </w:rPr>
      </w:pPr>
      <w:r>
        <w:rPr>
          <w:rFonts w:cs="Arial" w:hint="cs"/>
          <w:rtl/>
        </w:rPr>
        <w:t>''</w:t>
      </w:r>
      <w:r w:rsidRPr="00196DFE">
        <w:rPr>
          <w:rFonts w:cs="Arial"/>
          <w:rtl/>
        </w:rPr>
        <w:t>ועל ראיה זו סמך רבינו האי גאון ז"ל ופסק הלכה כמאן דאמר להחזיר תנן</w:t>
      </w:r>
      <w:r>
        <w:rPr>
          <w:rFonts w:cs="Arial" w:hint="cs"/>
          <w:rtl/>
        </w:rPr>
        <w:t>,</w:t>
      </w:r>
      <w:r w:rsidRPr="00196DFE">
        <w:rPr>
          <w:rFonts w:cs="Arial"/>
          <w:rtl/>
        </w:rPr>
        <w:t xml:space="preserve"> אבל לשהות משהין אף על פי שאינו גרוף ואינו קטום כחנניא</w:t>
      </w:r>
      <w:r w:rsidR="00355774">
        <w:rPr>
          <w:rFonts w:cs="Arial" w:hint="cs"/>
          <w:rtl/>
        </w:rPr>
        <w:t>,</w:t>
      </w:r>
      <w:r w:rsidRPr="00196DFE">
        <w:rPr>
          <w:rFonts w:cs="Arial"/>
          <w:rtl/>
        </w:rPr>
        <w:t xml:space="preserve"> דהא רבי יוחנן סבירא ליה הכי</w:t>
      </w:r>
      <w:r w:rsidR="00355774">
        <w:rPr>
          <w:rFonts w:cs="Arial" w:hint="cs"/>
          <w:rtl/>
        </w:rPr>
        <w:t>,</w:t>
      </w:r>
      <w:r w:rsidRPr="00196DFE">
        <w:rPr>
          <w:rFonts w:cs="Arial"/>
          <w:rtl/>
        </w:rPr>
        <w:t xml:space="preserve"> ורבא נמי דהוא בתרא הכי סבירא ליה</w:t>
      </w:r>
      <w:r w:rsidR="00355774">
        <w:rPr>
          <w:rFonts w:cs="Arial" w:hint="cs"/>
          <w:rtl/>
        </w:rPr>
        <w:t>.</w:t>
      </w:r>
      <w:r w:rsidRPr="00196DFE">
        <w:rPr>
          <w:rFonts w:cs="Arial"/>
          <w:rtl/>
        </w:rPr>
        <w:t xml:space="preserve"> ועוד דמסייע ליה </w:t>
      </w:r>
      <w:r w:rsidR="00355774">
        <w:rPr>
          <w:rFonts w:cs="Arial" w:hint="cs"/>
          <w:rtl/>
        </w:rPr>
        <w:t xml:space="preserve">בגמרא </w:t>
      </w:r>
      <w:r w:rsidRPr="00196DFE">
        <w:rPr>
          <w:rFonts w:cs="Arial"/>
          <w:rtl/>
        </w:rPr>
        <w:t>ממתני' דתנן</w:t>
      </w:r>
      <w:r w:rsidR="00867BAD">
        <w:rPr>
          <w:rFonts w:cs="Arial" w:hint="cs"/>
          <w:rtl/>
        </w:rPr>
        <w:t xml:space="preserve"> </w:t>
      </w:r>
      <w:r w:rsidRPr="00867BAD">
        <w:rPr>
          <w:rFonts w:cs="Arial"/>
          <w:sz w:val="18"/>
          <w:szCs w:val="18"/>
          <w:rtl/>
        </w:rPr>
        <w:t xml:space="preserve">(דף יט </w:t>
      </w:r>
      <w:r w:rsidR="00867BAD">
        <w:rPr>
          <w:rFonts w:cs="Arial" w:hint="cs"/>
          <w:sz w:val="18"/>
          <w:szCs w:val="18"/>
          <w:rtl/>
        </w:rPr>
        <w:t>ע''</w:t>
      </w:r>
      <w:r w:rsidRPr="00867BAD">
        <w:rPr>
          <w:rFonts w:cs="Arial"/>
          <w:sz w:val="18"/>
          <w:szCs w:val="18"/>
          <w:rtl/>
        </w:rPr>
        <w:t xml:space="preserve">א) </w:t>
      </w:r>
      <w:r w:rsidRPr="00196DFE">
        <w:rPr>
          <w:rFonts w:cs="Arial"/>
          <w:rtl/>
        </w:rPr>
        <w:t>ולא חררה על גבי גחלי</w:t>
      </w:r>
      <w:r w:rsidR="00867BAD">
        <w:rPr>
          <w:rFonts w:cs="Arial" w:hint="cs"/>
          <w:rtl/>
        </w:rPr>
        <w:t>ם,</w:t>
      </w:r>
      <w:r w:rsidRPr="00196DFE">
        <w:rPr>
          <w:rFonts w:cs="Arial"/>
          <w:rtl/>
        </w:rPr>
        <w:t xml:space="preserve"> אלא כדי שיקרמו פניה ולא אידחיא לה האי סייעתא בגמרא כלל</w:t>
      </w:r>
      <w:r w:rsidR="00867BAD">
        <w:rPr>
          <w:rFonts w:cs="Arial" w:hint="cs"/>
          <w:rtl/>
        </w:rPr>
        <w:t>.''</w:t>
      </w:r>
    </w:p>
    <w:p w14:paraId="66F9F756" w14:textId="240BF594" w:rsidR="00746E75" w:rsidRPr="001B0D96" w:rsidRDefault="00D41347" w:rsidP="00496631">
      <w:pPr>
        <w:rPr>
          <w:rtl/>
        </w:rPr>
      </w:pPr>
      <w:r>
        <w:rPr>
          <w:rFonts w:hint="cs"/>
          <w:rtl/>
        </w:rPr>
        <w:t xml:space="preserve">כשיטה זו פסק </w:t>
      </w:r>
      <w:r w:rsidRPr="00D41347">
        <w:rPr>
          <w:rFonts w:hint="cs"/>
          <w:b/>
          <w:bCs/>
          <w:rtl/>
        </w:rPr>
        <w:t>הרמ''א</w:t>
      </w:r>
      <w:r w:rsidR="0032350F">
        <w:rPr>
          <w:rFonts w:hint="cs"/>
          <w:b/>
          <w:bCs/>
          <w:rtl/>
        </w:rPr>
        <w:t xml:space="preserve"> </w:t>
      </w:r>
      <w:r w:rsidR="0032350F" w:rsidRPr="0032350F">
        <w:rPr>
          <w:rFonts w:hint="cs"/>
          <w:sz w:val="18"/>
          <w:szCs w:val="18"/>
          <w:rtl/>
        </w:rPr>
        <w:t>(שם)</w:t>
      </w:r>
      <w:r w:rsidR="0032350F">
        <w:rPr>
          <w:rFonts w:hint="cs"/>
          <w:rtl/>
        </w:rPr>
        <w:t xml:space="preserve">, </w:t>
      </w:r>
      <w:r w:rsidR="005C5B85">
        <w:rPr>
          <w:rFonts w:hint="cs"/>
          <w:rtl/>
        </w:rPr>
        <w:t xml:space="preserve">וכן כתב </w:t>
      </w:r>
      <w:r w:rsidR="005C5B85" w:rsidRPr="00A556FC">
        <w:rPr>
          <w:rFonts w:hint="cs"/>
          <w:b/>
          <w:bCs/>
          <w:rtl/>
        </w:rPr>
        <w:t>הרב</w:t>
      </w:r>
      <w:r w:rsidR="005C5B85">
        <w:rPr>
          <w:rFonts w:hint="cs"/>
          <w:rtl/>
        </w:rPr>
        <w:t xml:space="preserve"> </w:t>
      </w:r>
      <w:r w:rsidR="005C5B85" w:rsidRPr="008824AA">
        <w:rPr>
          <w:rFonts w:hint="cs"/>
          <w:b/>
          <w:bCs/>
          <w:rtl/>
        </w:rPr>
        <w:t>עובדיה</w:t>
      </w:r>
      <w:r w:rsidR="00496631">
        <w:rPr>
          <w:rFonts w:hint="cs"/>
          <w:rtl/>
        </w:rPr>
        <w:t xml:space="preserve"> </w:t>
      </w:r>
      <w:r w:rsidR="006F6492">
        <w:rPr>
          <w:rFonts w:hint="cs"/>
          <w:sz w:val="18"/>
          <w:szCs w:val="18"/>
          <w:rtl/>
        </w:rPr>
        <w:t xml:space="preserve">(יביע אומר או''ח ו, לב) </w:t>
      </w:r>
      <w:r w:rsidR="00496631">
        <w:rPr>
          <w:rFonts w:hint="cs"/>
          <w:rtl/>
        </w:rPr>
        <w:t>שכך נוהגים</w:t>
      </w:r>
      <w:r w:rsidR="003D3F4A">
        <w:rPr>
          <w:rFonts w:hint="cs"/>
          <w:rtl/>
        </w:rPr>
        <w:t xml:space="preserve"> </w:t>
      </w:r>
      <w:r w:rsidR="006F4A1A">
        <w:rPr>
          <w:rFonts w:hint="cs"/>
          <w:rtl/>
        </w:rPr>
        <w:t>(</w:t>
      </w:r>
      <w:r w:rsidR="003D3F4A">
        <w:rPr>
          <w:rFonts w:hint="cs"/>
          <w:rtl/>
        </w:rPr>
        <w:t>למרות פסק השולחן ערוך</w:t>
      </w:r>
      <w:r w:rsidR="006F4A1A">
        <w:rPr>
          <w:rFonts w:hint="cs"/>
          <w:rtl/>
        </w:rPr>
        <w:t>)</w:t>
      </w:r>
      <w:r w:rsidR="005C5B85">
        <w:rPr>
          <w:rFonts w:hint="cs"/>
          <w:rtl/>
        </w:rPr>
        <w:t xml:space="preserve">. יש להוסיף, שלדעת </w:t>
      </w:r>
      <w:r w:rsidR="005C5B85" w:rsidRPr="005C5B85">
        <w:rPr>
          <w:rFonts w:hint="cs"/>
          <w:b/>
          <w:bCs/>
          <w:rtl/>
        </w:rPr>
        <w:t>המנחת כהן</w:t>
      </w:r>
      <w:r w:rsidR="005C5B85">
        <w:rPr>
          <w:rFonts w:hint="cs"/>
          <w:rtl/>
        </w:rPr>
        <w:t xml:space="preserve"> </w:t>
      </w:r>
      <w:r w:rsidR="005C5B85">
        <w:rPr>
          <w:rFonts w:hint="cs"/>
          <w:sz w:val="18"/>
          <w:szCs w:val="18"/>
          <w:rtl/>
        </w:rPr>
        <w:t>(</w:t>
      </w:r>
      <w:r w:rsidR="004E269F">
        <w:rPr>
          <w:rFonts w:hint="cs"/>
          <w:sz w:val="18"/>
          <w:szCs w:val="18"/>
          <w:rtl/>
        </w:rPr>
        <w:t>שער שני, ד'</w:t>
      </w:r>
      <w:r w:rsidR="005C5B85">
        <w:rPr>
          <w:rFonts w:hint="cs"/>
          <w:sz w:val="18"/>
          <w:szCs w:val="18"/>
          <w:rtl/>
        </w:rPr>
        <w:t xml:space="preserve">) </w:t>
      </w:r>
      <w:r w:rsidR="005C5B85">
        <w:rPr>
          <w:rFonts w:hint="cs"/>
          <w:rtl/>
        </w:rPr>
        <w:t xml:space="preserve">גם השולחן ערוך פוסק כך, ולראייה </w:t>
      </w:r>
      <w:r w:rsidR="006103B7">
        <w:rPr>
          <w:rFonts w:hint="cs"/>
          <w:rtl/>
        </w:rPr>
        <w:t xml:space="preserve">שסימן לאחר מכן </w:t>
      </w:r>
      <w:r w:rsidR="006103B7">
        <w:rPr>
          <w:rFonts w:hint="cs"/>
          <w:sz w:val="18"/>
          <w:szCs w:val="18"/>
          <w:rtl/>
        </w:rPr>
        <w:t xml:space="preserve">(רנד, ד) </w:t>
      </w:r>
      <w:r w:rsidR="006103B7">
        <w:rPr>
          <w:rFonts w:hint="cs"/>
          <w:rtl/>
        </w:rPr>
        <w:t>פסק את דברי רבינו ירוחם</w:t>
      </w:r>
      <w:r w:rsidR="00C6691F">
        <w:rPr>
          <w:rFonts w:hint="cs"/>
          <w:rtl/>
        </w:rPr>
        <w:t xml:space="preserve"> שמותר להניח פירות חיים על האש, כיוון שהם כבר נחשבים מבושלים כבן דרוסאי - ואילו לדעת הרמב''ם היתר זה אינו תקף </w:t>
      </w:r>
      <w:r w:rsidR="00C6691F">
        <w:rPr>
          <w:rFonts w:hint="cs"/>
          <w:sz w:val="18"/>
          <w:szCs w:val="18"/>
          <w:rtl/>
        </w:rPr>
        <w:t>(ועיין</w:t>
      </w:r>
      <w:r w:rsidR="003064C4">
        <w:rPr>
          <w:rFonts w:hint="cs"/>
          <w:sz w:val="18"/>
          <w:szCs w:val="18"/>
          <w:rtl/>
        </w:rPr>
        <w:t xml:space="preserve"> הערה</w:t>
      </w:r>
      <w:r w:rsidR="003064C4">
        <w:rPr>
          <w:rStyle w:val="a5"/>
          <w:sz w:val="18"/>
          <w:szCs w:val="18"/>
          <w:rtl/>
        </w:rPr>
        <w:footnoteReference w:id="2"/>
      </w:r>
      <w:r w:rsidR="00C6691F">
        <w:rPr>
          <w:rFonts w:hint="cs"/>
          <w:sz w:val="18"/>
          <w:szCs w:val="18"/>
          <w:rtl/>
        </w:rPr>
        <w:t>)</w:t>
      </w:r>
      <w:r w:rsidR="0032350F">
        <w:rPr>
          <w:rFonts w:hint="cs"/>
          <w:rtl/>
        </w:rPr>
        <w:t>.</w:t>
      </w:r>
    </w:p>
    <w:p w14:paraId="75B09CCE" w14:textId="6629758F" w:rsidR="00746E75" w:rsidRDefault="00746E75" w:rsidP="00FC7D1F">
      <w:pPr>
        <w:rPr>
          <w:b/>
          <w:bCs/>
          <w:u w:val="single"/>
          <w:rtl/>
        </w:rPr>
      </w:pPr>
      <w:r w:rsidRPr="001B0D96">
        <w:rPr>
          <w:rFonts w:hint="cs"/>
          <w:b/>
          <w:bCs/>
          <w:u w:val="single"/>
          <w:rtl/>
        </w:rPr>
        <w:t>דין פלטה</w:t>
      </w:r>
    </w:p>
    <w:p w14:paraId="5F8FCABC" w14:textId="2B4CD6C5" w:rsidR="001B0D96" w:rsidRDefault="001B0D96" w:rsidP="003A30F8">
      <w:pPr>
        <w:rPr>
          <w:rtl/>
        </w:rPr>
      </w:pPr>
      <w:r>
        <w:rPr>
          <w:rFonts w:hint="cs"/>
          <w:rtl/>
        </w:rPr>
        <w:t>עד כה הדיון עסק במקרה ב</w:t>
      </w:r>
      <w:r w:rsidR="002A7BF6">
        <w:rPr>
          <w:rFonts w:hint="cs"/>
          <w:rtl/>
        </w:rPr>
        <w:t xml:space="preserve">ו מבשלים על אש גלויה, כיום </w:t>
      </w:r>
      <w:r w:rsidR="003A30F8">
        <w:rPr>
          <w:rFonts w:hint="cs"/>
          <w:rtl/>
        </w:rPr>
        <w:t>רובם</w:t>
      </w:r>
      <w:r w:rsidR="002A7BF6">
        <w:rPr>
          <w:rFonts w:hint="cs"/>
          <w:rtl/>
        </w:rPr>
        <w:t xml:space="preserve"> </w:t>
      </w:r>
      <w:r w:rsidR="0015571D">
        <w:rPr>
          <w:rFonts w:hint="cs"/>
          <w:rtl/>
        </w:rPr>
        <w:t xml:space="preserve">לא מחממים אוכל לשבת על </w:t>
      </w:r>
      <w:r w:rsidR="002A7BF6">
        <w:rPr>
          <w:rFonts w:hint="cs"/>
          <w:rtl/>
        </w:rPr>
        <w:t xml:space="preserve">אש גלויה אלא </w:t>
      </w:r>
      <w:r w:rsidR="0015571D">
        <w:rPr>
          <w:rFonts w:hint="cs"/>
          <w:rtl/>
        </w:rPr>
        <w:t xml:space="preserve">על </w:t>
      </w:r>
      <w:r w:rsidR="002A7BF6">
        <w:rPr>
          <w:rFonts w:hint="cs"/>
          <w:rtl/>
        </w:rPr>
        <w:t xml:space="preserve">פלטה. לכל הדעות, פלטה דינה כגרופה וקטומה </w:t>
      </w:r>
      <w:r w:rsidR="00EE1B1A">
        <w:rPr>
          <w:rFonts w:hint="cs"/>
          <w:rtl/>
        </w:rPr>
        <w:t xml:space="preserve">כיוון שאי אפשר להגביר את חומה </w:t>
      </w:r>
      <w:r w:rsidR="00EE1B1A">
        <w:rPr>
          <w:rFonts w:hint="cs"/>
          <w:sz w:val="18"/>
          <w:szCs w:val="18"/>
          <w:rtl/>
        </w:rPr>
        <w:t>(ו</w:t>
      </w:r>
      <w:r w:rsidR="00D030BB">
        <w:rPr>
          <w:rFonts w:hint="cs"/>
          <w:sz w:val="18"/>
          <w:szCs w:val="18"/>
          <w:rtl/>
        </w:rPr>
        <w:t>מ</w:t>
      </w:r>
      <w:r w:rsidR="00EE1B1A">
        <w:rPr>
          <w:rFonts w:hint="cs"/>
          <w:sz w:val="18"/>
          <w:szCs w:val="18"/>
          <w:rtl/>
        </w:rPr>
        <w:t>עוד טעמים)</w:t>
      </w:r>
      <w:r w:rsidR="002A7BF6">
        <w:rPr>
          <w:rFonts w:hint="cs"/>
          <w:rtl/>
        </w:rPr>
        <w:t xml:space="preserve">, ומשום כך לכאורה אין מניעה לשים עליה בערב שבת מאכל המבושל ברמת בן דרוסאי ואף פחות מכך. אלא, שבכל זאת יש המחמירים </w:t>
      </w:r>
      <w:r w:rsidR="00697970">
        <w:rPr>
          <w:rFonts w:hint="cs"/>
          <w:rtl/>
        </w:rPr>
        <w:t xml:space="preserve">בכך </w:t>
      </w:r>
      <w:r w:rsidR="002A7BF6">
        <w:rPr>
          <w:rFonts w:hint="cs"/>
          <w:rtl/>
        </w:rPr>
        <w:t xml:space="preserve">בעקבות </w:t>
      </w:r>
      <w:r w:rsidR="002A7BF6" w:rsidRPr="002A7BF6">
        <w:rPr>
          <w:rFonts w:hint="cs"/>
          <w:b/>
          <w:bCs/>
          <w:rtl/>
        </w:rPr>
        <w:t>רבי עקיבא איגר</w:t>
      </w:r>
      <w:r w:rsidR="00183F3B">
        <w:rPr>
          <w:rFonts w:hint="cs"/>
          <w:rtl/>
        </w:rPr>
        <w:t xml:space="preserve"> </w:t>
      </w:r>
      <w:r w:rsidR="00183F3B">
        <w:rPr>
          <w:rFonts w:hint="cs"/>
          <w:sz w:val="18"/>
          <w:szCs w:val="18"/>
          <w:rtl/>
        </w:rPr>
        <w:t>(רנג, א)</w:t>
      </w:r>
      <w:r w:rsidR="002A7BF6">
        <w:rPr>
          <w:rFonts w:hint="cs"/>
          <w:rtl/>
        </w:rPr>
        <w:t>.</w:t>
      </w:r>
    </w:p>
    <w:p w14:paraId="3DFE7DB4" w14:textId="605BB433" w:rsidR="007E766B" w:rsidRDefault="007E766B" w:rsidP="00FC7D1F">
      <w:pPr>
        <w:rPr>
          <w:rtl/>
        </w:rPr>
      </w:pPr>
      <w:r>
        <w:rPr>
          <w:rFonts w:hint="cs"/>
          <w:rtl/>
        </w:rPr>
        <w:t xml:space="preserve">הגמרא במסכת </w:t>
      </w:r>
      <w:r w:rsidR="00183F3B">
        <w:rPr>
          <w:rFonts w:hint="cs"/>
          <w:rtl/>
        </w:rPr>
        <w:t>שבת</w:t>
      </w:r>
      <w:r>
        <w:rPr>
          <w:rFonts w:hint="cs"/>
          <w:rtl/>
        </w:rPr>
        <w:t xml:space="preserve"> </w:t>
      </w:r>
      <w:r>
        <w:rPr>
          <w:rFonts w:hint="cs"/>
          <w:sz w:val="18"/>
          <w:szCs w:val="18"/>
          <w:rtl/>
        </w:rPr>
        <w:t xml:space="preserve">(יח ע''ב) </w:t>
      </w:r>
      <w:r>
        <w:rPr>
          <w:rFonts w:hint="cs"/>
          <w:rtl/>
        </w:rPr>
        <w:t>כותבת, שאסור לשים סיר עם סממני צבע על האש, מחשש שמא האדם יגיס בתוך הסיר על מנת לשפר</w:t>
      </w:r>
      <w:r w:rsidR="003440DA">
        <w:rPr>
          <w:rFonts w:hint="cs"/>
          <w:rtl/>
        </w:rPr>
        <w:t xml:space="preserve"> את התהליך</w:t>
      </w:r>
      <w:r>
        <w:rPr>
          <w:rFonts w:hint="cs"/>
          <w:rtl/>
        </w:rPr>
        <w:t>.</w:t>
      </w:r>
      <w:r w:rsidR="002E5448">
        <w:rPr>
          <w:rFonts w:hint="cs"/>
          <w:rtl/>
        </w:rPr>
        <w:t xml:space="preserve"> ראשונים רבים כתבו, שהאיסור בגמרא מתייחס רק לסיר בו מבשלים צבע,</w:t>
      </w:r>
      <w:r w:rsidR="0048715A">
        <w:rPr>
          <w:rFonts w:hint="cs"/>
          <w:rtl/>
        </w:rPr>
        <w:t xml:space="preserve"> שדרך הצבעים היה לערבב את סיר הצבע על מנת שהצבע ייקלט טוב יותר במים.</w:t>
      </w:r>
    </w:p>
    <w:p w14:paraId="02AF12C8" w14:textId="303D4BBD" w:rsidR="002A7BF6" w:rsidRDefault="0048715A" w:rsidP="00805F09">
      <w:pPr>
        <w:rPr>
          <w:rtl/>
        </w:rPr>
      </w:pPr>
      <w:r>
        <w:rPr>
          <w:rFonts w:hint="cs"/>
          <w:rtl/>
        </w:rPr>
        <w:t xml:space="preserve">אולם, חלק מהראשונים כתבו שדין זה נכון גם באיסור בישול, וכל מאכל שלא הגיע לשיעור בן דרוסאי יש חשש </w:t>
      </w:r>
      <w:r w:rsidR="00EF0F1D">
        <w:rPr>
          <w:rFonts w:hint="cs"/>
          <w:rtl/>
        </w:rPr>
        <w:t>ש</w:t>
      </w:r>
      <w:r>
        <w:rPr>
          <w:rFonts w:hint="cs"/>
          <w:rtl/>
        </w:rPr>
        <w:t>יגיסו בו</w:t>
      </w:r>
      <w:r w:rsidR="00084C8C">
        <w:rPr>
          <w:rFonts w:hint="cs"/>
          <w:rtl/>
        </w:rPr>
        <w:t xml:space="preserve">, ומשום כך </w:t>
      </w:r>
      <w:r w:rsidR="00B73A49">
        <w:rPr>
          <w:rFonts w:hint="cs"/>
          <w:rtl/>
        </w:rPr>
        <w:t xml:space="preserve">התספק </w:t>
      </w:r>
      <w:r w:rsidR="00BD2ADB">
        <w:rPr>
          <w:rFonts w:hint="cs"/>
          <w:rtl/>
        </w:rPr>
        <w:t xml:space="preserve">רבי עקיבא איגר </w:t>
      </w:r>
      <w:r w:rsidR="000F3FE3">
        <w:rPr>
          <w:rFonts w:hint="cs"/>
          <w:rtl/>
        </w:rPr>
        <w:t xml:space="preserve">האם מותר </w:t>
      </w:r>
      <w:r w:rsidR="00BD2ADB">
        <w:rPr>
          <w:rFonts w:hint="cs"/>
          <w:rtl/>
        </w:rPr>
        <w:t xml:space="preserve">לשים מאכל שאינו מבושל בשיעור בן דרוסאי על פלטה. בפועל, רבים לא כתבו את חומרת רבי עקיבא איגר, אך בכל זאת </w:t>
      </w:r>
      <w:r w:rsidR="00BE6B0B">
        <w:rPr>
          <w:rFonts w:hint="cs"/>
          <w:rtl/>
        </w:rPr>
        <w:t>נראה ש</w:t>
      </w:r>
      <w:r w:rsidR="00BD2ADB">
        <w:rPr>
          <w:rFonts w:hint="cs"/>
          <w:rtl/>
        </w:rPr>
        <w:t xml:space="preserve">במידת האפשר טוב לחוש </w:t>
      </w:r>
      <w:r w:rsidR="00587880">
        <w:rPr>
          <w:rFonts w:hint="cs"/>
          <w:rtl/>
        </w:rPr>
        <w:t xml:space="preserve">לכך </w:t>
      </w:r>
      <w:r w:rsidR="00441833">
        <w:rPr>
          <w:rFonts w:hint="cs"/>
          <w:sz w:val="18"/>
          <w:szCs w:val="18"/>
          <w:rtl/>
        </w:rPr>
        <w:t>(וודאי שגם לשיטתו מותר לכתחילה לשים קדרה חייתא)</w:t>
      </w:r>
      <w:r w:rsidR="00BD2ADB">
        <w:rPr>
          <w:rFonts w:hint="cs"/>
          <w:rtl/>
        </w:rPr>
        <w:t>.</w:t>
      </w:r>
    </w:p>
    <w:p w14:paraId="1B51EB94" w14:textId="41A9799D" w:rsidR="002A7BF6" w:rsidRDefault="007D5C2D" w:rsidP="00FC7D1F">
      <w:pPr>
        <w:rPr>
          <w:u w:val="single"/>
          <w:rtl/>
        </w:rPr>
      </w:pPr>
      <w:r>
        <w:rPr>
          <w:rFonts w:hint="cs"/>
          <w:u w:val="single"/>
          <w:rtl/>
        </w:rPr>
        <w:t>כיסוי ב</w:t>
      </w:r>
      <w:r w:rsidR="002A7BF6">
        <w:rPr>
          <w:rFonts w:hint="cs"/>
          <w:u w:val="single"/>
          <w:rtl/>
        </w:rPr>
        <w:t>בלעך</w:t>
      </w:r>
    </w:p>
    <w:p w14:paraId="1C773A13" w14:textId="0DA296C1" w:rsidR="0015571D" w:rsidRDefault="00BE6B0B" w:rsidP="003A30F8">
      <w:pPr>
        <w:rPr>
          <w:rtl/>
        </w:rPr>
      </w:pPr>
      <w:r>
        <w:rPr>
          <w:rFonts w:hint="cs"/>
          <w:rtl/>
        </w:rPr>
        <w:t>בחלק מהבתים, במקום להשתמש בפלטה מדליקים את הגז, ושמים מעל</w:t>
      </w:r>
      <w:r w:rsidR="003A2FCD">
        <w:rPr>
          <w:rFonts w:hint="cs"/>
          <w:rtl/>
        </w:rPr>
        <w:t xml:space="preserve"> הלהבות</w:t>
      </w:r>
      <w:r w:rsidR="007D6888">
        <w:rPr>
          <w:rFonts w:hint="cs"/>
          <w:rtl/>
        </w:rPr>
        <w:t xml:space="preserve"> כיסוי מתכת</w:t>
      </w:r>
      <w:r w:rsidR="00EC0BD4">
        <w:rPr>
          <w:rFonts w:hint="cs"/>
          <w:rtl/>
        </w:rPr>
        <w:t xml:space="preserve"> </w:t>
      </w:r>
      <w:r w:rsidR="00EC0BD4">
        <w:rPr>
          <w:rFonts w:hint="cs"/>
          <w:sz w:val="18"/>
          <w:szCs w:val="18"/>
          <w:rtl/>
        </w:rPr>
        <w:t>('בלעך'</w:t>
      </w:r>
      <w:r w:rsidR="00D55FF4">
        <w:rPr>
          <w:rFonts w:hint="cs"/>
          <w:sz w:val="18"/>
          <w:szCs w:val="18"/>
          <w:rtl/>
        </w:rPr>
        <w:t>)</w:t>
      </w:r>
      <w:r w:rsidR="007D6888">
        <w:rPr>
          <w:rFonts w:hint="cs"/>
          <w:rtl/>
        </w:rPr>
        <w:t xml:space="preserve">. דנו האחרונים, האם כיסוי זה מחשיב את האש כגרופה </w:t>
      </w:r>
      <w:r w:rsidR="003A30F8">
        <w:rPr>
          <w:rFonts w:hint="cs"/>
          <w:rtl/>
        </w:rPr>
        <w:t xml:space="preserve">שאם כן </w:t>
      </w:r>
      <w:r w:rsidR="007D6888">
        <w:rPr>
          <w:rFonts w:hint="cs"/>
          <w:rtl/>
        </w:rPr>
        <w:t xml:space="preserve">כאמור יתיר לשים מאכל חי לכל השיטות או שאין זה נחשב כיסוי, ואז לדעת חנניה </w:t>
      </w:r>
      <w:r w:rsidR="00B07A2A">
        <w:rPr>
          <w:rFonts w:hint="cs"/>
          <w:rtl/>
        </w:rPr>
        <w:t>והצועדים</w:t>
      </w:r>
      <w:r w:rsidR="007D6888">
        <w:rPr>
          <w:rFonts w:hint="cs"/>
          <w:rtl/>
        </w:rPr>
        <w:t xml:space="preserve"> בעקבותיו יהיה מותר לשים רק מאכל בן דרוסאי, ולדעת חכמים </w:t>
      </w:r>
      <w:r w:rsidR="004F253A">
        <w:rPr>
          <w:rFonts w:hint="cs"/>
          <w:rtl/>
        </w:rPr>
        <w:t>יהיה מותר רק מאכל שמצטמק ורע לו</w:t>
      </w:r>
      <w:r w:rsidR="00F966EF">
        <w:rPr>
          <w:rFonts w:hint="cs"/>
          <w:rtl/>
        </w:rPr>
        <w:t xml:space="preserve"> </w:t>
      </w:r>
      <w:r w:rsidR="00F966EF">
        <w:rPr>
          <w:rFonts w:hint="cs"/>
          <w:sz w:val="18"/>
          <w:szCs w:val="18"/>
          <w:rtl/>
        </w:rPr>
        <w:t>(או קדרה חייתא)</w:t>
      </w:r>
      <w:r w:rsidR="004F253A">
        <w:rPr>
          <w:rFonts w:hint="cs"/>
          <w:rtl/>
        </w:rPr>
        <w:t>:</w:t>
      </w:r>
    </w:p>
    <w:p w14:paraId="4763F9FB" w14:textId="275069B6" w:rsidR="00F966EF" w:rsidRDefault="00F966EF" w:rsidP="00FC7D1F">
      <w:pPr>
        <w:rPr>
          <w:rtl/>
        </w:rPr>
      </w:pPr>
      <w:r>
        <w:rPr>
          <w:rFonts w:hint="cs"/>
          <w:rtl/>
        </w:rPr>
        <w:t xml:space="preserve">א. </w:t>
      </w:r>
      <w:r w:rsidR="0028671A" w:rsidRPr="005E478A">
        <w:rPr>
          <w:rFonts w:hint="cs"/>
          <w:b/>
          <w:bCs/>
          <w:rtl/>
        </w:rPr>
        <w:t>החזון איש</w:t>
      </w:r>
      <w:r w:rsidR="0028671A">
        <w:rPr>
          <w:rFonts w:hint="cs"/>
          <w:rtl/>
        </w:rPr>
        <w:t xml:space="preserve"> </w:t>
      </w:r>
      <w:r w:rsidR="005E478A">
        <w:rPr>
          <w:rFonts w:hint="cs"/>
          <w:sz w:val="18"/>
          <w:szCs w:val="18"/>
          <w:rtl/>
        </w:rPr>
        <w:t xml:space="preserve">(לז, </w:t>
      </w:r>
      <w:r w:rsidR="00F620DC">
        <w:rPr>
          <w:rFonts w:hint="cs"/>
          <w:sz w:val="18"/>
          <w:szCs w:val="18"/>
          <w:rtl/>
        </w:rPr>
        <w:t xml:space="preserve">ט - </w:t>
      </w:r>
      <w:r w:rsidR="005E478A">
        <w:rPr>
          <w:rFonts w:hint="cs"/>
          <w:sz w:val="18"/>
          <w:szCs w:val="18"/>
          <w:rtl/>
        </w:rPr>
        <w:t xml:space="preserve">יא) </w:t>
      </w:r>
      <w:r w:rsidR="0028671A">
        <w:rPr>
          <w:rFonts w:hint="cs"/>
          <w:rtl/>
        </w:rPr>
        <w:t xml:space="preserve">כתב, שכיסוי מעין זה לא יועיל להחשיב את האש כגרופה וקטומה. בטעם הדבר נימק, שמדברי </w:t>
      </w:r>
      <w:r w:rsidR="0028671A" w:rsidRPr="00601BBF">
        <w:rPr>
          <w:rFonts w:hint="cs"/>
          <w:b/>
          <w:bCs/>
          <w:rtl/>
        </w:rPr>
        <w:t>רש''י</w:t>
      </w:r>
      <w:r w:rsidR="0028671A">
        <w:rPr>
          <w:rFonts w:hint="cs"/>
          <w:rtl/>
        </w:rPr>
        <w:t xml:space="preserve"> </w:t>
      </w:r>
      <w:r w:rsidR="00601BBF" w:rsidRPr="00CC4ABF">
        <w:rPr>
          <w:rFonts w:hint="cs"/>
          <w:sz w:val="18"/>
          <w:szCs w:val="18"/>
          <w:rtl/>
        </w:rPr>
        <w:t xml:space="preserve">(לו ע''ב ד''ה או) </w:t>
      </w:r>
      <w:r w:rsidR="0028671A">
        <w:rPr>
          <w:rFonts w:hint="cs"/>
          <w:rtl/>
        </w:rPr>
        <w:t>עולה שהסיבה שכיסוי מעין זה מועיל, שהוא ממעט את חום האש, ואדם הממעט את חום האש וודאי לא ירצה לחתות בגחלים. משום כך כתב, שכיסוי מעין זה שלא ממעט באופן משמעותי את חום האש - אינו מועיל.</w:t>
      </w:r>
    </w:p>
    <w:p w14:paraId="64C71C5E" w14:textId="0DAB3292" w:rsidR="0028671A" w:rsidRDefault="0028671A" w:rsidP="00FC7D1F">
      <w:pPr>
        <w:rPr>
          <w:rtl/>
        </w:rPr>
      </w:pPr>
      <w:r>
        <w:rPr>
          <w:rFonts w:hint="cs"/>
          <w:rtl/>
        </w:rPr>
        <w:t xml:space="preserve">עוד הוסיף וכתב, שאין להוכיח מדברי </w:t>
      </w:r>
      <w:r w:rsidRPr="00601BBF">
        <w:rPr>
          <w:rFonts w:hint="cs"/>
          <w:b/>
          <w:bCs/>
          <w:rtl/>
        </w:rPr>
        <w:t>המרדכי</w:t>
      </w:r>
      <w:r>
        <w:rPr>
          <w:rFonts w:hint="cs"/>
          <w:rtl/>
        </w:rPr>
        <w:t xml:space="preserve"> </w:t>
      </w:r>
      <w:r>
        <w:rPr>
          <w:rFonts w:hint="cs"/>
          <w:sz w:val="18"/>
          <w:szCs w:val="18"/>
          <w:rtl/>
        </w:rPr>
        <w:t>(הגהות פ ע''א)</w:t>
      </w:r>
      <w:r>
        <w:rPr>
          <w:rFonts w:hint="cs"/>
          <w:rtl/>
        </w:rPr>
        <w:t xml:space="preserve"> שכיסוי זה מועיל, בעקבות כך שכתב שניתן לשים קדרה ריקה הפוכה על האש</w:t>
      </w:r>
      <w:r w:rsidR="00F620DC">
        <w:rPr>
          <w:rFonts w:hint="cs"/>
          <w:rtl/>
        </w:rPr>
        <w:t xml:space="preserve"> (ומשמע שגם כיסוי בב</w:t>
      </w:r>
      <w:r w:rsidR="00195A0D">
        <w:rPr>
          <w:rFonts w:hint="cs"/>
          <w:rtl/>
        </w:rPr>
        <w:t>לע</w:t>
      </w:r>
      <w:r w:rsidR="00F620DC">
        <w:rPr>
          <w:rFonts w:hint="cs"/>
          <w:rtl/>
        </w:rPr>
        <w:t>ך יואיל), כיוון שכיסוי בקדרה ריקה הוא שינוי גדול וגם ממעט מהחום, ואילו כיסוי בבעלך אינו מהווה שינוי מספיק, וכן אינו ממעט את החום, ובלשונו:</w:t>
      </w:r>
    </w:p>
    <w:p w14:paraId="03D5DF97" w14:textId="78C50EE0" w:rsidR="0015571D" w:rsidRDefault="00F620DC" w:rsidP="00F359F5">
      <w:pPr>
        <w:ind w:left="720"/>
        <w:rPr>
          <w:rtl/>
        </w:rPr>
      </w:pPr>
      <w:r>
        <w:rPr>
          <w:rFonts w:hint="cs"/>
          <w:rtl/>
        </w:rPr>
        <w:t xml:space="preserve">''והא דמהני הפסק קידרה ריקנית, נראה דהוא שינוי, דאין דרך בישול בכך, וגם ממעט את החום הרבה, אבל הכיסוי שדרכו בכך ואינו ממעט את החום כל כך הוא בכלל על גבה </w:t>
      </w:r>
      <w:r>
        <w:rPr>
          <w:rFonts w:hint="cs"/>
          <w:sz w:val="18"/>
          <w:szCs w:val="18"/>
          <w:rtl/>
        </w:rPr>
        <w:t>(= של האש)</w:t>
      </w:r>
      <w:r>
        <w:rPr>
          <w:rFonts w:hint="cs"/>
          <w:rtl/>
        </w:rPr>
        <w:t>. ושהייה שנהוג בארצנו הקדושה, שמעמידים פח של מתכת ומשימים קדירה בתוך הפח, מכל מקום אינו נחשב כדין נתן קדירה ריקנית.''</w:t>
      </w:r>
    </w:p>
    <w:p w14:paraId="00A55628" w14:textId="317E2130" w:rsidR="0015571D" w:rsidRDefault="005E478A" w:rsidP="00FC7D1F">
      <w:pPr>
        <w:rPr>
          <w:rtl/>
        </w:rPr>
      </w:pPr>
      <w:r>
        <w:rPr>
          <w:rFonts w:hint="cs"/>
          <w:rtl/>
        </w:rPr>
        <w:t>ב. אולם</w:t>
      </w:r>
      <w:r w:rsidR="00F359F5">
        <w:rPr>
          <w:rFonts w:hint="cs"/>
          <w:rtl/>
        </w:rPr>
        <w:t xml:space="preserve"> רוב הפוסקים וב</w:t>
      </w:r>
      <w:r w:rsidR="003A30F8">
        <w:rPr>
          <w:rFonts w:hint="cs"/>
          <w:rtl/>
        </w:rPr>
        <w:t>י</w:t>
      </w:r>
      <w:r w:rsidR="00F359F5">
        <w:rPr>
          <w:rFonts w:hint="cs"/>
          <w:rtl/>
        </w:rPr>
        <w:t xml:space="preserve">ניהם </w:t>
      </w:r>
      <w:r w:rsidR="00F359F5" w:rsidRPr="003A36E9">
        <w:rPr>
          <w:rFonts w:hint="cs"/>
          <w:b/>
          <w:bCs/>
          <w:rtl/>
        </w:rPr>
        <w:t>הרב פיינשטיין</w:t>
      </w:r>
      <w:r w:rsidR="00F359F5">
        <w:rPr>
          <w:rFonts w:hint="cs"/>
          <w:rtl/>
        </w:rPr>
        <w:t xml:space="preserve"> </w:t>
      </w:r>
      <w:r w:rsidR="00F359F5">
        <w:rPr>
          <w:rFonts w:hint="cs"/>
          <w:sz w:val="18"/>
          <w:szCs w:val="18"/>
          <w:rtl/>
        </w:rPr>
        <w:t>(אגרות משה או''ח א, צג)</w:t>
      </w:r>
      <w:r w:rsidR="00F359F5">
        <w:rPr>
          <w:rFonts w:hint="cs"/>
          <w:rtl/>
        </w:rPr>
        <w:t xml:space="preserve">, </w:t>
      </w:r>
      <w:r w:rsidR="00F359F5" w:rsidRPr="003A36E9">
        <w:rPr>
          <w:rFonts w:hint="cs"/>
          <w:b/>
          <w:bCs/>
          <w:rtl/>
        </w:rPr>
        <w:t>הרב וואזנר</w:t>
      </w:r>
      <w:r w:rsidR="00F359F5">
        <w:rPr>
          <w:rFonts w:hint="cs"/>
          <w:rtl/>
        </w:rPr>
        <w:t xml:space="preserve"> </w:t>
      </w:r>
      <w:r w:rsidR="00F359F5">
        <w:rPr>
          <w:rFonts w:hint="cs"/>
          <w:sz w:val="18"/>
          <w:szCs w:val="18"/>
          <w:rtl/>
        </w:rPr>
        <w:t xml:space="preserve">(א, צא) </w:t>
      </w:r>
      <w:r w:rsidR="00F359F5" w:rsidRPr="003A36E9">
        <w:rPr>
          <w:rFonts w:hint="cs"/>
          <w:b/>
          <w:bCs/>
          <w:rtl/>
        </w:rPr>
        <w:t>והרב עובדיה</w:t>
      </w:r>
      <w:r w:rsidR="00F359F5">
        <w:rPr>
          <w:rFonts w:hint="cs"/>
          <w:rtl/>
        </w:rPr>
        <w:t xml:space="preserve"> </w:t>
      </w:r>
      <w:r w:rsidR="00F359F5">
        <w:rPr>
          <w:rFonts w:hint="cs"/>
          <w:sz w:val="18"/>
          <w:szCs w:val="18"/>
          <w:rtl/>
        </w:rPr>
        <w:t>(יביע אומר או''ח ו, לב)</w:t>
      </w:r>
      <w:r w:rsidR="00F359F5">
        <w:rPr>
          <w:rFonts w:hint="cs"/>
          <w:rtl/>
        </w:rPr>
        <w:t xml:space="preserve"> דחו את דברי החזון איש, וכתבו שגם כיסוי זה מהווה הפסק, וכתבו מספר דרכים לדחות את שיטתו. ראשית כתבו, גם אם אכן צודק החזון איש בפירוש דברי הראשונים, דין זה נכון רק בזמנם, שכך היו רגילים לבשל, מה שאין כן בזמנינו.</w:t>
      </w:r>
    </w:p>
    <w:p w14:paraId="44A872A5" w14:textId="49EFE95F" w:rsidR="00F359F5" w:rsidRDefault="00F359F5" w:rsidP="00FC7D1F">
      <w:pPr>
        <w:rPr>
          <w:rtl/>
        </w:rPr>
      </w:pPr>
      <w:r>
        <w:rPr>
          <w:rFonts w:hint="cs"/>
          <w:rtl/>
        </w:rPr>
        <w:t xml:space="preserve">שנית כתבו, </w:t>
      </w:r>
      <w:r w:rsidR="003A30F8">
        <w:rPr>
          <w:rFonts w:hint="cs"/>
          <w:rtl/>
        </w:rPr>
        <w:t>ש</w:t>
      </w:r>
      <w:r w:rsidR="003A36E9">
        <w:rPr>
          <w:rFonts w:hint="cs"/>
          <w:rtl/>
        </w:rPr>
        <w:t>מדברי מספר ראשונים עולה שהסיבה שמותר לשים מאכל חי על גבי אש מכוסה, אינה בגלל שהכיסוי ממעט את חום הגחלים, אלא שכאשר אדם נותן כיסוי על האש יש בכך היכר וסימן לא לחתות בגחלים. גם נתינת בלעך על האש מהווה היכר וסימן, שהרי לא רגילים לבשל כך ביום יום.</w:t>
      </w:r>
    </w:p>
    <w:p w14:paraId="70D952BC" w14:textId="5840E564" w:rsidR="003A36E9" w:rsidRDefault="003A36E9" w:rsidP="00FC7D1F">
      <w:pPr>
        <w:rPr>
          <w:rtl/>
        </w:rPr>
      </w:pPr>
      <w:r>
        <w:rPr>
          <w:rFonts w:hint="cs"/>
          <w:rtl/>
        </w:rPr>
        <w:t>שלישית</w:t>
      </w:r>
      <w:r w:rsidR="00CC4B94">
        <w:rPr>
          <w:rFonts w:hint="cs"/>
          <w:rtl/>
        </w:rPr>
        <w:t xml:space="preserve"> הוסיפו, ייתכן שכאשר חז''ל גזרו גזירות מחשש שמא יחתו בגחלים, גזרו דין זה רק בגחלים ובאש שדרכם לדעוך במהלך הזמן, שאז יש חשש אמיתי שיבואו לחתות בגחלים כדי שהבישול יעשה כראוי. כאשר מחממים על גז גובה הלהבות ועוצמתם אינו משתנה במהלך הזמן, וייתכן שעל כך חז''ל לא גזרו</w:t>
      </w:r>
      <w:r w:rsidR="00315BED">
        <w:rPr>
          <w:rFonts w:hint="cs"/>
          <w:rtl/>
        </w:rPr>
        <w:t xml:space="preserve"> </w:t>
      </w:r>
      <w:r w:rsidR="00315BED">
        <w:rPr>
          <w:rFonts w:hint="cs"/>
          <w:sz w:val="18"/>
          <w:szCs w:val="18"/>
          <w:rtl/>
        </w:rPr>
        <w:t xml:space="preserve">(ועיין </w:t>
      </w:r>
      <w:r w:rsidR="00315BED" w:rsidRPr="00315BED">
        <w:rPr>
          <w:rFonts w:hint="cs"/>
          <w:b/>
          <w:bCs/>
          <w:sz w:val="18"/>
          <w:szCs w:val="18"/>
          <w:rtl/>
        </w:rPr>
        <w:t>מאמר מרדכי</w:t>
      </w:r>
      <w:r w:rsidR="00315BED">
        <w:rPr>
          <w:rFonts w:hint="cs"/>
          <w:sz w:val="18"/>
          <w:szCs w:val="18"/>
          <w:rtl/>
        </w:rPr>
        <w:t xml:space="preserve"> ד, ז מה שכתב על פלטה)</w:t>
      </w:r>
      <w:r w:rsidR="00F10D36">
        <w:rPr>
          <w:rFonts w:hint="cs"/>
          <w:rtl/>
        </w:rPr>
        <w:t>.</w:t>
      </w:r>
    </w:p>
    <w:p w14:paraId="68A23B46" w14:textId="1524C680" w:rsidR="00673065" w:rsidRDefault="00673065" w:rsidP="003A30F8">
      <w:pPr>
        <w:rPr>
          <w:u w:val="single"/>
          <w:rtl/>
        </w:rPr>
      </w:pPr>
      <w:r>
        <w:rPr>
          <w:rFonts w:hint="cs"/>
          <w:u w:val="single"/>
          <w:rtl/>
        </w:rPr>
        <w:t xml:space="preserve">סייגים </w:t>
      </w:r>
    </w:p>
    <w:p w14:paraId="72DA56AC" w14:textId="2E31B91E" w:rsidR="0015571D" w:rsidRDefault="00673065" w:rsidP="008B6AE7">
      <w:pPr>
        <w:rPr>
          <w:rtl/>
        </w:rPr>
      </w:pPr>
      <w:r>
        <w:rPr>
          <w:rFonts w:hint="cs"/>
          <w:rtl/>
        </w:rPr>
        <w:t xml:space="preserve">יוצא שלמעשה כפי שראינו, כמעט בכל שיטות הבישול הנוהגות כיום </w:t>
      </w:r>
      <w:r>
        <w:rPr>
          <w:rFonts w:hint="cs"/>
          <w:sz w:val="18"/>
          <w:szCs w:val="18"/>
          <w:rtl/>
        </w:rPr>
        <w:t>(פלטה וכיסוי בבלעך)</w:t>
      </w:r>
      <w:r>
        <w:rPr>
          <w:rFonts w:hint="cs"/>
          <w:rtl/>
        </w:rPr>
        <w:t>, הבישול נחשב בישול באמצעות דבר גרוף וקטו</w:t>
      </w:r>
      <w:r w:rsidR="002569C9">
        <w:rPr>
          <w:rFonts w:hint="cs"/>
          <w:rtl/>
        </w:rPr>
        <w:t>ם</w:t>
      </w:r>
      <w:r>
        <w:rPr>
          <w:rFonts w:hint="cs"/>
          <w:rtl/>
        </w:rPr>
        <w:t xml:space="preserve">, ויהיה מותר לשים מאכל חי ללא כל חשש. עם כל זאת, יש לשים לב במקרים אלו למספר דברים. </w:t>
      </w:r>
      <w:r w:rsidRPr="00DC3BB5">
        <w:rPr>
          <w:rFonts w:hint="cs"/>
          <w:b/>
          <w:bCs/>
          <w:rtl/>
        </w:rPr>
        <w:t>קודם כל</w:t>
      </w:r>
      <w:r>
        <w:rPr>
          <w:rFonts w:hint="cs"/>
          <w:rtl/>
        </w:rPr>
        <w:t xml:space="preserve">, אין היתר להעביר את המאכל למקום חם יותר על הפלטה, שהרי בכך מאיצים את פעולת הבישול וודאי שיש בכך איסור. </w:t>
      </w:r>
      <w:r w:rsidRPr="00DC3BB5">
        <w:rPr>
          <w:rFonts w:hint="cs"/>
          <w:b/>
          <w:bCs/>
          <w:rtl/>
        </w:rPr>
        <w:t>כמו כן</w:t>
      </w:r>
      <w:r>
        <w:rPr>
          <w:rFonts w:hint="cs"/>
          <w:rtl/>
        </w:rPr>
        <w:t xml:space="preserve">, אין לפתוח את מכסה הסיר לבדוק את מצב התבשיל, כיוון שאז בסגירה </w:t>
      </w:r>
      <w:r w:rsidR="009242C6">
        <w:rPr>
          <w:rFonts w:hint="cs"/>
          <w:rtl/>
        </w:rPr>
        <w:t xml:space="preserve">מחדש </w:t>
      </w:r>
      <w:r>
        <w:rPr>
          <w:rFonts w:hint="cs"/>
          <w:rtl/>
        </w:rPr>
        <w:t xml:space="preserve">גורמים </w:t>
      </w:r>
      <w:r w:rsidR="009242C6">
        <w:rPr>
          <w:rFonts w:hint="cs"/>
          <w:rtl/>
        </w:rPr>
        <w:t>להאצת הבישול ויש בכך איסור.</w:t>
      </w:r>
    </w:p>
    <w:p w14:paraId="1C6426AA" w14:textId="2FAC9965" w:rsidR="002A7BF6" w:rsidRPr="00E74A7F" w:rsidRDefault="0015571D" w:rsidP="00E74A7F">
      <w:pPr>
        <w:rPr>
          <w:u w:val="single"/>
        </w:rPr>
      </w:pPr>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3"/>
      </w:r>
      <w:r>
        <w:rPr>
          <w:b/>
          <w:bCs/>
          <w:rtl/>
        </w:rPr>
        <w:t xml:space="preserve">... </w:t>
      </w:r>
    </w:p>
    <w:sectPr w:rsidR="002A7BF6" w:rsidRPr="00E74A7F" w:rsidSect="00915526">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A26B9" w14:textId="77777777" w:rsidR="00556955" w:rsidRDefault="00556955" w:rsidP="003064C4">
      <w:pPr>
        <w:spacing w:after="0" w:line="240" w:lineRule="auto"/>
      </w:pPr>
      <w:r>
        <w:separator/>
      </w:r>
    </w:p>
  </w:endnote>
  <w:endnote w:type="continuationSeparator" w:id="0">
    <w:p w14:paraId="29A6E22A" w14:textId="77777777" w:rsidR="00556955" w:rsidRDefault="00556955" w:rsidP="003064C4">
      <w:pPr>
        <w:spacing w:after="0" w:line="240" w:lineRule="auto"/>
      </w:pPr>
      <w:r>
        <w:continuationSeparator/>
      </w:r>
    </w:p>
  </w:endnote>
  <w:endnote w:type="continuationNotice" w:id="1">
    <w:p w14:paraId="4A0C3150" w14:textId="77777777" w:rsidR="00556955" w:rsidRDefault="005569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786C1" w14:textId="77777777" w:rsidR="00556955" w:rsidRDefault="00556955" w:rsidP="003064C4">
      <w:pPr>
        <w:spacing w:after="0" w:line="240" w:lineRule="auto"/>
      </w:pPr>
      <w:r>
        <w:separator/>
      </w:r>
    </w:p>
  </w:footnote>
  <w:footnote w:type="continuationSeparator" w:id="0">
    <w:p w14:paraId="5E4DD44E" w14:textId="77777777" w:rsidR="00556955" w:rsidRDefault="00556955" w:rsidP="003064C4">
      <w:pPr>
        <w:spacing w:after="0" w:line="240" w:lineRule="auto"/>
      </w:pPr>
      <w:r>
        <w:continuationSeparator/>
      </w:r>
    </w:p>
  </w:footnote>
  <w:footnote w:type="continuationNotice" w:id="1">
    <w:p w14:paraId="44C87E21" w14:textId="77777777" w:rsidR="00556955" w:rsidRDefault="00556955">
      <w:pPr>
        <w:spacing w:after="0" w:line="240" w:lineRule="auto"/>
      </w:pPr>
    </w:p>
  </w:footnote>
  <w:footnote w:id="2">
    <w:p w14:paraId="2B9BE1BE" w14:textId="2A06E955" w:rsidR="003064C4" w:rsidRDefault="003064C4" w:rsidP="003A30F8">
      <w:pPr>
        <w:pStyle w:val="a3"/>
      </w:pPr>
      <w:r>
        <w:rPr>
          <w:rStyle w:val="a5"/>
        </w:rPr>
        <w:footnoteRef/>
      </w:r>
      <w:r>
        <w:rPr>
          <w:rtl/>
        </w:rPr>
        <w:t xml:space="preserve"> </w:t>
      </w:r>
      <w:r>
        <w:rPr>
          <w:rFonts w:hint="cs"/>
          <w:rtl/>
        </w:rPr>
        <w:t xml:space="preserve">לא כולם קיבלו את דיוקו של המנחת כהן. למשל </w:t>
      </w:r>
      <w:r>
        <w:rPr>
          <w:rFonts w:hint="cs"/>
          <w:b/>
          <w:bCs/>
          <w:rtl/>
        </w:rPr>
        <w:t xml:space="preserve">המגן אברהם </w:t>
      </w:r>
      <w:r>
        <w:rPr>
          <w:rFonts w:hint="cs"/>
          <w:sz w:val="16"/>
          <w:szCs w:val="16"/>
          <w:rtl/>
        </w:rPr>
        <w:t xml:space="preserve">(רנד, יב) </w:t>
      </w:r>
      <w:r w:rsidR="00B94D4A">
        <w:rPr>
          <w:rFonts w:hint="cs"/>
          <w:rtl/>
        </w:rPr>
        <w:t>דייק</w:t>
      </w:r>
      <w:r>
        <w:rPr>
          <w:rFonts w:hint="cs"/>
          <w:rtl/>
        </w:rPr>
        <w:t xml:space="preserve"> שהשולחן ערוך כתב שמותר לשים פירות חיים דווקא סמוך לאש,</w:t>
      </w:r>
      <w:r w:rsidR="00A66001">
        <w:rPr>
          <w:rFonts w:hint="cs"/>
          <w:rtl/>
        </w:rPr>
        <w:t xml:space="preserve"> </w:t>
      </w:r>
      <w:r>
        <w:rPr>
          <w:rFonts w:hint="cs"/>
          <w:rtl/>
        </w:rPr>
        <w:t xml:space="preserve">ולא על האש ממש, כיוון שהוא פוסק כדעת חכמים. כמו כן יש שכתבו שהסיבה שהותר לשים ירקות חיים אפילו על האש ישירות לדעת השולחן ערוך היא, שחיתוי באש יזיק להם, ואם כן דינם כמאכל שמצטמק ורע לו שגם לדעת חכמים </w:t>
      </w:r>
      <w:r w:rsidR="003A30F8">
        <w:rPr>
          <w:rFonts w:hint="cs"/>
          <w:rtl/>
        </w:rPr>
        <w:t>מ</w:t>
      </w:r>
      <w:r>
        <w:rPr>
          <w:rFonts w:hint="cs"/>
          <w:rtl/>
        </w:rPr>
        <w:t xml:space="preserve">ותר לשים ישירות על האש. </w:t>
      </w:r>
    </w:p>
  </w:footnote>
  <w:footnote w:id="3">
    <w:p w14:paraId="437B3B06" w14:textId="77777777" w:rsidR="0015571D" w:rsidRDefault="0015571D" w:rsidP="0015571D">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gutterAtTop/>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EC"/>
    <w:rsid w:val="0000133B"/>
    <w:rsid w:val="00016137"/>
    <w:rsid w:val="00020A7A"/>
    <w:rsid w:val="0002409A"/>
    <w:rsid w:val="000314A7"/>
    <w:rsid w:val="00031A8F"/>
    <w:rsid w:val="000549DC"/>
    <w:rsid w:val="000651E0"/>
    <w:rsid w:val="00084C8C"/>
    <w:rsid w:val="00085321"/>
    <w:rsid w:val="00087076"/>
    <w:rsid w:val="00096CD8"/>
    <w:rsid w:val="000A48D6"/>
    <w:rsid w:val="000A6AC7"/>
    <w:rsid w:val="000D3EBA"/>
    <w:rsid w:val="000E27DD"/>
    <w:rsid w:val="000E5D0D"/>
    <w:rsid w:val="000F3FE3"/>
    <w:rsid w:val="001116C8"/>
    <w:rsid w:val="00117E74"/>
    <w:rsid w:val="00135672"/>
    <w:rsid w:val="0015571D"/>
    <w:rsid w:val="00157B9B"/>
    <w:rsid w:val="00183F3B"/>
    <w:rsid w:val="00185C01"/>
    <w:rsid w:val="00195A0D"/>
    <w:rsid w:val="00196DFE"/>
    <w:rsid w:val="001A2CE3"/>
    <w:rsid w:val="001B0D96"/>
    <w:rsid w:val="001B5164"/>
    <w:rsid w:val="001C14A8"/>
    <w:rsid w:val="001C2FBE"/>
    <w:rsid w:val="001D0D27"/>
    <w:rsid w:val="001E0C07"/>
    <w:rsid w:val="0020345F"/>
    <w:rsid w:val="002115D9"/>
    <w:rsid w:val="0022635B"/>
    <w:rsid w:val="0022701C"/>
    <w:rsid w:val="002378E6"/>
    <w:rsid w:val="0025434F"/>
    <w:rsid w:val="00255442"/>
    <w:rsid w:val="002569C9"/>
    <w:rsid w:val="00267945"/>
    <w:rsid w:val="0028671A"/>
    <w:rsid w:val="002A7BF6"/>
    <w:rsid w:val="002B61DC"/>
    <w:rsid w:val="002E45E7"/>
    <w:rsid w:val="002E5448"/>
    <w:rsid w:val="002F26C3"/>
    <w:rsid w:val="002F765B"/>
    <w:rsid w:val="003064C4"/>
    <w:rsid w:val="00306891"/>
    <w:rsid w:val="0031063D"/>
    <w:rsid w:val="00315BED"/>
    <w:rsid w:val="0031692E"/>
    <w:rsid w:val="0032350F"/>
    <w:rsid w:val="003440DA"/>
    <w:rsid w:val="00346F37"/>
    <w:rsid w:val="00355774"/>
    <w:rsid w:val="003639A9"/>
    <w:rsid w:val="00385218"/>
    <w:rsid w:val="003878F6"/>
    <w:rsid w:val="0039516E"/>
    <w:rsid w:val="003A2FCD"/>
    <w:rsid w:val="003A30F8"/>
    <w:rsid w:val="003A36E9"/>
    <w:rsid w:val="003D3F4A"/>
    <w:rsid w:val="003D547C"/>
    <w:rsid w:val="003D7C1C"/>
    <w:rsid w:val="003E4280"/>
    <w:rsid w:val="003E51A3"/>
    <w:rsid w:val="003F0D59"/>
    <w:rsid w:val="0040686B"/>
    <w:rsid w:val="004146D7"/>
    <w:rsid w:val="00417DB3"/>
    <w:rsid w:val="00433E7C"/>
    <w:rsid w:val="00441833"/>
    <w:rsid w:val="0048715A"/>
    <w:rsid w:val="00491162"/>
    <w:rsid w:val="00496631"/>
    <w:rsid w:val="004E269F"/>
    <w:rsid w:val="004E2A90"/>
    <w:rsid w:val="004F253A"/>
    <w:rsid w:val="0050743D"/>
    <w:rsid w:val="00526EAC"/>
    <w:rsid w:val="005327E8"/>
    <w:rsid w:val="005346D1"/>
    <w:rsid w:val="00552964"/>
    <w:rsid w:val="00556955"/>
    <w:rsid w:val="00581F19"/>
    <w:rsid w:val="005830DE"/>
    <w:rsid w:val="00587880"/>
    <w:rsid w:val="005935EF"/>
    <w:rsid w:val="005A1A1D"/>
    <w:rsid w:val="005A238B"/>
    <w:rsid w:val="005B1D07"/>
    <w:rsid w:val="005B51AA"/>
    <w:rsid w:val="005C5B85"/>
    <w:rsid w:val="005E416D"/>
    <w:rsid w:val="005E478A"/>
    <w:rsid w:val="00601BBF"/>
    <w:rsid w:val="00604066"/>
    <w:rsid w:val="006103B7"/>
    <w:rsid w:val="00621FEB"/>
    <w:rsid w:val="00627D46"/>
    <w:rsid w:val="006375EC"/>
    <w:rsid w:val="00640A7C"/>
    <w:rsid w:val="00663545"/>
    <w:rsid w:val="00673065"/>
    <w:rsid w:val="00697970"/>
    <w:rsid w:val="006A641F"/>
    <w:rsid w:val="006E72E9"/>
    <w:rsid w:val="006F4A1A"/>
    <w:rsid w:val="006F6492"/>
    <w:rsid w:val="007210CB"/>
    <w:rsid w:val="00746E75"/>
    <w:rsid w:val="00773F90"/>
    <w:rsid w:val="00782052"/>
    <w:rsid w:val="00783006"/>
    <w:rsid w:val="007977BF"/>
    <w:rsid w:val="007A43D2"/>
    <w:rsid w:val="007D0247"/>
    <w:rsid w:val="007D2B15"/>
    <w:rsid w:val="007D4BE5"/>
    <w:rsid w:val="007D520C"/>
    <w:rsid w:val="007D5C2D"/>
    <w:rsid w:val="007D6888"/>
    <w:rsid w:val="007E08AF"/>
    <w:rsid w:val="007E766B"/>
    <w:rsid w:val="00805F09"/>
    <w:rsid w:val="008209F0"/>
    <w:rsid w:val="00866F2E"/>
    <w:rsid w:val="00867BAD"/>
    <w:rsid w:val="0088180B"/>
    <w:rsid w:val="00881DA2"/>
    <w:rsid w:val="008824AA"/>
    <w:rsid w:val="0088690D"/>
    <w:rsid w:val="0089001B"/>
    <w:rsid w:val="008B163C"/>
    <w:rsid w:val="008B6AE7"/>
    <w:rsid w:val="008B6B47"/>
    <w:rsid w:val="008C32CA"/>
    <w:rsid w:val="008C4594"/>
    <w:rsid w:val="008E0810"/>
    <w:rsid w:val="008F19C9"/>
    <w:rsid w:val="008F3D2C"/>
    <w:rsid w:val="008F4CFC"/>
    <w:rsid w:val="00915526"/>
    <w:rsid w:val="009242C6"/>
    <w:rsid w:val="009333F0"/>
    <w:rsid w:val="0093538F"/>
    <w:rsid w:val="00971216"/>
    <w:rsid w:val="00974F23"/>
    <w:rsid w:val="00974F9B"/>
    <w:rsid w:val="00985300"/>
    <w:rsid w:val="009A6766"/>
    <w:rsid w:val="009B4176"/>
    <w:rsid w:val="009C38B2"/>
    <w:rsid w:val="009E2860"/>
    <w:rsid w:val="00A460F3"/>
    <w:rsid w:val="00A46F22"/>
    <w:rsid w:val="00A532A6"/>
    <w:rsid w:val="00A556FC"/>
    <w:rsid w:val="00A64BEC"/>
    <w:rsid w:val="00A66001"/>
    <w:rsid w:val="00A72495"/>
    <w:rsid w:val="00A923C4"/>
    <w:rsid w:val="00AB112C"/>
    <w:rsid w:val="00AD1100"/>
    <w:rsid w:val="00AE1F59"/>
    <w:rsid w:val="00B07A2A"/>
    <w:rsid w:val="00B65EC5"/>
    <w:rsid w:val="00B67982"/>
    <w:rsid w:val="00B73A49"/>
    <w:rsid w:val="00B77C95"/>
    <w:rsid w:val="00B90F3A"/>
    <w:rsid w:val="00B94D4A"/>
    <w:rsid w:val="00BB065C"/>
    <w:rsid w:val="00BD20FA"/>
    <w:rsid w:val="00BD2ADB"/>
    <w:rsid w:val="00BE3716"/>
    <w:rsid w:val="00BE6B0B"/>
    <w:rsid w:val="00C01DBC"/>
    <w:rsid w:val="00C17E00"/>
    <w:rsid w:val="00C27DB8"/>
    <w:rsid w:val="00C404F3"/>
    <w:rsid w:val="00C479DA"/>
    <w:rsid w:val="00C50528"/>
    <w:rsid w:val="00C53610"/>
    <w:rsid w:val="00C53C8B"/>
    <w:rsid w:val="00C6244B"/>
    <w:rsid w:val="00C6691F"/>
    <w:rsid w:val="00C66A18"/>
    <w:rsid w:val="00C80625"/>
    <w:rsid w:val="00C81D7E"/>
    <w:rsid w:val="00CA0295"/>
    <w:rsid w:val="00CB1C9E"/>
    <w:rsid w:val="00CB4EF3"/>
    <w:rsid w:val="00CB5F34"/>
    <w:rsid w:val="00CC4ABF"/>
    <w:rsid w:val="00CC4B94"/>
    <w:rsid w:val="00CC5D35"/>
    <w:rsid w:val="00CE7036"/>
    <w:rsid w:val="00D030BB"/>
    <w:rsid w:val="00D03412"/>
    <w:rsid w:val="00D0681D"/>
    <w:rsid w:val="00D41347"/>
    <w:rsid w:val="00D512BB"/>
    <w:rsid w:val="00D55FF4"/>
    <w:rsid w:val="00D61554"/>
    <w:rsid w:val="00D62FAC"/>
    <w:rsid w:val="00DA3572"/>
    <w:rsid w:val="00DC3BB5"/>
    <w:rsid w:val="00DD519A"/>
    <w:rsid w:val="00DF6F5C"/>
    <w:rsid w:val="00E00204"/>
    <w:rsid w:val="00E36280"/>
    <w:rsid w:val="00E56E89"/>
    <w:rsid w:val="00E63145"/>
    <w:rsid w:val="00E74A7F"/>
    <w:rsid w:val="00E7724C"/>
    <w:rsid w:val="00E82422"/>
    <w:rsid w:val="00E82D92"/>
    <w:rsid w:val="00E84962"/>
    <w:rsid w:val="00E95C42"/>
    <w:rsid w:val="00E97E30"/>
    <w:rsid w:val="00EA087C"/>
    <w:rsid w:val="00EA3B0D"/>
    <w:rsid w:val="00EC0BD4"/>
    <w:rsid w:val="00EE1B1A"/>
    <w:rsid w:val="00EE653D"/>
    <w:rsid w:val="00EF0F1D"/>
    <w:rsid w:val="00F10D36"/>
    <w:rsid w:val="00F202FC"/>
    <w:rsid w:val="00F2767F"/>
    <w:rsid w:val="00F34442"/>
    <w:rsid w:val="00F359F5"/>
    <w:rsid w:val="00F36CAB"/>
    <w:rsid w:val="00F4100F"/>
    <w:rsid w:val="00F448EC"/>
    <w:rsid w:val="00F6187E"/>
    <w:rsid w:val="00F620DC"/>
    <w:rsid w:val="00F7122D"/>
    <w:rsid w:val="00F966EF"/>
    <w:rsid w:val="00F96B36"/>
    <w:rsid w:val="00FB1706"/>
    <w:rsid w:val="00FB189D"/>
    <w:rsid w:val="00FC27C4"/>
    <w:rsid w:val="00FC7D1F"/>
    <w:rsid w:val="00FE67A7"/>
    <w:rsid w:val="00FE7E4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CF2B"/>
  <w15:docId w15:val="{4EDCAE59-ECB9-4A8E-874E-E42EFBB9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3064C4"/>
    <w:pPr>
      <w:spacing w:after="0" w:line="240" w:lineRule="auto"/>
    </w:pPr>
    <w:rPr>
      <w:sz w:val="20"/>
      <w:szCs w:val="20"/>
    </w:rPr>
  </w:style>
  <w:style w:type="character" w:customStyle="1" w:styleId="a4">
    <w:name w:val="טקסט הערת שוליים תו"/>
    <w:basedOn w:val="a0"/>
    <w:link w:val="a3"/>
    <w:uiPriority w:val="99"/>
    <w:rsid w:val="003064C4"/>
    <w:rPr>
      <w:sz w:val="20"/>
      <w:szCs w:val="20"/>
    </w:rPr>
  </w:style>
  <w:style w:type="character" w:styleId="a5">
    <w:name w:val="footnote reference"/>
    <w:basedOn w:val="a0"/>
    <w:uiPriority w:val="99"/>
    <w:semiHidden/>
    <w:unhideWhenUsed/>
    <w:rsid w:val="003064C4"/>
    <w:rPr>
      <w:vertAlign w:val="superscript"/>
    </w:rPr>
  </w:style>
  <w:style w:type="character" w:styleId="Hyperlink">
    <w:name w:val="Hyperlink"/>
    <w:basedOn w:val="a0"/>
    <w:uiPriority w:val="99"/>
    <w:unhideWhenUsed/>
    <w:rsid w:val="0015571D"/>
    <w:rPr>
      <w:color w:val="0000FF"/>
      <w:u w:val="single"/>
    </w:rPr>
  </w:style>
  <w:style w:type="paragraph" w:styleId="a6">
    <w:name w:val="header"/>
    <w:basedOn w:val="a"/>
    <w:link w:val="a7"/>
    <w:uiPriority w:val="99"/>
    <w:unhideWhenUsed/>
    <w:rsid w:val="006F6492"/>
    <w:pPr>
      <w:tabs>
        <w:tab w:val="center" w:pos="4153"/>
        <w:tab w:val="right" w:pos="8306"/>
      </w:tabs>
      <w:spacing w:after="0" w:line="240" w:lineRule="auto"/>
    </w:pPr>
  </w:style>
  <w:style w:type="character" w:customStyle="1" w:styleId="a7">
    <w:name w:val="כותרת עליונה תו"/>
    <w:basedOn w:val="a0"/>
    <w:link w:val="a6"/>
    <w:uiPriority w:val="99"/>
    <w:rsid w:val="006F6492"/>
  </w:style>
  <w:style w:type="paragraph" w:styleId="a8">
    <w:name w:val="footer"/>
    <w:basedOn w:val="a"/>
    <w:link w:val="a9"/>
    <w:uiPriority w:val="99"/>
    <w:unhideWhenUsed/>
    <w:rsid w:val="006F6492"/>
    <w:pPr>
      <w:tabs>
        <w:tab w:val="center" w:pos="4153"/>
        <w:tab w:val="right" w:pos="8306"/>
      </w:tabs>
      <w:spacing w:after="0" w:line="240" w:lineRule="auto"/>
    </w:pPr>
  </w:style>
  <w:style w:type="character" w:customStyle="1" w:styleId="a9">
    <w:name w:val="כותרת תחתונה תו"/>
    <w:basedOn w:val="a0"/>
    <w:link w:val="a8"/>
    <w:uiPriority w:val="99"/>
    <w:rsid w:val="006F6492"/>
  </w:style>
  <w:style w:type="paragraph" w:styleId="aa">
    <w:name w:val="Revision"/>
    <w:hidden/>
    <w:uiPriority w:val="99"/>
    <w:semiHidden/>
    <w:rsid w:val="006F6492"/>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1526</Words>
  <Characters>7632</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יגאל גרוס</dc:creator>
  <cp:lastModifiedBy>יגאל גרוס</cp:lastModifiedBy>
  <cp:revision>16</cp:revision>
  <dcterms:created xsi:type="dcterms:W3CDTF">2022-02-01T10:41:00Z</dcterms:created>
  <dcterms:modified xsi:type="dcterms:W3CDTF">2022-02-03T13:02:00Z</dcterms:modified>
</cp:coreProperties>
</file>