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1B38" w14:textId="58EB970B" w:rsidR="0050743D" w:rsidRDefault="00CF5EF4" w:rsidP="004C7AD1">
      <w:pPr>
        <w:spacing w:after="40"/>
        <w:rPr>
          <w:b/>
          <w:bCs/>
          <w:sz w:val="36"/>
          <w:szCs w:val="36"/>
          <w:rtl/>
        </w:rPr>
      </w:pPr>
      <w:r>
        <w:rPr>
          <w:rFonts w:hint="cs"/>
          <w:rtl/>
        </w:rPr>
        <w:t>בס''ד</w:t>
      </w:r>
      <w:r>
        <w:rPr>
          <w:rtl/>
        </w:rPr>
        <w:tab/>
      </w:r>
      <w:r>
        <w:rPr>
          <w:rFonts w:hint="cs"/>
          <w:rtl/>
        </w:rPr>
        <w:t xml:space="preserve">    </w:t>
      </w:r>
      <w:r w:rsidRPr="00CF5EF4">
        <w:rPr>
          <w:rFonts w:hint="cs"/>
          <w:b/>
          <w:bCs/>
          <w:sz w:val="36"/>
          <w:szCs w:val="36"/>
          <w:rtl/>
        </w:rPr>
        <w:t>פרשת האזינו: כיצד יש להכריע במחלוקת הפוסקים - חלק ב'</w:t>
      </w:r>
    </w:p>
    <w:p w14:paraId="610E6E9D" w14:textId="350CEC5B" w:rsidR="00916250" w:rsidRDefault="00916250" w:rsidP="004C7AD1">
      <w:pPr>
        <w:spacing w:after="40"/>
        <w:rPr>
          <w:b/>
          <w:bCs/>
          <w:u w:val="single"/>
          <w:rtl/>
        </w:rPr>
      </w:pPr>
      <w:r w:rsidRPr="00916250">
        <w:rPr>
          <w:rFonts w:hint="cs"/>
          <w:b/>
          <w:bCs/>
          <w:u w:val="single"/>
          <w:rtl/>
        </w:rPr>
        <w:t>פתיחה</w:t>
      </w:r>
    </w:p>
    <w:p w14:paraId="4BD42CE9" w14:textId="1E0C286C" w:rsidR="00916250" w:rsidRDefault="00916250" w:rsidP="004C7AD1">
      <w:pPr>
        <w:spacing w:after="40"/>
        <w:rPr>
          <w:rtl/>
        </w:rPr>
      </w:pPr>
      <w:r>
        <w:rPr>
          <w:rFonts w:hint="cs"/>
          <w:rtl/>
        </w:rPr>
        <w:t xml:space="preserve">בשבוע שעבר התחלנו לעסוק בשאלה כיצד יש להכריע במחלוקת הפוסקים, </w:t>
      </w:r>
      <w:r w:rsidR="00274575">
        <w:rPr>
          <w:rFonts w:hint="cs"/>
          <w:rtl/>
        </w:rPr>
        <w:t>ו</w:t>
      </w:r>
      <w:r>
        <w:rPr>
          <w:rFonts w:hint="cs"/>
          <w:rtl/>
        </w:rPr>
        <w:t>ראינו את הדיון סביב קבלת מעמדה</w:t>
      </w:r>
      <w:r w:rsidR="00C85D34">
        <w:rPr>
          <w:rFonts w:hint="cs"/>
          <w:rtl/>
        </w:rPr>
        <w:t xml:space="preserve"> של הגמרא</w:t>
      </w:r>
      <w:r>
        <w:rPr>
          <w:rFonts w:hint="cs"/>
          <w:rtl/>
        </w:rPr>
        <w:t xml:space="preserve">, מדוע </w:t>
      </w:r>
      <w:r w:rsidR="00554648">
        <w:rPr>
          <w:rFonts w:hint="cs"/>
          <w:rtl/>
        </w:rPr>
        <w:t xml:space="preserve">היא </w:t>
      </w:r>
      <w:r>
        <w:rPr>
          <w:rFonts w:hint="cs"/>
          <w:rtl/>
        </w:rPr>
        <w:t>התקבלה כספר מחייב שאין לחלוק עליו, ואת ההשלכות לטעם הדבר. כמו כן ראינו את מחלוקת הפוסקים האם ניתן לחלוק על דברי הגאונים והראשונים, מחלוקת שייתכן שמושפעת מאות</w:t>
      </w:r>
      <w:r w:rsidR="00317DC0">
        <w:rPr>
          <w:rFonts w:hint="cs"/>
          <w:rtl/>
        </w:rPr>
        <w:t>ה</w:t>
      </w:r>
      <w:r>
        <w:rPr>
          <w:rFonts w:hint="cs"/>
          <w:rtl/>
        </w:rPr>
        <w:t xml:space="preserve"> מחלוקת סביב מעמדה של הגמרא</w:t>
      </w:r>
      <w:r w:rsidR="00F5047A">
        <w:rPr>
          <w:rFonts w:hint="cs"/>
          <w:rtl/>
        </w:rPr>
        <w:t>, וכמצוטט</w:t>
      </w:r>
      <w:r w:rsidR="00FA7698">
        <w:rPr>
          <w:rFonts w:hint="cs"/>
          <w:rtl/>
        </w:rPr>
        <w:t>:</w:t>
      </w:r>
    </w:p>
    <w:p w14:paraId="2C025C11" w14:textId="11F97D4E" w:rsidR="00F5047A" w:rsidRDefault="00F5047A" w:rsidP="004C7AD1">
      <w:pPr>
        <w:spacing w:after="40"/>
        <w:ind w:left="720"/>
        <w:rPr>
          <w:rtl/>
        </w:rPr>
      </w:pPr>
      <w:r>
        <w:rPr>
          <w:rFonts w:hint="cs"/>
          <w:rtl/>
        </w:rPr>
        <w:t xml:space="preserve">''עד כה ראינו את הדיון סביב מעמד הגמרא, ביחס למעמד הראשונים קיימת מחלוקת בין הפוסקים, מחלוקת שגם היא ייתכן </w:t>
      </w:r>
      <w:r w:rsidR="00324A3F">
        <w:rPr>
          <w:rFonts w:hint="cs"/>
          <w:rtl/>
        </w:rPr>
        <w:t>ו</w:t>
      </w:r>
      <w:r>
        <w:rPr>
          <w:rFonts w:hint="cs"/>
          <w:rtl/>
        </w:rPr>
        <w:t xml:space="preserve">מושפעת מהמחלוקת מדוע אין לחלוק על הגמרא. האם בגלל שנעשה מעין מעמד של קבלת הגמרא, שאז קיבלו אותה כקבלת בית דין </w:t>
      </w:r>
      <w:r w:rsidRPr="00F5047A">
        <w:rPr>
          <w:rFonts w:hint="cs"/>
          <w:sz w:val="18"/>
          <w:szCs w:val="18"/>
          <w:rtl/>
        </w:rPr>
        <w:t>(דבר שלא נעשה בספרי הגאונים והראשונים)</w:t>
      </w:r>
      <w:r>
        <w:rPr>
          <w:rFonts w:hint="cs"/>
          <w:rtl/>
        </w:rPr>
        <w:t xml:space="preserve">, או בגלל ירידת הדורות </w:t>
      </w:r>
      <w:r w:rsidRPr="00F5047A">
        <w:rPr>
          <w:rFonts w:hint="cs"/>
          <w:sz w:val="18"/>
          <w:szCs w:val="18"/>
          <w:rtl/>
        </w:rPr>
        <w:t>(שאז יש מקום לומר שהירידה ממשיכה)</w:t>
      </w:r>
      <w:r>
        <w:rPr>
          <w:rFonts w:hint="cs"/>
          <w:rtl/>
        </w:rPr>
        <w:t>.''</w:t>
      </w:r>
    </w:p>
    <w:p w14:paraId="2F0C7B2C" w14:textId="539BA3CA" w:rsidR="00785E56" w:rsidRDefault="00916250" w:rsidP="004C7AD1">
      <w:pPr>
        <w:spacing w:after="40"/>
        <w:rPr>
          <w:rtl/>
        </w:rPr>
      </w:pPr>
      <w:r>
        <w:rPr>
          <w:rFonts w:hint="cs"/>
          <w:rtl/>
        </w:rPr>
        <w:t xml:space="preserve">אמנם, עד </w:t>
      </w:r>
      <w:r w:rsidR="00324A3F">
        <w:rPr>
          <w:rFonts w:hint="cs"/>
          <w:rtl/>
        </w:rPr>
        <w:t xml:space="preserve">עתה </w:t>
      </w:r>
      <w:r>
        <w:rPr>
          <w:rFonts w:hint="cs"/>
          <w:rtl/>
        </w:rPr>
        <w:t>הדיון עסק במקרה בו יש אדם המסוגל ללמוד גמרא ושאר ראשונים בצורה מספיק עמוקה, כדי שיוכל לחלוק על הקודמים לו, אז יש מקום לשאול האם דבר זה מותר. אולם</w:t>
      </w:r>
      <w:r w:rsidR="00785E56">
        <w:rPr>
          <w:rFonts w:hint="cs"/>
          <w:rtl/>
        </w:rPr>
        <w:t xml:space="preserve"> כמובן</w:t>
      </w:r>
      <w:r w:rsidR="00574FCB">
        <w:rPr>
          <w:rFonts w:hint="cs"/>
          <w:rtl/>
        </w:rPr>
        <w:t>,</w:t>
      </w:r>
      <w:r>
        <w:rPr>
          <w:rFonts w:hint="cs"/>
          <w:rtl/>
        </w:rPr>
        <w:t xml:space="preserve"> רוב האנשים אינם מסוגלים לעשות כך,</w:t>
      </w:r>
      <w:r w:rsidR="00574FCB">
        <w:rPr>
          <w:rFonts w:hint="cs"/>
          <w:rtl/>
        </w:rPr>
        <w:t xml:space="preserve"> והשאלה שמעסיקה אותם היא כיצד להחליט </w:t>
      </w:r>
      <w:r w:rsidR="00317DC0">
        <w:rPr>
          <w:rFonts w:hint="cs"/>
          <w:rtl/>
        </w:rPr>
        <w:t>איך לנהוג</w:t>
      </w:r>
      <w:r w:rsidR="00574FCB">
        <w:rPr>
          <w:rFonts w:hint="cs"/>
          <w:rtl/>
        </w:rPr>
        <w:t>, כפוסק א' או ב'</w:t>
      </w:r>
      <w:r w:rsidR="001918CC">
        <w:rPr>
          <w:rFonts w:hint="cs"/>
          <w:rtl/>
        </w:rPr>
        <w:t>,</w:t>
      </w:r>
      <w:r w:rsidR="00574FCB">
        <w:rPr>
          <w:rFonts w:hint="cs"/>
          <w:rtl/>
        </w:rPr>
        <w:t xml:space="preserve"> </w:t>
      </w:r>
      <w:r w:rsidR="00E50A32">
        <w:rPr>
          <w:rFonts w:hint="cs"/>
          <w:rtl/>
        </w:rPr>
        <w:t>האם מותר לקבוע רב שבעקבותיו תמיד הולכים</w:t>
      </w:r>
      <w:r w:rsidR="001918CC">
        <w:rPr>
          <w:rFonts w:hint="cs"/>
          <w:rtl/>
        </w:rPr>
        <w:t xml:space="preserve"> וכדומה</w:t>
      </w:r>
      <w:r w:rsidR="00274575">
        <w:rPr>
          <w:rFonts w:hint="cs"/>
          <w:rtl/>
        </w:rPr>
        <w:t>, ו</w:t>
      </w:r>
      <w:r w:rsidR="001918CC">
        <w:rPr>
          <w:rFonts w:hint="cs"/>
          <w:rtl/>
        </w:rPr>
        <w:t>בכך נעסוק השבוע</w:t>
      </w:r>
      <w:r w:rsidR="00660B96">
        <w:rPr>
          <w:rStyle w:val="a5"/>
          <w:rtl/>
        </w:rPr>
        <w:footnoteReference w:id="2"/>
      </w:r>
      <w:r w:rsidR="001918CC">
        <w:rPr>
          <w:rFonts w:hint="cs"/>
          <w:rtl/>
        </w:rPr>
        <w:t>.</w:t>
      </w:r>
      <w:r w:rsidR="00DA6137">
        <w:rPr>
          <w:rFonts w:hint="cs"/>
          <w:rtl/>
        </w:rPr>
        <w:t xml:space="preserve"> </w:t>
      </w:r>
    </w:p>
    <w:p w14:paraId="19E1C0F9" w14:textId="124F2F7B" w:rsidR="00FD1288" w:rsidRDefault="00FD1288" w:rsidP="004C7AD1">
      <w:pPr>
        <w:spacing w:after="40"/>
        <w:rPr>
          <w:b/>
          <w:bCs/>
          <w:u w:val="single"/>
          <w:rtl/>
        </w:rPr>
      </w:pPr>
      <w:r>
        <w:rPr>
          <w:rFonts w:hint="cs"/>
          <w:b/>
          <w:bCs/>
          <w:u w:val="single"/>
          <w:rtl/>
        </w:rPr>
        <w:t>מרא דאתרא</w:t>
      </w:r>
    </w:p>
    <w:p w14:paraId="1B97798E" w14:textId="19CDC830" w:rsidR="00417AA2" w:rsidRDefault="00317DC0" w:rsidP="004C7AD1">
      <w:pPr>
        <w:spacing w:after="40"/>
        <w:rPr>
          <w:rtl/>
        </w:rPr>
      </w:pPr>
      <w:r>
        <w:rPr>
          <w:rFonts w:hint="cs"/>
          <w:rtl/>
        </w:rPr>
        <w:t xml:space="preserve">במקרים בהם האדם נמנע מהכרעה אישית, </w:t>
      </w:r>
      <w:r w:rsidR="00FD1288">
        <w:rPr>
          <w:rFonts w:hint="cs"/>
          <w:rtl/>
        </w:rPr>
        <w:t>העיקרון הבסיסי הנפוץ ביותר לקביעת הלכה</w:t>
      </w:r>
      <w:r w:rsidR="00C90EC4">
        <w:rPr>
          <w:rFonts w:hint="cs"/>
          <w:rtl/>
        </w:rPr>
        <w:t xml:space="preserve"> </w:t>
      </w:r>
      <w:r w:rsidR="00FD1288">
        <w:rPr>
          <w:rFonts w:hint="cs"/>
          <w:rtl/>
        </w:rPr>
        <w:t>היא הל</w:t>
      </w:r>
      <w:r>
        <w:rPr>
          <w:rFonts w:hint="cs"/>
          <w:rtl/>
        </w:rPr>
        <w:t>י</w:t>
      </w:r>
      <w:r w:rsidR="00FD1288">
        <w:rPr>
          <w:rFonts w:hint="cs"/>
          <w:rtl/>
        </w:rPr>
        <w:t xml:space="preserve">כה אחרי מרא דאתרא, כלומר </w:t>
      </w:r>
      <w:r w:rsidR="00102D6B">
        <w:rPr>
          <w:rFonts w:hint="cs"/>
          <w:rtl/>
        </w:rPr>
        <w:t xml:space="preserve">אחרי </w:t>
      </w:r>
      <w:r w:rsidR="00FD1288">
        <w:rPr>
          <w:rFonts w:hint="cs"/>
          <w:rtl/>
        </w:rPr>
        <w:t>רב מובהק. ה</w:t>
      </w:r>
      <w:r w:rsidR="003D71F1">
        <w:rPr>
          <w:rFonts w:hint="cs"/>
          <w:rtl/>
        </w:rPr>
        <w:t xml:space="preserve">מקור לכלל </w:t>
      </w:r>
      <w:r>
        <w:rPr>
          <w:rFonts w:hint="cs"/>
          <w:rtl/>
        </w:rPr>
        <w:t>זה</w:t>
      </w:r>
      <w:r w:rsidR="00FD1288">
        <w:rPr>
          <w:rFonts w:hint="cs"/>
          <w:rtl/>
        </w:rPr>
        <w:t xml:space="preserve"> </w:t>
      </w:r>
      <w:r w:rsidR="003D71F1">
        <w:rPr>
          <w:rFonts w:hint="cs"/>
          <w:rtl/>
        </w:rPr>
        <w:t xml:space="preserve">מופיע במספר מקומות </w:t>
      </w:r>
      <w:r>
        <w:rPr>
          <w:rFonts w:hint="cs"/>
          <w:rtl/>
        </w:rPr>
        <w:t xml:space="preserve">כגון </w:t>
      </w:r>
      <w:r w:rsidR="003D71F1">
        <w:rPr>
          <w:rFonts w:hint="cs"/>
          <w:rtl/>
        </w:rPr>
        <w:t xml:space="preserve">הגמרא במסכת חולין </w:t>
      </w:r>
      <w:r w:rsidR="00C90EC4">
        <w:rPr>
          <w:rFonts w:hint="cs"/>
          <w:sz w:val="20"/>
          <w:szCs w:val="20"/>
          <w:rtl/>
        </w:rPr>
        <w:t>(</w:t>
      </w:r>
      <w:r w:rsidR="003D71F1">
        <w:rPr>
          <w:rFonts w:hint="cs"/>
          <w:sz w:val="20"/>
          <w:szCs w:val="20"/>
          <w:rtl/>
        </w:rPr>
        <w:t xml:space="preserve">קטז </w:t>
      </w:r>
      <w:r w:rsidR="00C90EC4">
        <w:rPr>
          <w:rFonts w:hint="cs"/>
          <w:sz w:val="20"/>
          <w:szCs w:val="20"/>
          <w:rtl/>
        </w:rPr>
        <w:t xml:space="preserve">ע''א) </w:t>
      </w:r>
      <w:r w:rsidR="00223508" w:rsidRPr="00223508">
        <w:rPr>
          <w:rFonts w:hint="cs"/>
          <w:rtl/>
        </w:rPr>
        <w:t>ה</w:t>
      </w:r>
      <w:r w:rsidR="00C90EC4" w:rsidRPr="00223508">
        <w:rPr>
          <w:rFonts w:hint="cs"/>
          <w:rtl/>
        </w:rPr>
        <w:t>כותבת,</w:t>
      </w:r>
      <w:r w:rsidR="00223508">
        <w:rPr>
          <w:rFonts w:hint="cs"/>
          <w:rtl/>
        </w:rPr>
        <w:t xml:space="preserve"> שבמקומו של רבי יהודה בן בתירא אכלו בשר עוף בחלב, ולא מיחו בהם חכמים </w:t>
      </w:r>
      <w:r w:rsidR="00662D43">
        <w:rPr>
          <w:rFonts w:hint="cs"/>
          <w:rtl/>
        </w:rPr>
        <w:t>כיוון שככל הנראה סברו כדעת רבי יוסי</w:t>
      </w:r>
      <w:r w:rsidR="002019CC">
        <w:rPr>
          <w:rFonts w:hint="cs"/>
          <w:rtl/>
        </w:rPr>
        <w:t xml:space="preserve"> המתיר דבר זה</w:t>
      </w:r>
      <w:r w:rsidR="00662D43">
        <w:rPr>
          <w:rFonts w:hint="cs"/>
          <w:rtl/>
        </w:rPr>
        <w:t>.</w:t>
      </w:r>
      <w:r w:rsidR="00417AA2">
        <w:rPr>
          <w:rFonts w:hint="cs"/>
          <w:rtl/>
        </w:rPr>
        <w:t xml:space="preserve"> </w:t>
      </w:r>
    </w:p>
    <w:p w14:paraId="79F1B8A8" w14:textId="749C57A1" w:rsidR="00417AA2" w:rsidRDefault="00236925" w:rsidP="004C7AD1">
      <w:pPr>
        <w:spacing w:after="40"/>
        <w:rPr>
          <w:rtl/>
        </w:rPr>
      </w:pPr>
      <w:r w:rsidRPr="00236925">
        <w:rPr>
          <w:rFonts w:hint="cs"/>
          <w:rtl/>
        </w:rPr>
        <w:t>מה הה</w:t>
      </w:r>
      <w:r>
        <w:rPr>
          <w:rFonts w:hint="cs"/>
          <w:rtl/>
        </w:rPr>
        <w:t>י</w:t>
      </w:r>
      <w:r w:rsidRPr="00236925">
        <w:rPr>
          <w:rFonts w:hint="cs"/>
          <w:rtl/>
        </w:rPr>
        <w:t xml:space="preserve">גיון </w:t>
      </w:r>
      <w:r w:rsidR="00317DC0">
        <w:rPr>
          <w:rFonts w:hint="cs"/>
          <w:rtl/>
        </w:rPr>
        <w:t>ל</w:t>
      </w:r>
      <w:r w:rsidRPr="00236925">
        <w:rPr>
          <w:rFonts w:hint="cs"/>
          <w:rtl/>
        </w:rPr>
        <w:t>כך שמ</w:t>
      </w:r>
      <w:r w:rsidR="00317DC0">
        <w:rPr>
          <w:rFonts w:hint="cs"/>
          <w:rtl/>
        </w:rPr>
        <w:t>ת</w:t>
      </w:r>
      <w:r w:rsidRPr="00236925">
        <w:rPr>
          <w:rFonts w:hint="cs"/>
          <w:rtl/>
        </w:rPr>
        <w:t>עלמים מדעות שאר הפוסקים, וצועדים בעקבות רב אחד?</w:t>
      </w:r>
      <w:r>
        <w:rPr>
          <w:rFonts w:hint="cs"/>
          <w:b/>
          <w:bCs/>
          <w:rtl/>
        </w:rPr>
        <w:t xml:space="preserve"> </w:t>
      </w:r>
      <w:r w:rsidR="00BB010E" w:rsidRPr="00236925">
        <w:rPr>
          <w:rFonts w:hint="cs"/>
          <w:b/>
          <w:bCs/>
          <w:rtl/>
        </w:rPr>
        <w:t>הרשב''א</w:t>
      </w:r>
      <w:r w:rsidR="00BB010E">
        <w:rPr>
          <w:rFonts w:hint="cs"/>
          <w:rtl/>
        </w:rPr>
        <w:t xml:space="preserve"> </w:t>
      </w:r>
      <w:r w:rsidR="00BB010E">
        <w:rPr>
          <w:rFonts w:hint="cs"/>
          <w:sz w:val="18"/>
          <w:szCs w:val="18"/>
          <w:rtl/>
        </w:rPr>
        <w:t>(א, רנג)</w:t>
      </w:r>
      <w:r w:rsidR="00BB010E">
        <w:rPr>
          <w:rFonts w:hint="cs"/>
          <w:rtl/>
        </w:rPr>
        <w:t>,</w:t>
      </w:r>
      <w:r w:rsidR="00E43B21">
        <w:rPr>
          <w:rFonts w:hint="cs"/>
          <w:rtl/>
        </w:rPr>
        <w:t xml:space="preserve"> </w:t>
      </w:r>
      <w:r>
        <w:rPr>
          <w:rFonts w:hint="cs"/>
          <w:rtl/>
        </w:rPr>
        <w:t xml:space="preserve">שעל בסיס </w:t>
      </w:r>
      <w:r w:rsidR="00317DC0">
        <w:rPr>
          <w:rFonts w:hint="cs"/>
          <w:rtl/>
        </w:rPr>
        <w:t xml:space="preserve">הפסק שלו </w:t>
      </w:r>
      <w:r>
        <w:rPr>
          <w:rFonts w:hint="cs"/>
          <w:rtl/>
        </w:rPr>
        <w:t>רבים דנו בדיני מרא דאתרא כתב</w:t>
      </w:r>
      <w:r w:rsidR="00EA70A3">
        <w:rPr>
          <w:rFonts w:hint="cs"/>
          <w:rtl/>
        </w:rPr>
        <w:t xml:space="preserve">, </w:t>
      </w:r>
      <w:r w:rsidR="00D2248B">
        <w:rPr>
          <w:rFonts w:hint="cs"/>
          <w:rtl/>
        </w:rPr>
        <w:t xml:space="preserve">שמשום כבודו של רב המקום אין לעשות כנגד פסקיו. נראה </w:t>
      </w:r>
      <w:r w:rsidR="00631F80">
        <w:rPr>
          <w:rFonts w:hint="cs"/>
          <w:rtl/>
        </w:rPr>
        <w:t xml:space="preserve">לדחוק </w:t>
      </w:r>
      <w:r w:rsidR="00D2248B">
        <w:rPr>
          <w:rFonts w:hint="cs"/>
          <w:rtl/>
        </w:rPr>
        <w:t xml:space="preserve">שכוונת הרשב''א לומר, </w:t>
      </w:r>
      <w:r w:rsidR="00631F80">
        <w:rPr>
          <w:rFonts w:hint="cs"/>
          <w:rtl/>
        </w:rPr>
        <w:t xml:space="preserve">שאכן מעיקר הדין היה מקום ללכת אחר שאר הפוסקים, אלא שיש מעין תקנת חכמים לעשות </w:t>
      </w:r>
      <w:r w:rsidR="00E43B21">
        <w:rPr>
          <w:rFonts w:hint="cs"/>
          <w:rtl/>
        </w:rPr>
        <w:t>כ</w:t>
      </w:r>
      <w:r w:rsidR="00631F80">
        <w:rPr>
          <w:rFonts w:hint="cs"/>
          <w:rtl/>
        </w:rPr>
        <w:t xml:space="preserve">רב המקום בגלל כבודו, ובלשון הרשב''א: </w:t>
      </w:r>
    </w:p>
    <w:p w14:paraId="132237FF" w14:textId="45ED1D36" w:rsidR="00417AA2" w:rsidRDefault="00324A3F" w:rsidP="00E76258">
      <w:pPr>
        <w:ind w:left="720"/>
        <w:rPr>
          <w:rFonts w:cs="Arial"/>
          <w:rtl/>
        </w:rPr>
      </w:pPr>
      <w:r>
        <w:rPr>
          <w:rFonts w:cs="Arial" w:hint="cs"/>
          <w:rtl/>
        </w:rPr>
        <w:t>''</w:t>
      </w:r>
      <w:r w:rsidR="00E76258" w:rsidRPr="00E76258">
        <w:rPr>
          <w:rFonts w:cs="Arial"/>
          <w:rtl/>
        </w:rPr>
        <w:t xml:space="preserve">מן הדרך הזה כל שנהגו לעשות כל מעשיהם על פי אחד מגדולי הפוסקים במקום שנהגו לעשות כל מעשיהם על פי הלכות הרב אלפסי זכרונו לברכה ובמקומות שנהגו לעשות כל מעשיהם על פי חבור הרמב"ם ז"ל והרי עשו אלו הגדולים </w:t>
      </w:r>
      <w:r w:rsidR="00E76258">
        <w:rPr>
          <w:rFonts w:cs="Arial" w:hint="cs"/>
          <w:rtl/>
        </w:rPr>
        <w:t>''</w:t>
      </w:r>
      <w:r w:rsidR="00E76258" w:rsidRPr="00E76258">
        <w:rPr>
          <w:rFonts w:cs="Arial"/>
          <w:rtl/>
        </w:rPr>
        <w:t>כרבם</w:t>
      </w:r>
      <w:r w:rsidR="00E76258">
        <w:rPr>
          <w:rFonts w:cs="Arial" w:hint="cs"/>
          <w:rtl/>
        </w:rPr>
        <w:t xml:space="preserve">, </w:t>
      </w:r>
      <w:r w:rsidR="00E76258" w:rsidRPr="00E76258">
        <w:rPr>
          <w:rFonts w:cs="Arial"/>
          <w:rtl/>
        </w:rPr>
        <w:t>דבמקום רבם אילו יעשו שלא כדבריו יקלו בכבוד רבם במקומו</w:t>
      </w:r>
      <w:r w:rsidR="00E76258">
        <w:rPr>
          <w:rFonts w:cs="Arial" w:hint="cs"/>
          <w:rtl/>
        </w:rPr>
        <w:t>.''</w:t>
      </w:r>
    </w:p>
    <w:p w14:paraId="472B96A7" w14:textId="71563A1F" w:rsidR="00324A3F" w:rsidRPr="001F2E9D" w:rsidRDefault="00324A3F" w:rsidP="00B344CD">
      <w:pPr>
        <w:rPr>
          <w:rFonts w:cs="Arial"/>
          <w:rtl/>
        </w:rPr>
      </w:pPr>
      <w:r>
        <w:rPr>
          <w:rFonts w:cs="Arial" w:hint="cs"/>
          <w:rtl/>
        </w:rPr>
        <w:t xml:space="preserve">גישה שונה סוברת, </w:t>
      </w:r>
      <w:r w:rsidR="00545A73">
        <w:rPr>
          <w:rFonts w:cs="Arial" w:hint="cs"/>
          <w:rtl/>
        </w:rPr>
        <w:t>שה</w:t>
      </w:r>
      <w:r>
        <w:rPr>
          <w:rFonts w:cs="Arial" w:hint="cs"/>
          <w:rtl/>
        </w:rPr>
        <w:t>סיבה שיש להקשיב לרב המקום</w:t>
      </w:r>
      <w:r w:rsidR="00C652D9">
        <w:rPr>
          <w:rFonts w:cs="Arial" w:hint="cs"/>
          <w:rtl/>
        </w:rPr>
        <w:t>,</w:t>
      </w:r>
      <w:r>
        <w:rPr>
          <w:rFonts w:cs="Arial" w:hint="cs"/>
          <w:rtl/>
        </w:rPr>
        <w:t xml:space="preserve"> נוהגת מכח קבלת הציבור.</w:t>
      </w:r>
      <w:r w:rsidR="005C163F">
        <w:rPr>
          <w:rFonts w:cs="Arial" w:hint="cs"/>
          <w:rtl/>
        </w:rPr>
        <w:t xml:space="preserve"> כלומר, </w:t>
      </w:r>
      <w:r w:rsidR="00545A73">
        <w:rPr>
          <w:rFonts w:cs="Arial" w:hint="cs"/>
          <w:rtl/>
        </w:rPr>
        <w:t>חז''ל חידשו שמותר לאדם לבחור לעצמו רב שיכריע בשבילו את הספק</w:t>
      </w:r>
      <w:r w:rsidR="00B344CD">
        <w:rPr>
          <w:rFonts w:cs="Arial" w:hint="cs"/>
          <w:rtl/>
        </w:rPr>
        <w:t xml:space="preserve">, כשם שלעיתים הולכים אחר רוב הפוסקים כיוון שבמקרה זה אין ספק, הוא הדין כאן. יש להעיר, שיתכן שגם הרשב''א במידה מסוימת יודה בזמן הזה לשיטה זו, כאשר אנשים הולכים אחר </w:t>
      </w:r>
      <w:r w:rsidR="001F2E9D">
        <w:rPr>
          <w:rFonts w:cs="Arial" w:hint="cs"/>
          <w:rtl/>
        </w:rPr>
        <w:t>פוסקים</w:t>
      </w:r>
      <w:r w:rsidR="00B344CD">
        <w:rPr>
          <w:rFonts w:cs="Arial" w:hint="cs"/>
          <w:rtl/>
        </w:rPr>
        <w:t xml:space="preserve"> רבים.</w:t>
      </w:r>
    </w:p>
    <w:p w14:paraId="7FC48C16" w14:textId="7BE17EC0" w:rsidR="00662D43" w:rsidRDefault="00662D43" w:rsidP="00662D43">
      <w:pPr>
        <w:rPr>
          <w:u w:val="single"/>
          <w:rtl/>
        </w:rPr>
      </w:pPr>
      <w:r>
        <w:rPr>
          <w:rFonts w:hint="cs"/>
          <w:u w:val="single"/>
          <w:rtl/>
        </w:rPr>
        <w:t>בזמן הזה</w:t>
      </w:r>
    </w:p>
    <w:p w14:paraId="48AC8019" w14:textId="19EBEDDB" w:rsidR="0068626B" w:rsidRDefault="00662D43" w:rsidP="00B344CD">
      <w:pPr>
        <w:rPr>
          <w:sz w:val="24"/>
          <w:szCs w:val="24"/>
          <w:rtl/>
        </w:rPr>
      </w:pPr>
      <w:r>
        <w:rPr>
          <w:rFonts w:hint="cs"/>
          <w:rtl/>
        </w:rPr>
        <w:t xml:space="preserve">האם הכלל נוהג גם בזמן הזה? </w:t>
      </w:r>
      <w:r w:rsidR="0068626B">
        <w:rPr>
          <w:rFonts w:hint="cs"/>
          <w:rtl/>
        </w:rPr>
        <w:t>נחלקו בכך הפוסקים</w:t>
      </w:r>
      <w:r w:rsidR="00E0250D" w:rsidRPr="00E0250D">
        <w:rPr>
          <w:rFonts w:hint="cs"/>
          <w:sz w:val="24"/>
          <w:szCs w:val="24"/>
          <w:rtl/>
        </w:rPr>
        <w:t>,</w:t>
      </w:r>
      <w:r w:rsidR="00E0250D">
        <w:rPr>
          <w:rFonts w:hint="cs"/>
          <w:sz w:val="24"/>
          <w:szCs w:val="24"/>
          <w:rtl/>
        </w:rPr>
        <w:t xml:space="preserve"> </w:t>
      </w:r>
      <w:r w:rsidR="00E0250D" w:rsidRPr="00E0250D">
        <w:rPr>
          <w:rFonts w:hint="cs"/>
          <w:rtl/>
        </w:rPr>
        <w:t xml:space="preserve">מחלוקת </w:t>
      </w:r>
      <w:r w:rsidR="00B344CD">
        <w:rPr>
          <w:rFonts w:hint="cs"/>
          <w:rtl/>
        </w:rPr>
        <w:t>שאפשר ו</w:t>
      </w:r>
      <w:r w:rsidR="00E0250D">
        <w:rPr>
          <w:rFonts w:hint="cs"/>
          <w:rtl/>
        </w:rPr>
        <w:t>קשורה למחלוקת שראינו לעיל</w:t>
      </w:r>
      <w:r w:rsidR="00B344CD">
        <w:rPr>
          <w:rFonts w:hint="cs"/>
          <w:rtl/>
        </w:rPr>
        <w:t>:</w:t>
      </w:r>
    </w:p>
    <w:p w14:paraId="7C316AD4" w14:textId="35B93B0D" w:rsidR="0011092A" w:rsidRDefault="0068626B" w:rsidP="00CF186C">
      <w:pPr>
        <w:rPr>
          <w:rtl/>
        </w:rPr>
      </w:pPr>
      <w:r w:rsidRPr="0068626B">
        <w:rPr>
          <w:rFonts w:hint="cs"/>
          <w:rtl/>
        </w:rPr>
        <w:t xml:space="preserve">א. </w:t>
      </w:r>
      <w:r w:rsidRPr="00AE2DBE">
        <w:rPr>
          <w:rFonts w:hint="cs"/>
          <w:b/>
          <w:bCs/>
          <w:rtl/>
        </w:rPr>
        <w:t>המהר''י בן לב</w:t>
      </w:r>
      <w:r w:rsidRPr="0068626B">
        <w:rPr>
          <w:rFonts w:hint="cs"/>
          <w:rtl/>
        </w:rPr>
        <w:t xml:space="preserve"> </w:t>
      </w:r>
      <w:r w:rsidR="00AE2DBE">
        <w:rPr>
          <w:rFonts w:hint="cs"/>
          <w:sz w:val="18"/>
          <w:szCs w:val="18"/>
          <w:rtl/>
        </w:rPr>
        <w:t xml:space="preserve">(א, עה) </w:t>
      </w:r>
      <w:r w:rsidRPr="0068626B">
        <w:rPr>
          <w:rFonts w:hint="cs"/>
          <w:rtl/>
        </w:rPr>
        <w:t>סבר</w:t>
      </w:r>
      <w:r w:rsidR="00CF186C">
        <w:rPr>
          <w:rFonts w:hint="cs"/>
          <w:rtl/>
        </w:rPr>
        <w:t xml:space="preserve">, </w:t>
      </w:r>
      <w:r w:rsidR="00E0250D">
        <w:rPr>
          <w:rFonts w:hint="cs"/>
          <w:rtl/>
        </w:rPr>
        <w:t>שהטעם שיש להקשיב לרב המקום</w:t>
      </w:r>
      <w:r w:rsidR="00C652D9">
        <w:rPr>
          <w:rFonts w:hint="cs"/>
          <w:rtl/>
        </w:rPr>
        <w:t>,</w:t>
      </w:r>
      <w:r w:rsidR="00E0250D">
        <w:rPr>
          <w:rFonts w:hint="cs"/>
          <w:rtl/>
        </w:rPr>
        <w:t xml:space="preserve"> נובעת מ</w:t>
      </w:r>
      <w:r w:rsidR="00963C54">
        <w:rPr>
          <w:rFonts w:hint="cs"/>
          <w:rtl/>
        </w:rPr>
        <w:t>ה</w:t>
      </w:r>
      <w:r w:rsidR="00E0250D">
        <w:rPr>
          <w:rFonts w:hint="cs"/>
          <w:rtl/>
        </w:rPr>
        <w:t xml:space="preserve">חובה לכבדו. משום כך </w:t>
      </w:r>
      <w:r w:rsidR="00963C54">
        <w:rPr>
          <w:rFonts w:hint="cs"/>
          <w:rtl/>
        </w:rPr>
        <w:t>טען</w:t>
      </w:r>
      <w:r w:rsidR="00E0250D">
        <w:rPr>
          <w:rFonts w:hint="cs"/>
          <w:rtl/>
        </w:rPr>
        <w:t xml:space="preserve">, </w:t>
      </w:r>
      <w:r w:rsidR="00CF186C">
        <w:rPr>
          <w:rFonts w:hint="cs"/>
          <w:rtl/>
        </w:rPr>
        <w:t xml:space="preserve">שהחובה להקשיב </w:t>
      </w:r>
      <w:r w:rsidR="00C652D9">
        <w:rPr>
          <w:rFonts w:hint="cs"/>
          <w:rtl/>
        </w:rPr>
        <w:t>לו</w:t>
      </w:r>
      <w:r w:rsidR="00CF186C">
        <w:rPr>
          <w:rFonts w:hint="cs"/>
          <w:rtl/>
        </w:rPr>
        <w:t xml:space="preserve"> בכל פסקיו</w:t>
      </w:r>
      <w:r w:rsidRPr="0068626B">
        <w:rPr>
          <w:rFonts w:hint="cs"/>
          <w:rtl/>
        </w:rPr>
        <w:t xml:space="preserve"> </w:t>
      </w:r>
      <w:r>
        <w:rPr>
          <w:rFonts w:hint="cs"/>
          <w:rtl/>
        </w:rPr>
        <w:t>נהג רק בעבר</w:t>
      </w:r>
      <w:r w:rsidR="00CF186C">
        <w:rPr>
          <w:rFonts w:hint="cs"/>
          <w:rtl/>
        </w:rPr>
        <w:t xml:space="preserve">, </w:t>
      </w:r>
      <w:r w:rsidR="001D439A">
        <w:rPr>
          <w:rFonts w:hint="cs"/>
          <w:rtl/>
        </w:rPr>
        <w:t>ש</w:t>
      </w:r>
      <w:r>
        <w:rPr>
          <w:rFonts w:hint="cs"/>
          <w:rtl/>
        </w:rPr>
        <w:t xml:space="preserve">כל קהילה </w:t>
      </w:r>
      <w:r w:rsidR="000A361B">
        <w:rPr>
          <w:rFonts w:hint="cs"/>
          <w:rtl/>
        </w:rPr>
        <w:t xml:space="preserve">עמדה </w:t>
      </w:r>
      <w:r w:rsidR="00CF186C">
        <w:rPr>
          <w:rFonts w:hint="cs"/>
          <w:rtl/>
        </w:rPr>
        <w:t xml:space="preserve">לעצמה, </w:t>
      </w:r>
      <w:r w:rsidR="001D439A">
        <w:rPr>
          <w:rFonts w:hint="cs"/>
          <w:rtl/>
        </w:rPr>
        <w:t>ו</w:t>
      </w:r>
      <w:r w:rsidR="00CF186C">
        <w:rPr>
          <w:rFonts w:hint="cs"/>
          <w:rtl/>
        </w:rPr>
        <w:t xml:space="preserve">משום כך רב המקום היה הסמכות התורנית </w:t>
      </w:r>
      <w:r w:rsidR="00C652D9">
        <w:rPr>
          <w:rFonts w:hint="cs"/>
          <w:rtl/>
        </w:rPr>
        <w:t>שהיו חייבים</w:t>
      </w:r>
      <w:r w:rsidR="00CF186C">
        <w:rPr>
          <w:rFonts w:hint="cs"/>
          <w:rtl/>
        </w:rPr>
        <w:t xml:space="preserve"> בכבודו</w:t>
      </w:r>
      <w:r w:rsidR="003128B9">
        <w:rPr>
          <w:rFonts w:hint="cs"/>
          <w:rtl/>
        </w:rPr>
        <w:t>,</w:t>
      </w:r>
      <w:r w:rsidR="00D74989">
        <w:rPr>
          <w:rFonts w:hint="cs"/>
          <w:rtl/>
        </w:rPr>
        <w:t xml:space="preserve"> </w:t>
      </w:r>
      <w:r w:rsidR="00C652D9">
        <w:rPr>
          <w:rFonts w:hint="cs"/>
          <w:rtl/>
        </w:rPr>
        <w:t xml:space="preserve">והוא </w:t>
      </w:r>
      <w:r w:rsidR="00D74989">
        <w:rPr>
          <w:rFonts w:hint="cs"/>
          <w:rtl/>
        </w:rPr>
        <w:t xml:space="preserve">התווה </w:t>
      </w:r>
      <w:r w:rsidR="00C652D9">
        <w:rPr>
          <w:rFonts w:hint="cs"/>
          <w:rtl/>
        </w:rPr>
        <w:t>בפסקיו</w:t>
      </w:r>
      <w:r w:rsidR="00197605">
        <w:rPr>
          <w:rFonts w:hint="cs"/>
          <w:rtl/>
        </w:rPr>
        <w:t xml:space="preserve"> א</w:t>
      </w:r>
      <w:r w:rsidR="00D22370">
        <w:rPr>
          <w:rFonts w:hint="cs"/>
          <w:rtl/>
        </w:rPr>
        <w:t>ת</w:t>
      </w:r>
      <w:r w:rsidR="00D74989">
        <w:rPr>
          <w:rFonts w:hint="cs"/>
          <w:rtl/>
        </w:rPr>
        <w:t xml:space="preserve"> ניהול הקהילה</w:t>
      </w:r>
      <w:r w:rsidR="00C652D9">
        <w:rPr>
          <w:rFonts w:hint="cs"/>
          <w:rtl/>
        </w:rPr>
        <w:t>.</w:t>
      </w:r>
    </w:p>
    <w:p w14:paraId="635133ED" w14:textId="1FEE5376" w:rsidR="008351EC" w:rsidRDefault="00CF186C" w:rsidP="0011092A">
      <w:pPr>
        <w:rPr>
          <w:rtl/>
        </w:rPr>
      </w:pPr>
      <w:r>
        <w:rPr>
          <w:rFonts w:hint="cs"/>
          <w:rtl/>
        </w:rPr>
        <w:t xml:space="preserve">כיום, </w:t>
      </w:r>
      <w:r w:rsidR="00C652D9">
        <w:rPr>
          <w:rFonts w:hint="cs"/>
          <w:rtl/>
        </w:rPr>
        <w:t>כ</w:t>
      </w:r>
      <w:r>
        <w:rPr>
          <w:rFonts w:hint="cs"/>
          <w:rtl/>
        </w:rPr>
        <w:t>שבפועל יש קשר</w:t>
      </w:r>
      <w:r w:rsidRPr="00D74989">
        <w:rPr>
          <w:rFonts w:hint="cs"/>
          <w:sz w:val="18"/>
          <w:szCs w:val="18"/>
          <w:rtl/>
        </w:rPr>
        <w:t xml:space="preserve"> </w:t>
      </w:r>
      <w:r>
        <w:rPr>
          <w:rFonts w:hint="cs"/>
          <w:rtl/>
        </w:rPr>
        <w:t>לרבנים רבים</w:t>
      </w:r>
      <w:r w:rsidR="006258F4">
        <w:rPr>
          <w:rFonts w:hint="cs"/>
          <w:rtl/>
        </w:rPr>
        <w:t>,</w:t>
      </w:r>
      <w:r>
        <w:rPr>
          <w:rFonts w:hint="cs"/>
          <w:rtl/>
        </w:rPr>
        <w:t xml:space="preserve"> </w:t>
      </w:r>
      <w:r w:rsidR="0011092A">
        <w:rPr>
          <w:rFonts w:hint="cs"/>
          <w:rtl/>
        </w:rPr>
        <w:t xml:space="preserve">כבר אי אפשר להתעלם מדעותיהם - </w:t>
      </w:r>
      <w:r w:rsidR="0057713A">
        <w:rPr>
          <w:rFonts w:hint="cs"/>
          <w:rtl/>
        </w:rPr>
        <w:t xml:space="preserve">לכן </w:t>
      </w:r>
      <w:r w:rsidR="00945503">
        <w:rPr>
          <w:rFonts w:hint="cs"/>
          <w:rtl/>
        </w:rPr>
        <w:t xml:space="preserve">יש לחזור לכללים הרגילים אותם </w:t>
      </w:r>
      <w:r w:rsidR="00D342E9">
        <w:rPr>
          <w:rFonts w:hint="cs"/>
          <w:rtl/>
        </w:rPr>
        <w:t xml:space="preserve">נראה </w:t>
      </w:r>
      <w:r w:rsidR="0011092A">
        <w:rPr>
          <w:rFonts w:hint="cs"/>
          <w:rtl/>
        </w:rPr>
        <w:t xml:space="preserve">בהרחבה </w:t>
      </w:r>
      <w:r w:rsidR="00D342E9">
        <w:rPr>
          <w:rFonts w:hint="cs"/>
          <w:rtl/>
        </w:rPr>
        <w:t>בהמשך</w:t>
      </w:r>
      <w:r w:rsidR="00531955">
        <w:rPr>
          <w:rFonts w:hint="cs"/>
          <w:rtl/>
        </w:rPr>
        <w:t xml:space="preserve">, </w:t>
      </w:r>
      <w:r w:rsidR="00C652D9">
        <w:rPr>
          <w:rFonts w:hint="cs"/>
          <w:rtl/>
        </w:rPr>
        <w:t xml:space="preserve">כשיש </w:t>
      </w:r>
      <w:r w:rsidR="00531955">
        <w:rPr>
          <w:rFonts w:hint="cs"/>
          <w:rtl/>
        </w:rPr>
        <w:t xml:space="preserve">ספק </w:t>
      </w:r>
      <w:r w:rsidR="00D342E9">
        <w:rPr>
          <w:rFonts w:hint="cs"/>
          <w:rtl/>
        </w:rPr>
        <w:t>בהלכה מ</w:t>
      </w:r>
      <w:r w:rsidR="00531955">
        <w:rPr>
          <w:rFonts w:hint="cs"/>
          <w:rtl/>
        </w:rPr>
        <w:t xml:space="preserve">דאורייתא יש </w:t>
      </w:r>
      <w:r w:rsidR="0011092A">
        <w:rPr>
          <w:rFonts w:hint="cs"/>
          <w:rtl/>
        </w:rPr>
        <w:t>להחמיר</w:t>
      </w:r>
      <w:r w:rsidR="00531955">
        <w:rPr>
          <w:rFonts w:hint="cs"/>
          <w:rtl/>
        </w:rPr>
        <w:t>, ו</w:t>
      </w:r>
      <w:r w:rsidR="00C95D9F">
        <w:rPr>
          <w:rFonts w:hint="cs"/>
          <w:rtl/>
        </w:rPr>
        <w:t>ב</w:t>
      </w:r>
      <w:r w:rsidR="00531955">
        <w:rPr>
          <w:rFonts w:hint="cs"/>
          <w:rtl/>
        </w:rPr>
        <w:t xml:space="preserve">דרבנן </w:t>
      </w:r>
      <w:r w:rsidR="00572424">
        <w:rPr>
          <w:rFonts w:hint="cs"/>
          <w:rtl/>
        </w:rPr>
        <w:t>להקל</w:t>
      </w:r>
      <w:r w:rsidR="00531955">
        <w:rPr>
          <w:rFonts w:hint="cs"/>
          <w:rtl/>
        </w:rPr>
        <w:t xml:space="preserve">. </w:t>
      </w:r>
      <w:r w:rsidR="008351EC">
        <w:rPr>
          <w:rFonts w:hint="cs"/>
          <w:rtl/>
        </w:rPr>
        <w:t>רק בדיני ממונות, שבהם ניתן לומר 'קים לי'</w:t>
      </w:r>
      <w:r w:rsidR="0011092A">
        <w:rPr>
          <w:rFonts w:hint="cs"/>
          <w:rtl/>
        </w:rPr>
        <w:t xml:space="preserve"> </w:t>
      </w:r>
      <w:r w:rsidR="0011092A" w:rsidRPr="00B42BC8">
        <w:rPr>
          <w:rFonts w:hint="cs"/>
          <w:sz w:val="18"/>
          <w:szCs w:val="18"/>
          <w:rtl/>
        </w:rPr>
        <w:t>(</w:t>
      </w:r>
      <w:r w:rsidR="008351EC" w:rsidRPr="00B42BC8">
        <w:rPr>
          <w:rFonts w:hint="cs"/>
          <w:sz w:val="18"/>
          <w:szCs w:val="18"/>
          <w:rtl/>
        </w:rPr>
        <w:t xml:space="preserve">כלומר שמותר לומר </w:t>
      </w:r>
      <w:r w:rsidR="009F6691">
        <w:rPr>
          <w:rFonts w:hint="cs"/>
          <w:sz w:val="18"/>
          <w:szCs w:val="18"/>
          <w:rtl/>
        </w:rPr>
        <w:t>ש</w:t>
      </w:r>
      <w:r w:rsidR="008351EC" w:rsidRPr="00B42BC8">
        <w:rPr>
          <w:rFonts w:hint="cs"/>
          <w:sz w:val="18"/>
          <w:szCs w:val="18"/>
          <w:rtl/>
        </w:rPr>
        <w:t>דעת</w:t>
      </w:r>
      <w:r w:rsidR="009F6691">
        <w:rPr>
          <w:rFonts w:hint="cs"/>
          <w:sz w:val="18"/>
          <w:szCs w:val="18"/>
          <w:rtl/>
        </w:rPr>
        <w:t>ם</w:t>
      </w:r>
      <w:r w:rsidR="008351EC" w:rsidRPr="00B42BC8">
        <w:rPr>
          <w:rFonts w:hint="cs"/>
          <w:sz w:val="18"/>
          <w:szCs w:val="18"/>
          <w:rtl/>
        </w:rPr>
        <w:t xml:space="preserve"> </w:t>
      </w:r>
      <w:r w:rsidR="009F6691">
        <w:rPr>
          <w:rFonts w:hint="cs"/>
          <w:sz w:val="18"/>
          <w:szCs w:val="18"/>
          <w:rtl/>
        </w:rPr>
        <w:t>כ</w:t>
      </w:r>
      <w:r w:rsidR="008351EC" w:rsidRPr="00B42BC8">
        <w:rPr>
          <w:rFonts w:hint="cs"/>
          <w:sz w:val="18"/>
          <w:szCs w:val="18"/>
          <w:rtl/>
        </w:rPr>
        <w:t>פוסק פלוני</w:t>
      </w:r>
      <w:r w:rsidR="0011092A" w:rsidRPr="00B42BC8">
        <w:rPr>
          <w:rFonts w:hint="cs"/>
          <w:sz w:val="18"/>
          <w:szCs w:val="18"/>
          <w:rtl/>
        </w:rPr>
        <w:t>)</w:t>
      </w:r>
      <w:r w:rsidR="008351EC">
        <w:rPr>
          <w:rFonts w:hint="cs"/>
          <w:rtl/>
        </w:rPr>
        <w:t>, ניתן לומר שהדעה ה</w:t>
      </w:r>
      <w:r w:rsidR="00C652D9">
        <w:rPr>
          <w:rFonts w:hint="cs"/>
          <w:rtl/>
        </w:rPr>
        <w:t xml:space="preserve">עיקרית </w:t>
      </w:r>
      <w:r w:rsidR="008351EC">
        <w:rPr>
          <w:rFonts w:hint="cs"/>
          <w:rtl/>
        </w:rPr>
        <w:t>אחריה הולכים היא דעתו של רב העיר</w:t>
      </w:r>
      <w:r w:rsidR="0011092A">
        <w:rPr>
          <w:rFonts w:hint="cs"/>
          <w:rtl/>
        </w:rPr>
        <w:t xml:space="preserve"> </w:t>
      </w:r>
      <w:r w:rsidR="008351EC">
        <w:rPr>
          <w:rFonts w:hint="cs"/>
          <w:rtl/>
        </w:rPr>
        <w:t>ולהתעלם משאר הדעות</w:t>
      </w:r>
      <w:r w:rsidR="006258F4">
        <w:rPr>
          <w:rFonts w:hint="cs"/>
          <w:rtl/>
        </w:rPr>
        <w:t>.</w:t>
      </w:r>
      <w:r w:rsidR="008351EC">
        <w:rPr>
          <w:rFonts w:hint="cs"/>
          <w:rtl/>
        </w:rPr>
        <w:t xml:space="preserve"> ובלשונו:</w:t>
      </w:r>
    </w:p>
    <w:p w14:paraId="1A6E8388" w14:textId="75AC68BE" w:rsidR="00397BD4" w:rsidRDefault="008E4118" w:rsidP="00922D22">
      <w:pPr>
        <w:spacing w:after="40"/>
        <w:ind w:left="720"/>
        <w:rPr>
          <w:rtl/>
        </w:rPr>
      </w:pPr>
      <w:r>
        <w:rPr>
          <w:rFonts w:cs="Arial" w:hint="cs"/>
          <w:rtl/>
        </w:rPr>
        <w:t>''</w:t>
      </w:r>
      <w:r w:rsidRPr="008E4118">
        <w:rPr>
          <w:rFonts w:cs="Arial"/>
          <w:rtl/>
        </w:rPr>
        <w:t>ואחר העיון והחקירה השיבותי</w:t>
      </w:r>
      <w:r w:rsidR="0021578A">
        <w:rPr>
          <w:rFonts w:cs="Arial" w:hint="cs"/>
          <w:rtl/>
        </w:rPr>
        <w:t xml:space="preserve">, </w:t>
      </w:r>
      <w:r w:rsidRPr="008E4118">
        <w:rPr>
          <w:rFonts w:cs="Arial"/>
          <w:rtl/>
        </w:rPr>
        <w:t>דדוקא בדיני ממונות יש יכולת בידם לתקן</w:t>
      </w:r>
      <w:r w:rsidR="00324A3F">
        <w:rPr>
          <w:rFonts w:cs="Arial" w:hint="cs"/>
          <w:rtl/>
        </w:rPr>
        <w:t xml:space="preserve">, </w:t>
      </w:r>
      <w:r w:rsidRPr="008E4118">
        <w:rPr>
          <w:rFonts w:cs="Arial"/>
          <w:rtl/>
        </w:rPr>
        <w:t>אבל בדיני האיסור והמותר לאו כל כמינייהו דבני העיר</w:t>
      </w:r>
      <w:r w:rsidR="00324A3F">
        <w:rPr>
          <w:rFonts w:cs="Arial" w:hint="cs"/>
          <w:rtl/>
        </w:rPr>
        <w:t xml:space="preserve">, </w:t>
      </w:r>
      <w:r w:rsidRPr="008E4118">
        <w:rPr>
          <w:rFonts w:cs="Arial"/>
          <w:rtl/>
        </w:rPr>
        <w:t>דבשל תורה הלך אחר המחמיר או בתר רובא לקולא</w:t>
      </w:r>
      <w:r>
        <w:rPr>
          <w:rFonts w:cs="Arial" w:hint="cs"/>
          <w:rtl/>
        </w:rPr>
        <w:t xml:space="preserve">, </w:t>
      </w:r>
      <w:r w:rsidRPr="008E4118">
        <w:rPr>
          <w:rFonts w:cs="Arial"/>
          <w:rtl/>
        </w:rPr>
        <w:t>דדו</w:t>
      </w:r>
      <w:r>
        <w:rPr>
          <w:rFonts w:cs="Arial" w:hint="cs"/>
          <w:rtl/>
        </w:rPr>
        <w:t>ו</w:t>
      </w:r>
      <w:r w:rsidRPr="008E4118">
        <w:rPr>
          <w:rFonts w:cs="Arial"/>
          <w:rtl/>
        </w:rPr>
        <w:t>קא בימיהם שבכל עיר היה להם רב אחד שהיה מלמדם היו מחוייבים בכבוד מלמדם</w:t>
      </w:r>
      <w:r w:rsidR="00324A3F">
        <w:rPr>
          <w:rFonts w:cs="Arial" w:hint="cs"/>
          <w:rtl/>
        </w:rPr>
        <w:t>,</w:t>
      </w:r>
      <w:r w:rsidRPr="008E4118">
        <w:rPr>
          <w:rFonts w:cs="Arial"/>
          <w:rtl/>
        </w:rPr>
        <w:t xml:space="preserve"> אבל אנו בזמנים האלו כל הפוסקים והרבנים אשר מימיהם אנו שותים הם רבותינו</w:t>
      </w:r>
      <w:r>
        <w:rPr>
          <w:rFonts w:cs="Arial" w:hint="cs"/>
          <w:rtl/>
        </w:rPr>
        <w:t>.</w:t>
      </w:r>
      <w:r w:rsidR="00864171">
        <w:rPr>
          <w:rFonts w:hint="cs"/>
          <w:rtl/>
        </w:rPr>
        <w:t>''</w:t>
      </w:r>
    </w:p>
    <w:p w14:paraId="6BC50E37" w14:textId="6D683760" w:rsidR="001A3D8B" w:rsidRDefault="003E31EB" w:rsidP="00922D22">
      <w:pPr>
        <w:spacing w:after="40"/>
        <w:rPr>
          <w:rtl/>
        </w:rPr>
      </w:pPr>
      <w:r>
        <w:rPr>
          <w:rFonts w:hint="cs"/>
          <w:rtl/>
        </w:rPr>
        <w:t xml:space="preserve">ב. </w:t>
      </w:r>
      <w:r w:rsidR="001A3D8B">
        <w:rPr>
          <w:rFonts w:hint="cs"/>
          <w:rtl/>
        </w:rPr>
        <w:t xml:space="preserve">בפועל, המנהג הרווח הוא שסמכות המרא דאתרא נוהגת גם בדיני איסורים, ולכן </w:t>
      </w:r>
      <w:r w:rsidR="00163BFE">
        <w:rPr>
          <w:rFonts w:hint="cs"/>
          <w:rtl/>
        </w:rPr>
        <w:t>לדוגמא</w:t>
      </w:r>
      <w:r w:rsidR="001A3D8B">
        <w:rPr>
          <w:rFonts w:hint="cs"/>
          <w:rtl/>
        </w:rPr>
        <w:t xml:space="preserve"> רב יישוב מתווה את דרך הנהגת היישוב בשנת השמיטה, ולא מתחשבים בדעות אחרות. </w:t>
      </w:r>
      <w:r w:rsidR="00545A73">
        <w:rPr>
          <w:rFonts w:hint="cs"/>
          <w:rtl/>
        </w:rPr>
        <w:t xml:space="preserve">כאמור </w:t>
      </w:r>
      <w:r w:rsidR="001A3D8B">
        <w:rPr>
          <w:rFonts w:hint="cs"/>
          <w:rtl/>
        </w:rPr>
        <w:t xml:space="preserve">הסיבה לכך שהולכים אחר דעתו היא, </w:t>
      </w:r>
      <w:r w:rsidR="00545A73">
        <w:rPr>
          <w:rFonts w:hint="cs"/>
          <w:rtl/>
        </w:rPr>
        <w:t>ש</w:t>
      </w:r>
      <w:r w:rsidR="001A3D8B">
        <w:rPr>
          <w:rFonts w:hint="cs"/>
          <w:rtl/>
        </w:rPr>
        <w:t xml:space="preserve">כך רצון </w:t>
      </w:r>
      <w:r w:rsidR="005C163F">
        <w:rPr>
          <w:rFonts w:hint="cs"/>
          <w:rtl/>
        </w:rPr>
        <w:t xml:space="preserve">והחלטת </w:t>
      </w:r>
      <w:r w:rsidR="001A3D8B">
        <w:rPr>
          <w:rFonts w:hint="cs"/>
          <w:rtl/>
        </w:rPr>
        <w:t xml:space="preserve">הציבור, כשם </w:t>
      </w:r>
      <w:r w:rsidR="005B440E">
        <w:rPr>
          <w:rFonts w:hint="cs"/>
          <w:rtl/>
        </w:rPr>
        <w:t>ש</w:t>
      </w:r>
      <w:r w:rsidR="001A3D8B">
        <w:rPr>
          <w:rFonts w:hint="cs"/>
          <w:rtl/>
        </w:rPr>
        <w:t>מזכירות יישוב מוסמכת מכח הסכמת חברי היישוב לקבל החלטות בענייני הציבור.</w:t>
      </w:r>
    </w:p>
    <w:p w14:paraId="300066BF" w14:textId="534B030A" w:rsidR="00E0250D" w:rsidRPr="009B282B" w:rsidRDefault="001A3D8B" w:rsidP="00922D22">
      <w:pPr>
        <w:spacing w:after="40"/>
        <w:rPr>
          <w:rtl/>
        </w:rPr>
      </w:pPr>
      <w:r w:rsidRPr="00E24467">
        <w:rPr>
          <w:rFonts w:hint="cs"/>
          <w:b/>
          <w:bCs/>
          <w:rtl/>
        </w:rPr>
        <w:t>מצד אחד</w:t>
      </w:r>
      <w:r>
        <w:rPr>
          <w:rFonts w:hint="cs"/>
          <w:rtl/>
        </w:rPr>
        <w:t xml:space="preserve"> תפיסה זו מרחיבה את סמכות הרב, כיוון שיש ביכולתו לפסוק גם בדיני איסורים</w:t>
      </w:r>
      <w:r w:rsidR="00E24467">
        <w:rPr>
          <w:rFonts w:hint="cs"/>
          <w:rtl/>
        </w:rPr>
        <w:t>.</w:t>
      </w:r>
      <w:r>
        <w:rPr>
          <w:rFonts w:hint="cs"/>
          <w:rtl/>
        </w:rPr>
        <w:t xml:space="preserve"> </w:t>
      </w:r>
      <w:r w:rsidRPr="00E24467">
        <w:rPr>
          <w:rFonts w:hint="cs"/>
          <w:b/>
          <w:bCs/>
          <w:rtl/>
        </w:rPr>
        <w:t>מצד שני</w:t>
      </w:r>
      <w:r w:rsidR="0091620C">
        <w:rPr>
          <w:rFonts w:hint="cs"/>
          <w:rtl/>
        </w:rPr>
        <w:t xml:space="preserve"> לא בכל עניין סמכות הרב להתערב</w:t>
      </w:r>
      <w:r w:rsidR="0047736B">
        <w:rPr>
          <w:rFonts w:hint="cs"/>
          <w:rtl/>
        </w:rPr>
        <w:t>, אלא רק בעניינים שהסמיכו אותו לכך</w:t>
      </w:r>
      <w:r w:rsidR="006F4467">
        <w:rPr>
          <w:rFonts w:hint="cs"/>
          <w:rtl/>
        </w:rPr>
        <w:t xml:space="preserve"> </w:t>
      </w:r>
      <w:r w:rsidR="006F4467">
        <w:rPr>
          <w:rFonts w:hint="cs"/>
          <w:sz w:val="18"/>
          <w:szCs w:val="18"/>
          <w:rtl/>
        </w:rPr>
        <w:t>(</w:t>
      </w:r>
      <w:r w:rsidR="00A71CAA">
        <w:rPr>
          <w:rFonts w:hint="cs"/>
          <w:sz w:val="18"/>
          <w:szCs w:val="18"/>
          <w:rtl/>
        </w:rPr>
        <w:t>וכן</w:t>
      </w:r>
      <w:r w:rsidR="006F4467">
        <w:rPr>
          <w:rFonts w:hint="cs"/>
          <w:sz w:val="18"/>
          <w:szCs w:val="18"/>
          <w:rtl/>
        </w:rPr>
        <w:t xml:space="preserve"> אדם בביתו יכול לנהוג </w:t>
      </w:r>
      <w:r w:rsidR="005B440E">
        <w:rPr>
          <w:rFonts w:hint="cs"/>
          <w:sz w:val="18"/>
          <w:szCs w:val="18"/>
          <w:rtl/>
        </w:rPr>
        <w:t xml:space="preserve">לפי </w:t>
      </w:r>
      <w:r w:rsidR="006F4467">
        <w:rPr>
          <w:rFonts w:hint="cs"/>
          <w:sz w:val="18"/>
          <w:szCs w:val="18"/>
          <w:rtl/>
        </w:rPr>
        <w:t>איזה רב שירצה)</w:t>
      </w:r>
      <w:r w:rsidR="0047736B">
        <w:rPr>
          <w:rFonts w:hint="cs"/>
          <w:rtl/>
        </w:rPr>
        <w:t>. כמו כן</w:t>
      </w:r>
      <w:r w:rsidR="0091620C">
        <w:rPr>
          <w:rFonts w:hint="cs"/>
          <w:rtl/>
        </w:rPr>
        <w:t xml:space="preserve">, </w:t>
      </w:r>
      <w:r w:rsidR="002B7B01" w:rsidRPr="002B7B01">
        <w:rPr>
          <w:rFonts w:hint="cs"/>
          <w:rtl/>
        </w:rPr>
        <w:t xml:space="preserve">וודאי </w:t>
      </w:r>
      <w:r w:rsidR="00FD50B8">
        <w:rPr>
          <w:rFonts w:hint="cs"/>
          <w:rtl/>
        </w:rPr>
        <w:t>ש</w:t>
      </w:r>
      <w:r w:rsidR="002B7B01" w:rsidRPr="002B7B01">
        <w:rPr>
          <w:rFonts w:hint="cs"/>
          <w:rtl/>
        </w:rPr>
        <w:t>אין</w:t>
      </w:r>
      <w:r w:rsidR="0091620C">
        <w:rPr>
          <w:rFonts w:hint="cs"/>
          <w:rtl/>
        </w:rPr>
        <w:t xml:space="preserve"> </w:t>
      </w:r>
      <w:r w:rsidR="002B7B01" w:rsidRPr="002B7B01">
        <w:rPr>
          <w:rFonts w:hint="cs"/>
          <w:rtl/>
        </w:rPr>
        <w:t xml:space="preserve">לרב עיר או </w:t>
      </w:r>
      <w:r w:rsidR="0047736B">
        <w:rPr>
          <w:rFonts w:hint="cs"/>
          <w:rtl/>
        </w:rPr>
        <w:t>ל</w:t>
      </w:r>
      <w:r w:rsidR="002B7B01" w:rsidRPr="002B7B01">
        <w:rPr>
          <w:rFonts w:hint="cs"/>
          <w:rtl/>
        </w:rPr>
        <w:t>רב הראשי לישראל וכדומה סמכות של מרא דאתרא</w:t>
      </w:r>
      <w:r w:rsidR="00515E44">
        <w:rPr>
          <w:rFonts w:hint="cs"/>
          <w:rtl/>
        </w:rPr>
        <w:t xml:space="preserve"> המחייבת בכל עניין</w:t>
      </w:r>
      <w:r w:rsidR="0047736B">
        <w:rPr>
          <w:rFonts w:hint="cs"/>
          <w:rtl/>
        </w:rPr>
        <w:t xml:space="preserve">, כיוון שמדובר בהחלטות פוליטיות ולא </w:t>
      </w:r>
      <w:r w:rsidR="00C46A83">
        <w:rPr>
          <w:rFonts w:hint="cs"/>
          <w:rtl/>
        </w:rPr>
        <w:t>ב</w:t>
      </w:r>
      <w:r w:rsidR="0047736B">
        <w:rPr>
          <w:rFonts w:hint="cs"/>
          <w:rtl/>
        </w:rPr>
        <w:t xml:space="preserve">הסכמת הציבור. </w:t>
      </w:r>
    </w:p>
    <w:p w14:paraId="523B6660" w14:textId="7BB4B2E8" w:rsidR="00916250" w:rsidRDefault="00785E56" w:rsidP="00922D22">
      <w:pPr>
        <w:spacing w:after="40"/>
        <w:rPr>
          <w:rtl/>
        </w:rPr>
      </w:pPr>
      <w:r>
        <w:rPr>
          <w:rFonts w:hint="cs"/>
          <w:b/>
          <w:bCs/>
          <w:u w:val="single"/>
          <w:rtl/>
        </w:rPr>
        <w:t>הליכה על פי הרוב</w:t>
      </w:r>
      <w:r w:rsidR="00916250">
        <w:rPr>
          <w:rFonts w:hint="cs"/>
          <w:rtl/>
        </w:rPr>
        <w:t xml:space="preserve">  </w:t>
      </w:r>
    </w:p>
    <w:p w14:paraId="178406F5" w14:textId="0883A191" w:rsidR="00D53056" w:rsidRDefault="00192A75">
      <w:pPr>
        <w:rPr>
          <w:rtl/>
        </w:rPr>
      </w:pPr>
      <w:r>
        <w:rPr>
          <w:rFonts w:hint="cs"/>
          <w:rtl/>
        </w:rPr>
        <w:t>עולה ש</w:t>
      </w:r>
      <w:r w:rsidR="00FD1288">
        <w:rPr>
          <w:rFonts w:hint="cs"/>
          <w:rtl/>
        </w:rPr>
        <w:t>כאשר אדם הולך על פי רב מסוים</w:t>
      </w:r>
      <w:r>
        <w:rPr>
          <w:rFonts w:hint="cs"/>
          <w:rtl/>
        </w:rPr>
        <w:t>,</w:t>
      </w:r>
      <w:r w:rsidR="00F42823">
        <w:rPr>
          <w:rFonts w:hint="cs"/>
          <w:rtl/>
        </w:rPr>
        <w:t xml:space="preserve"> אין </w:t>
      </w:r>
      <w:r w:rsidR="00AA75D7">
        <w:rPr>
          <w:rFonts w:hint="cs"/>
          <w:rtl/>
        </w:rPr>
        <w:t xml:space="preserve">משמעות לדעת שאר </w:t>
      </w:r>
      <w:r w:rsidR="00F42823">
        <w:rPr>
          <w:rFonts w:hint="cs"/>
          <w:rtl/>
        </w:rPr>
        <w:t>הפוסקים, ו</w:t>
      </w:r>
      <w:r w:rsidR="005B440E">
        <w:rPr>
          <w:rFonts w:hint="cs"/>
          <w:rtl/>
        </w:rPr>
        <w:t xml:space="preserve">כך </w:t>
      </w:r>
      <w:r w:rsidR="00F42823">
        <w:rPr>
          <w:rFonts w:hint="cs"/>
          <w:rtl/>
        </w:rPr>
        <w:t xml:space="preserve">אכן נוהגים רבים, שהולכים על פי פסקי המשנה ברורה, הרב עובדיה, הבן איש חי ועוד. </w:t>
      </w:r>
      <w:r w:rsidR="00D53056">
        <w:rPr>
          <w:rFonts w:hint="cs"/>
          <w:rtl/>
        </w:rPr>
        <w:t>אולם, לעיתים אין לאדם פוסק שהוא הולך בדרכו, או שמדובר בפוסק הלכה, שבוחר שלא להכריע כנגד דברי הראשונים (וכמו שראינו שעבר ביחס לבית יוסף). כיצד עליו לעשות במקרה מעין זה?</w:t>
      </w:r>
    </w:p>
    <w:p w14:paraId="15B3831B" w14:textId="72DE1EF3" w:rsidR="008F404A" w:rsidRDefault="00D53056">
      <w:pPr>
        <w:rPr>
          <w:rtl/>
        </w:rPr>
      </w:pPr>
      <w:r>
        <w:rPr>
          <w:rFonts w:hint="cs"/>
          <w:rtl/>
        </w:rPr>
        <w:t xml:space="preserve">במקרה זה, </w:t>
      </w:r>
      <w:r w:rsidR="00B710CE">
        <w:rPr>
          <w:rFonts w:hint="cs"/>
          <w:rtl/>
        </w:rPr>
        <w:t>יש</w:t>
      </w:r>
      <w:r>
        <w:rPr>
          <w:rFonts w:hint="cs"/>
          <w:rtl/>
        </w:rPr>
        <w:t xml:space="preserve"> שבחרו </w:t>
      </w:r>
      <w:r w:rsidR="004E2057">
        <w:rPr>
          <w:rFonts w:hint="cs"/>
          <w:rtl/>
        </w:rPr>
        <w:t xml:space="preserve">להכריע </w:t>
      </w:r>
      <w:r>
        <w:rPr>
          <w:rFonts w:hint="cs"/>
          <w:rtl/>
        </w:rPr>
        <w:t xml:space="preserve">על פי הרוב בעקבות הגמרא במסכת חולין </w:t>
      </w:r>
      <w:r>
        <w:rPr>
          <w:rFonts w:hint="cs"/>
          <w:sz w:val="18"/>
          <w:szCs w:val="18"/>
          <w:rtl/>
        </w:rPr>
        <w:t>(י ע''א)</w:t>
      </w:r>
      <w:r>
        <w:rPr>
          <w:rFonts w:hint="cs"/>
          <w:rtl/>
        </w:rPr>
        <w:t>. הגמרא לומדת מדברי הפסוק בפרשת</w:t>
      </w:r>
      <w:r w:rsidR="008024AA">
        <w:rPr>
          <w:rFonts w:hint="cs"/>
          <w:rtl/>
        </w:rPr>
        <w:t xml:space="preserve"> </w:t>
      </w:r>
      <w:r w:rsidR="001E1878">
        <w:rPr>
          <w:rFonts w:hint="cs"/>
          <w:rtl/>
        </w:rPr>
        <w:t xml:space="preserve">משפטים </w:t>
      </w:r>
      <w:r>
        <w:rPr>
          <w:rFonts w:hint="cs"/>
          <w:sz w:val="18"/>
          <w:szCs w:val="18"/>
          <w:rtl/>
        </w:rPr>
        <w:t>(</w:t>
      </w:r>
      <w:r w:rsidR="001E1878">
        <w:rPr>
          <w:rFonts w:hint="cs"/>
          <w:sz w:val="18"/>
          <w:szCs w:val="18"/>
          <w:rtl/>
        </w:rPr>
        <w:t>כג, ב</w:t>
      </w:r>
      <w:r>
        <w:rPr>
          <w:rFonts w:hint="cs"/>
          <w:sz w:val="18"/>
          <w:szCs w:val="18"/>
          <w:rtl/>
        </w:rPr>
        <w:t>)</w:t>
      </w:r>
      <w:r>
        <w:rPr>
          <w:rFonts w:hint="cs"/>
          <w:rtl/>
        </w:rPr>
        <w:t xml:space="preserve">, שבכל מקום יש ללכת על פי הרוב, וכן כותבת הגמרא </w:t>
      </w:r>
      <w:r w:rsidR="00825734">
        <w:rPr>
          <w:rFonts w:hint="cs"/>
          <w:rtl/>
        </w:rPr>
        <w:t>ב</w:t>
      </w:r>
      <w:r>
        <w:rPr>
          <w:rFonts w:hint="cs"/>
          <w:rtl/>
        </w:rPr>
        <w:t>ברכות</w:t>
      </w:r>
      <w:r w:rsidR="008F404A">
        <w:rPr>
          <w:rFonts w:hint="cs"/>
          <w:rtl/>
        </w:rPr>
        <w:t xml:space="preserve"> </w:t>
      </w:r>
      <w:r w:rsidR="008F404A">
        <w:rPr>
          <w:rFonts w:hint="cs"/>
          <w:sz w:val="18"/>
          <w:szCs w:val="18"/>
          <w:rtl/>
        </w:rPr>
        <w:t>(ט ע''א)</w:t>
      </w:r>
      <w:r w:rsidR="00FD3608">
        <w:rPr>
          <w:rFonts w:hint="cs"/>
          <w:rtl/>
        </w:rPr>
        <w:t xml:space="preserve"> - </w:t>
      </w:r>
      <w:r>
        <w:rPr>
          <w:rFonts w:hint="cs"/>
          <w:rtl/>
        </w:rPr>
        <w:t xml:space="preserve">שיחיד ורבים הלכה כרבים. ההיגיון </w:t>
      </w:r>
      <w:r w:rsidR="005B440E">
        <w:rPr>
          <w:rFonts w:hint="cs"/>
          <w:rtl/>
        </w:rPr>
        <w:t xml:space="preserve">העומד </w:t>
      </w:r>
      <w:r>
        <w:rPr>
          <w:rFonts w:hint="cs"/>
          <w:rtl/>
        </w:rPr>
        <w:t>בכלל זה, שמסתמא הרבים יידעו לכוון</w:t>
      </w:r>
      <w:r w:rsidR="008F404A">
        <w:rPr>
          <w:rFonts w:hint="cs"/>
          <w:rtl/>
        </w:rPr>
        <w:t xml:space="preserve"> לאמת יותר מהיחיד. אלא, </w:t>
      </w:r>
      <w:r w:rsidR="00192FDF">
        <w:rPr>
          <w:rFonts w:hint="cs"/>
          <w:rtl/>
        </w:rPr>
        <w:t>ש</w:t>
      </w:r>
      <w:r w:rsidR="008F404A">
        <w:rPr>
          <w:rFonts w:hint="cs"/>
          <w:rtl/>
        </w:rPr>
        <w:t>למעשה</w:t>
      </w:r>
      <w:r w:rsidR="00192FDF">
        <w:rPr>
          <w:rFonts w:hint="cs"/>
          <w:rtl/>
        </w:rPr>
        <w:t>,</w:t>
      </w:r>
      <w:r w:rsidR="008F404A">
        <w:rPr>
          <w:rFonts w:hint="cs"/>
          <w:rtl/>
        </w:rPr>
        <w:t xml:space="preserve"> כלל זה נתקל </w:t>
      </w:r>
      <w:r w:rsidR="0082208A">
        <w:rPr>
          <w:rFonts w:hint="cs"/>
          <w:rtl/>
        </w:rPr>
        <w:t>בשלושה קשיים</w:t>
      </w:r>
      <w:r w:rsidR="00825734">
        <w:rPr>
          <w:rFonts w:hint="cs"/>
          <w:rtl/>
        </w:rPr>
        <w:t xml:space="preserve"> מרכזיים</w:t>
      </w:r>
      <w:r w:rsidR="008F404A">
        <w:rPr>
          <w:rFonts w:hint="cs"/>
          <w:rtl/>
        </w:rPr>
        <w:t>:</w:t>
      </w:r>
    </w:p>
    <w:p w14:paraId="6205E697" w14:textId="260E519E" w:rsidR="002A6D2B" w:rsidRDefault="002A6D2B">
      <w:pPr>
        <w:rPr>
          <w:rtl/>
        </w:rPr>
      </w:pPr>
      <w:r w:rsidRPr="002A6D2B">
        <w:rPr>
          <w:rFonts w:hint="cs"/>
          <w:rtl/>
        </w:rPr>
        <w:lastRenderedPageBreak/>
        <w:t>א.</w:t>
      </w:r>
      <w:r>
        <w:rPr>
          <w:rFonts w:hint="cs"/>
          <w:b/>
          <w:bCs/>
          <w:rtl/>
        </w:rPr>
        <w:t xml:space="preserve"> </w:t>
      </w:r>
      <w:r w:rsidR="008F404A" w:rsidRPr="008F404A">
        <w:rPr>
          <w:rFonts w:hint="cs"/>
          <w:b/>
          <w:bCs/>
          <w:rtl/>
        </w:rPr>
        <w:t>ראשית</w:t>
      </w:r>
      <w:r w:rsidR="008F404A">
        <w:rPr>
          <w:rFonts w:hint="cs"/>
          <w:rtl/>
        </w:rPr>
        <w:t>, גם אם נניח שאכן יש ללכת על פי הרוב, יש לדון מי נכלל ברוב.</w:t>
      </w:r>
      <w:r>
        <w:rPr>
          <w:rFonts w:hint="cs"/>
          <w:rtl/>
        </w:rPr>
        <w:t xml:space="preserve"> </w:t>
      </w:r>
      <w:r w:rsidR="008F557B">
        <w:rPr>
          <w:rFonts w:hint="cs"/>
          <w:rtl/>
        </w:rPr>
        <w:t>לדוגמא</w:t>
      </w:r>
      <w:r>
        <w:rPr>
          <w:rFonts w:hint="cs"/>
          <w:rtl/>
        </w:rPr>
        <w:t xml:space="preserve">, כפי שראינו שעבר </w:t>
      </w:r>
      <w:r>
        <w:rPr>
          <w:rFonts w:hint="cs"/>
          <w:sz w:val="18"/>
          <w:szCs w:val="18"/>
          <w:rtl/>
        </w:rPr>
        <w:t>(וילך שנה ד')</w:t>
      </w:r>
      <w:r>
        <w:rPr>
          <w:rFonts w:hint="cs"/>
          <w:rtl/>
        </w:rPr>
        <w:t xml:space="preserve">, כאשר הבית יוסף החליט לפסוק על פי הרוב, בחר לצעוד בעקבות הרי''ף, הרמב''ם והרא''ש. </w:t>
      </w:r>
      <w:r w:rsidRPr="00383ED6">
        <w:rPr>
          <w:rFonts w:hint="cs"/>
          <w:b/>
          <w:bCs/>
          <w:rtl/>
        </w:rPr>
        <w:t>הרמ''א</w:t>
      </w:r>
      <w:r>
        <w:rPr>
          <w:rFonts w:hint="cs"/>
          <w:rtl/>
        </w:rPr>
        <w:t xml:space="preserve"> </w:t>
      </w:r>
      <w:r w:rsidR="00383ED6">
        <w:rPr>
          <w:rFonts w:hint="cs"/>
          <w:sz w:val="18"/>
          <w:szCs w:val="18"/>
          <w:rtl/>
        </w:rPr>
        <w:t xml:space="preserve">(דרכי משה הקדמה) </w:t>
      </w:r>
      <w:r w:rsidR="00383ED6">
        <w:rPr>
          <w:rFonts w:hint="cs"/>
          <w:rtl/>
        </w:rPr>
        <w:t xml:space="preserve">ביקר </w:t>
      </w:r>
      <w:r>
        <w:rPr>
          <w:rFonts w:hint="cs"/>
          <w:rtl/>
        </w:rPr>
        <w:t xml:space="preserve">אותו </w:t>
      </w:r>
      <w:r w:rsidR="00A739F0">
        <w:rPr>
          <w:rFonts w:hint="cs"/>
          <w:rtl/>
        </w:rPr>
        <w:t xml:space="preserve">על </w:t>
      </w:r>
      <w:r>
        <w:rPr>
          <w:rFonts w:hint="cs"/>
          <w:rtl/>
        </w:rPr>
        <w:t>כך, שהרי יש פוסקים אשכנזים רבים כמו בעלי התוספות ומהר''ם מרוטנבורג, שגם אותם היה מקום להכליל, ובלשונו:</w:t>
      </w:r>
    </w:p>
    <w:p w14:paraId="59AD5980" w14:textId="5CB38ABC" w:rsidR="00D53056" w:rsidRDefault="0094091E" w:rsidP="0094091E">
      <w:pPr>
        <w:ind w:left="720"/>
        <w:rPr>
          <w:rtl/>
        </w:rPr>
      </w:pPr>
      <w:r>
        <w:rPr>
          <w:rFonts w:cs="Arial" w:hint="cs"/>
          <w:rtl/>
        </w:rPr>
        <w:t>''</w:t>
      </w:r>
      <w:r w:rsidRPr="0094091E">
        <w:rPr>
          <w:rFonts w:cs="Arial"/>
          <w:rtl/>
        </w:rPr>
        <w:t>השלישית והוא העיקר, והוא התכלית המבוקש בזה המחקר, כי ידוע שהרב המחבר בית יוסף, בטבעו אל הגדולים נכסף, ופסק הלכה בכל מקום על פי שני ושלשה עדים, המה הגאונים הנחמדים, הרי"ף והרמב"ם והרא"ש בכל מקום ששנים מהם לדעת אחת נצמדים, ולשאר רבוותא אדירי התורה לא חש עליהם</w:t>
      </w:r>
      <w:r>
        <w:rPr>
          <w:rFonts w:cs="Arial" w:hint="cs"/>
          <w:rtl/>
        </w:rPr>
        <w:t>.''</w:t>
      </w:r>
    </w:p>
    <w:p w14:paraId="6EDE3878" w14:textId="09CE3775" w:rsidR="00D15E14" w:rsidRDefault="00D15E14" w:rsidP="00D15E14">
      <w:pPr>
        <w:rPr>
          <w:rtl/>
        </w:rPr>
      </w:pPr>
      <w:r>
        <w:rPr>
          <w:rFonts w:hint="cs"/>
          <w:rtl/>
        </w:rPr>
        <w:t xml:space="preserve">ב. </w:t>
      </w:r>
      <w:r w:rsidRPr="00D15E14">
        <w:rPr>
          <w:rFonts w:hint="cs"/>
          <w:b/>
          <w:bCs/>
          <w:rtl/>
        </w:rPr>
        <w:t>שנית</w:t>
      </w:r>
      <w:r>
        <w:rPr>
          <w:rFonts w:hint="cs"/>
          <w:rtl/>
        </w:rPr>
        <w:t>, גם</w:t>
      </w:r>
      <w:r w:rsidR="005B440E">
        <w:rPr>
          <w:rFonts w:hint="cs"/>
          <w:rtl/>
        </w:rPr>
        <w:t xml:space="preserve"> אם </w:t>
      </w:r>
      <w:r w:rsidR="00C6564A">
        <w:rPr>
          <w:rFonts w:hint="cs"/>
          <w:rtl/>
        </w:rPr>
        <w:t>ישנה</w:t>
      </w:r>
      <w:r>
        <w:rPr>
          <w:rFonts w:hint="cs"/>
          <w:rtl/>
        </w:rPr>
        <w:t xml:space="preserve"> הסכמה על פי איזה פוסקים יש להכריע, יש לדון מדוע יש ללכת על פי הרוב במקרה זה. כפי שהעיר </w:t>
      </w:r>
      <w:r w:rsidRPr="00CF73DE">
        <w:rPr>
          <w:rFonts w:hint="cs"/>
          <w:b/>
          <w:bCs/>
          <w:rtl/>
        </w:rPr>
        <w:t>החזון איש</w:t>
      </w:r>
      <w:r w:rsidR="00CF73DE">
        <w:rPr>
          <w:rFonts w:hint="cs"/>
          <w:rtl/>
        </w:rPr>
        <w:t xml:space="preserve"> </w:t>
      </w:r>
      <w:r w:rsidR="00CF73DE">
        <w:rPr>
          <w:rFonts w:hint="cs"/>
          <w:sz w:val="18"/>
          <w:szCs w:val="18"/>
          <w:rtl/>
        </w:rPr>
        <w:t>(כלאים סי' א')</w:t>
      </w:r>
      <w:r>
        <w:rPr>
          <w:rFonts w:hint="cs"/>
          <w:rtl/>
        </w:rPr>
        <w:t xml:space="preserve">, </w:t>
      </w:r>
      <w:r w:rsidR="00304E63">
        <w:rPr>
          <w:rFonts w:hint="cs"/>
          <w:rtl/>
        </w:rPr>
        <w:t>כיוון שהה</w:t>
      </w:r>
      <w:r w:rsidR="00373A5F">
        <w:rPr>
          <w:rFonts w:hint="cs"/>
          <w:rtl/>
        </w:rPr>
        <w:t>י</w:t>
      </w:r>
      <w:r w:rsidR="00304E63">
        <w:rPr>
          <w:rFonts w:hint="cs"/>
          <w:rtl/>
        </w:rPr>
        <w:t xml:space="preserve">גיון של הליכה על פי הרוב הוא שככל הנראה הם מסכימים אל האמת, </w:t>
      </w:r>
      <w:r w:rsidR="00E503EB">
        <w:rPr>
          <w:rFonts w:hint="cs"/>
          <w:rtl/>
        </w:rPr>
        <w:t xml:space="preserve">ייתכן </w:t>
      </w:r>
      <w:r w:rsidR="007F4260">
        <w:rPr>
          <w:rFonts w:hint="cs"/>
          <w:rtl/>
        </w:rPr>
        <w:t>ש</w:t>
      </w:r>
      <w:r w:rsidR="00304E63">
        <w:rPr>
          <w:rFonts w:hint="cs"/>
          <w:rtl/>
        </w:rPr>
        <w:t xml:space="preserve">זה נכון </w:t>
      </w:r>
      <w:r w:rsidR="00E503EB">
        <w:rPr>
          <w:rFonts w:hint="cs"/>
          <w:rtl/>
        </w:rPr>
        <w:t xml:space="preserve">רק </w:t>
      </w:r>
      <w:r w:rsidR="00304E63">
        <w:rPr>
          <w:rFonts w:hint="cs"/>
          <w:rtl/>
        </w:rPr>
        <w:t xml:space="preserve">במקרה בו הפוסקים דנו ביניהם, </w:t>
      </w:r>
      <w:r w:rsidR="00F14C78">
        <w:rPr>
          <w:rFonts w:hint="cs"/>
          <w:rtl/>
        </w:rPr>
        <w:t>ש</w:t>
      </w:r>
      <w:r w:rsidR="00E43B21">
        <w:rPr>
          <w:rFonts w:hint="cs"/>
          <w:rtl/>
        </w:rPr>
        <w:t>אז ייתכן ש</w:t>
      </w:r>
      <w:r w:rsidR="005B440E">
        <w:rPr>
          <w:rFonts w:hint="cs"/>
          <w:rtl/>
        </w:rPr>
        <w:t>חלק</w:t>
      </w:r>
      <w:r w:rsidR="00E43B21">
        <w:rPr>
          <w:rFonts w:hint="cs"/>
          <w:rtl/>
        </w:rPr>
        <w:t xml:space="preserve">ם </w:t>
      </w:r>
      <w:r w:rsidR="00F14C78">
        <w:rPr>
          <w:rFonts w:hint="cs"/>
          <w:rtl/>
        </w:rPr>
        <w:t>היו חוזרים בהם מסברתם הראשונה</w:t>
      </w:r>
      <w:r w:rsidR="00B91B73">
        <w:rPr>
          <w:rFonts w:hint="cs"/>
          <w:rtl/>
        </w:rPr>
        <w:t>,</w:t>
      </w:r>
      <w:r w:rsidR="00C25DA2">
        <w:rPr>
          <w:rFonts w:hint="cs"/>
          <w:rtl/>
        </w:rPr>
        <w:t xml:space="preserve"> </w:t>
      </w:r>
      <w:r w:rsidR="005B440E">
        <w:rPr>
          <w:rFonts w:hint="cs"/>
          <w:rtl/>
        </w:rPr>
        <w:t xml:space="preserve">אך לא </w:t>
      </w:r>
      <w:r w:rsidR="00304E63">
        <w:rPr>
          <w:rFonts w:hint="cs"/>
          <w:rtl/>
        </w:rPr>
        <w:t>במקרה בו כל פוסק י</w:t>
      </w:r>
      <w:r w:rsidR="00C25DA2">
        <w:rPr>
          <w:rFonts w:hint="cs"/>
          <w:rtl/>
        </w:rPr>
        <w:t>ו</w:t>
      </w:r>
      <w:r w:rsidR="00304E63">
        <w:rPr>
          <w:rFonts w:hint="cs"/>
          <w:rtl/>
        </w:rPr>
        <w:t>שב במקומו</w:t>
      </w:r>
      <w:r w:rsidR="00C25DA2">
        <w:rPr>
          <w:rFonts w:hint="cs"/>
          <w:rtl/>
        </w:rPr>
        <w:t>.</w:t>
      </w:r>
    </w:p>
    <w:p w14:paraId="787A0735" w14:textId="2CF3EE60" w:rsidR="000E27F2" w:rsidRDefault="000E27F2" w:rsidP="00D15E14">
      <w:pPr>
        <w:rPr>
          <w:rtl/>
        </w:rPr>
      </w:pPr>
      <w:r>
        <w:rPr>
          <w:rFonts w:hint="cs"/>
          <w:rtl/>
        </w:rPr>
        <w:t xml:space="preserve">ג. </w:t>
      </w:r>
      <w:r w:rsidRPr="000E27F2">
        <w:rPr>
          <w:rFonts w:hint="cs"/>
          <w:b/>
          <w:bCs/>
          <w:rtl/>
        </w:rPr>
        <w:t>שלישית</w:t>
      </w:r>
      <w:r>
        <w:rPr>
          <w:rFonts w:hint="cs"/>
          <w:rtl/>
        </w:rPr>
        <w:t xml:space="preserve">, פעמים רבות פוסקים נוקטים עמדה זהה בענייני הלכה, אך מטעמים שונים. </w:t>
      </w:r>
      <w:r w:rsidR="005714B9">
        <w:rPr>
          <w:rFonts w:hint="cs"/>
          <w:rtl/>
        </w:rPr>
        <w:t xml:space="preserve">כגון </w:t>
      </w:r>
      <w:r>
        <w:rPr>
          <w:rFonts w:hint="cs"/>
          <w:rtl/>
        </w:rPr>
        <w:t>בהלכות ברכות, יש שיפסקו שאין לברך על דבר מסוים בגלל שהלכה כדעת פלוני</w:t>
      </w:r>
      <w:r w:rsidR="00F0631A">
        <w:rPr>
          <w:rFonts w:hint="cs"/>
          <w:rtl/>
        </w:rPr>
        <w:t>,</w:t>
      </w:r>
      <w:r>
        <w:rPr>
          <w:rFonts w:hint="cs"/>
          <w:rtl/>
        </w:rPr>
        <w:t xml:space="preserve"> ויש שיפסקו גם כך אבל בגלל שיש מחלוקת בדבר וספק ברכות להקל.</w:t>
      </w:r>
      <w:r w:rsidR="00557C0C">
        <w:rPr>
          <w:rFonts w:hint="cs"/>
          <w:rtl/>
        </w:rPr>
        <w:t xml:space="preserve"> גם כאשר דנים על פי רוב, לא ברור האם יש להכריע כדעת רוב הפוסקים במקרה שהם חלוקים בטעמ</w:t>
      </w:r>
      <w:r w:rsidR="00375FAB">
        <w:rPr>
          <w:rFonts w:hint="cs"/>
          <w:rtl/>
        </w:rPr>
        <w:t>י</w:t>
      </w:r>
      <w:r w:rsidR="00557C0C">
        <w:rPr>
          <w:rFonts w:hint="cs"/>
          <w:rtl/>
        </w:rPr>
        <w:t xml:space="preserve">הם. </w:t>
      </w:r>
      <w:r>
        <w:rPr>
          <w:rFonts w:hint="cs"/>
          <w:rtl/>
        </w:rPr>
        <w:t xml:space="preserve"> </w:t>
      </w:r>
    </w:p>
    <w:p w14:paraId="301C1320" w14:textId="0D6B61F3" w:rsidR="00CA51F2" w:rsidRPr="006B4162" w:rsidRDefault="00CA51F2" w:rsidP="00D15E14">
      <w:pPr>
        <w:rPr>
          <w:b/>
          <w:bCs/>
          <w:u w:val="single"/>
          <w:rtl/>
        </w:rPr>
      </w:pPr>
      <w:r w:rsidRPr="006B4162">
        <w:rPr>
          <w:rFonts w:hint="cs"/>
          <w:b/>
          <w:bCs/>
          <w:u w:val="single"/>
          <w:rtl/>
        </w:rPr>
        <w:t>ספק לחומרא ולקולא</w:t>
      </w:r>
    </w:p>
    <w:p w14:paraId="1EAC3617" w14:textId="78935518" w:rsidR="00C813F9" w:rsidRDefault="00245D0D" w:rsidP="00477AC8">
      <w:pPr>
        <w:rPr>
          <w:sz w:val="18"/>
          <w:szCs w:val="18"/>
          <w:rtl/>
        </w:rPr>
      </w:pPr>
      <w:r>
        <w:rPr>
          <w:rFonts w:hint="cs"/>
          <w:rtl/>
        </w:rPr>
        <w:t>למעשה</w:t>
      </w:r>
      <w:r w:rsidR="005B440E">
        <w:rPr>
          <w:rFonts w:hint="cs"/>
          <w:rtl/>
        </w:rPr>
        <w:t xml:space="preserve"> יוצא</w:t>
      </w:r>
      <w:r>
        <w:rPr>
          <w:rFonts w:hint="cs"/>
          <w:rtl/>
        </w:rPr>
        <w:t xml:space="preserve">, </w:t>
      </w:r>
      <w:r w:rsidR="005B440E">
        <w:rPr>
          <w:rFonts w:hint="cs"/>
          <w:rtl/>
        </w:rPr>
        <w:t>ש</w:t>
      </w:r>
      <w:r>
        <w:rPr>
          <w:rFonts w:hint="cs"/>
          <w:rtl/>
        </w:rPr>
        <w:t xml:space="preserve">הכלל של הליכה אחר הרוב נתקל בקשיים רבים, </w:t>
      </w:r>
      <w:r w:rsidR="00882408">
        <w:rPr>
          <w:rFonts w:hint="cs"/>
          <w:rtl/>
        </w:rPr>
        <w:t>ואי אפשר</w:t>
      </w:r>
      <w:r>
        <w:rPr>
          <w:rFonts w:hint="cs"/>
          <w:rtl/>
        </w:rPr>
        <w:t xml:space="preserve"> להשתמש בו</w:t>
      </w:r>
      <w:r w:rsidR="008D7AF0">
        <w:rPr>
          <w:rFonts w:hint="cs"/>
          <w:rtl/>
        </w:rPr>
        <w:t xml:space="preserve"> </w:t>
      </w:r>
      <w:r>
        <w:rPr>
          <w:rFonts w:hint="cs"/>
          <w:rtl/>
        </w:rPr>
        <w:t xml:space="preserve">בפועל </w:t>
      </w:r>
      <w:r w:rsidR="008D7AF0">
        <w:rPr>
          <w:rFonts w:hint="cs"/>
          <w:rtl/>
        </w:rPr>
        <w:t>ככלל גורף</w:t>
      </w:r>
      <w:r>
        <w:rPr>
          <w:rFonts w:hint="cs"/>
          <w:rtl/>
        </w:rPr>
        <w:t>.</w:t>
      </w:r>
      <w:r w:rsidR="008D7AF0">
        <w:rPr>
          <w:rFonts w:hint="cs"/>
          <w:rtl/>
        </w:rPr>
        <w:t xml:space="preserve"> הכלל המשמעותי ביותר שנראה שאחריו הולכים</w:t>
      </w:r>
      <w:r w:rsidR="00095B61">
        <w:rPr>
          <w:rFonts w:hint="cs"/>
          <w:rtl/>
        </w:rPr>
        <w:t xml:space="preserve"> </w:t>
      </w:r>
      <w:r w:rsidR="00095B61">
        <w:rPr>
          <w:rFonts w:hint="cs"/>
          <w:sz w:val="18"/>
          <w:szCs w:val="18"/>
          <w:rtl/>
        </w:rPr>
        <w:t>(ונרחיב בו בדף לשמחת תורה)</w:t>
      </w:r>
      <w:r w:rsidR="008D7AF0">
        <w:rPr>
          <w:rFonts w:hint="cs"/>
          <w:rtl/>
        </w:rPr>
        <w:t>, הוא הליכה</w:t>
      </w:r>
      <w:r w:rsidR="00095B61">
        <w:rPr>
          <w:rFonts w:hint="cs"/>
          <w:rtl/>
        </w:rPr>
        <w:t xml:space="preserve"> </w:t>
      </w:r>
      <w:r w:rsidR="00564E91">
        <w:rPr>
          <w:rFonts w:hint="cs"/>
          <w:rtl/>
        </w:rPr>
        <w:t>בדאורייתא לחומרא ובדרבנן לקול</w:t>
      </w:r>
      <w:r w:rsidR="00014D5A">
        <w:rPr>
          <w:rFonts w:hint="cs"/>
          <w:rtl/>
        </w:rPr>
        <w:t xml:space="preserve">א במקרי ספק, דהיינו במקרים שלא הולכים אחר הרוב, והמחלוקת בין הפוסקים לא הוכרעה. </w:t>
      </w:r>
    </w:p>
    <w:p w14:paraId="3C07EB25" w14:textId="6FD84EB0" w:rsidR="00B93C31" w:rsidRDefault="008443A4" w:rsidP="00477AC8">
      <w:pPr>
        <w:rPr>
          <w:rtl/>
        </w:rPr>
      </w:pPr>
      <w:r>
        <w:rPr>
          <w:rFonts w:hint="cs"/>
          <w:rtl/>
        </w:rPr>
        <w:t xml:space="preserve">המקור לכלל זה מופיע בגמרא בין השאר במסכת ביצה </w:t>
      </w:r>
      <w:r>
        <w:rPr>
          <w:rFonts w:hint="cs"/>
          <w:sz w:val="18"/>
          <w:szCs w:val="18"/>
          <w:rtl/>
        </w:rPr>
        <w:t xml:space="preserve">(ג ע''ב) </w:t>
      </w:r>
      <w:r>
        <w:rPr>
          <w:rFonts w:hint="cs"/>
          <w:rtl/>
        </w:rPr>
        <w:t>הכותבת</w:t>
      </w:r>
      <w:r w:rsidR="00615352">
        <w:rPr>
          <w:rFonts w:hint="cs"/>
          <w:rtl/>
        </w:rPr>
        <w:t xml:space="preserve"> כדבר פשוט</w:t>
      </w:r>
      <w:r>
        <w:rPr>
          <w:rFonts w:hint="cs"/>
          <w:rtl/>
        </w:rPr>
        <w:t>,</w:t>
      </w:r>
      <w:r w:rsidR="00615352">
        <w:rPr>
          <w:rFonts w:hint="cs"/>
          <w:rtl/>
        </w:rPr>
        <w:t xml:space="preserve"> שספק ביצה שנולדה ביום טוב לרבה אסורה בטלטול, כיוון שהוא סובר שיסוד הדין האוסר ביצה שנולדה ביום טוב מדאורייתא, ואילו לדעת רבי יצחק שסובר שמדובר </w:t>
      </w:r>
      <w:r w:rsidR="00B93C31">
        <w:rPr>
          <w:rFonts w:hint="cs"/>
          <w:rtl/>
        </w:rPr>
        <w:t xml:space="preserve">בגזירה מדרבנן בלבד יש להקל. מדוע בדיני דאורייתא </w:t>
      </w:r>
      <w:r w:rsidR="007B0A2E">
        <w:rPr>
          <w:rFonts w:hint="cs"/>
          <w:rtl/>
        </w:rPr>
        <w:t>ת</w:t>
      </w:r>
      <w:r w:rsidR="00B93C31">
        <w:rPr>
          <w:rFonts w:hint="cs"/>
          <w:rtl/>
        </w:rPr>
        <w:t>היה חובה להחמיר ובדרבנן להקל? נאמרו כמה גישות:</w:t>
      </w:r>
    </w:p>
    <w:p w14:paraId="0FCEE595" w14:textId="210B03E9" w:rsidR="00B00F39" w:rsidRPr="006B652B" w:rsidRDefault="00B93C31" w:rsidP="006B652B">
      <w:pPr>
        <w:rPr>
          <w:rtl/>
        </w:rPr>
      </w:pPr>
      <w:r>
        <w:rPr>
          <w:rFonts w:hint="cs"/>
          <w:rtl/>
        </w:rPr>
        <w:t>א.</w:t>
      </w:r>
      <w:r w:rsidR="00D04AF9">
        <w:rPr>
          <w:rFonts w:hint="cs"/>
          <w:rtl/>
        </w:rPr>
        <w:t xml:space="preserve"> יש שכתבו שבאמת מדין תורה, אין חובה להחמיר בספק דאורייתא. רק חכמים, </w:t>
      </w:r>
      <w:r w:rsidR="00384F74">
        <w:rPr>
          <w:rFonts w:hint="cs"/>
          <w:rtl/>
        </w:rPr>
        <w:t>מ</w:t>
      </w:r>
      <w:r w:rsidR="00D04AF9">
        <w:rPr>
          <w:rFonts w:hint="cs"/>
          <w:rtl/>
        </w:rPr>
        <w:t>כיוון שדיני דאורייתא חמורים, קבעו שבספק</w:t>
      </w:r>
      <w:r w:rsidR="003718BF">
        <w:rPr>
          <w:rFonts w:hint="cs"/>
          <w:rtl/>
        </w:rPr>
        <w:t xml:space="preserve">ם </w:t>
      </w:r>
      <w:r w:rsidR="00D04AF9">
        <w:rPr>
          <w:rFonts w:hint="cs"/>
          <w:rtl/>
        </w:rPr>
        <w:t>יש להחמיר</w:t>
      </w:r>
      <w:r w:rsidR="003718BF">
        <w:rPr>
          <w:rFonts w:hint="cs"/>
          <w:rtl/>
        </w:rPr>
        <w:t xml:space="preserve"> (מה שאין כן בדיני דרבנן הקלים). ב. כיוון שני</w:t>
      </w:r>
      <w:r w:rsidR="00FA7698">
        <w:rPr>
          <w:rFonts w:hint="cs"/>
          <w:rtl/>
        </w:rPr>
        <w:t xml:space="preserve"> </w:t>
      </w:r>
      <w:r w:rsidR="006B652B">
        <w:rPr>
          <w:rFonts w:hint="cs"/>
          <w:rtl/>
        </w:rPr>
        <w:t>סובר</w:t>
      </w:r>
      <w:r w:rsidR="00FA7698">
        <w:rPr>
          <w:rFonts w:hint="cs"/>
          <w:rtl/>
        </w:rPr>
        <w:t xml:space="preserve">, </w:t>
      </w:r>
      <w:r w:rsidR="006B652B">
        <w:rPr>
          <w:rFonts w:hint="cs"/>
          <w:rtl/>
        </w:rPr>
        <w:t xml:space="preserve">שבדיני דאורייתא הדברים אסורים במהותם, </w:t>
      </w:r>
      <w:r w:rsidR="00B7164D">
        <w:rPr>
          <w:rFonts w:hint="cs"/>
          <w:rtl/>
        </w:rPr>
        <w:t xml:space="preserve">לכן </w:t>
      </w:r>
      <w:r w:rsidR="006B652B">
        <w:rPr>
          <w:rFonts w:hint="cs"/>
          <w:rtl/>
        </w:rPr>
        <w:t>לא ניתן להקל בספק מאכל אסור, כי ייתכן שבעקבות כך האדם יאכל מאכל אסור. לעומת זאת בדיני דרבנן הדברים במהותם מותרים, שהרי התורה לא אסרה לעשותם, אלא שחכמים קבעו שאין לעשותם, וקבעו איסור זה רק כאשר יש וודאי איסור.</w:t>
      </w:r>
    </w:p>
    <w:p w14:paraId="022BC369" w14:textId="07889AED" w:rsidR="006B4162" w:rsidRDefault="006B4162" w:rsidP="006B4162">
      <w:pPr>
        <w:rPr>
          <w:u w:val="single"/>
          <w:rtl/>
        </w:rPr>
      </w:pPr>
      <w:r>
        <w:rPr>
          <w:rFonts w:hint="cs"/>
          <w:u w:val="single"/>
          <w:rtl/>
        </w:rPr>
        <w:t>רוב חכמה ומניין</w:t>
      </w:r>
    </w:p>
    <w:p w14:paraId="6C1CA40E" w14:textId="72FF2298" w:rsidR="00AD745F" w:rsidRDefault="00E228E0" w:rsidP="003869E6">
      <w:pPr>
        <w:rPr>
          <w:rtl/>
        </w:rPr>
      </w:pPr>
      <w:r>
        <w:rPr>
          <w:rFonts w:hint="cs"/>
          <w:rtl/>
        </w:rPr>
        <w:t>מכל מקום</w:t>
      </w:r>
      <w:r w:rsidR="003869E6">
        <w:rPr>
          <w:rFonts w:hint="cs"/>
          <w:rtl/>
        </w:rPr>
        <w:t xml:space="preserve">, במקרי ספק יש ללכת בדאורייתא לחומרא ובדרבנן לקולא. אלא שמעבר לכך שיש להתחשב בגורמים נוספים (למשל מקרה שבו פוסק יחיד נוקט להחמיר או להקל), </w:t>
      </w:r>
      <w:r w:rsidR="00C2021F">
        <w:rPr>
          <w:rFonts w:hint="cs"/>
          <w:rtl/>
        </w:rPr>
        <w:t>יתכן</w:t>
      </w:r>
      <w:r w:rsidR="004028F3">
        <w:rPr>
          <w:rFonts w:hint="cs"/>
          <w:rtl/>
        </w:rPr>
        <w:t xml:space="preserve"> ש</w:t>
      </w:r>
      <w:r w:rsidR="003869E6">
        <w:rPr>
          <w:rFonts w:hint="cs"/>
          <w:rtl/>
        </w:rPr>
        <w:t xml:space="preserve">כבר הגמרא במסכת עבודה זרה </w:t>
      </w:r>
      <w:r w:rsidR="003869E6">
        <w:rPr>
          <w:rFonts w:hint="cs"/>
          <w:sz w:val="18"/>
          <w:szCs w:val="18"/>
          <w:rtl/>
        </w:rPr>
        <w:t xml:space="preserve">(ז ע''א) </w:t>
      </w:r>
      <w:r w:rsidR="003869E6">
        <w:rPr>
          <w:rFonts w:hint="cs"/>
          <w:rtl/>
        </w:rPr>
        <w:t>מצמצמת כלל זה</w:t>
      </w:r>
      <w:r w:rsidR="00AD745F">
        <w:rPr>
          <w:rFonts w:hint="cs"/>
          <w:rtl/>
        </w:rPr>
        <w:t xml:space="preserve">: </w:t>
      </w:r>
    </w:p>
    <w:p w14:paraId="28A8DE91" w14:textId="51F26CF7" w:rsidR="00794EC0" w:rsidRDefault="00AD745F" w:rsidP="003869E6">
      <w:pPr>
        <w:rPr>
          <w:rtl/>
        </w:rPr>
      </w:pPr>
      <w:r>
        <w:rPr>
          <w:rFonts w:hint="cs"/>
          <w:rtl/>
        </w:rPr>
        <w:t xml:space="preserve">בתחילה הגמרא מביאה דברי </w:t>
      </w:r>
      <w:r w:rsidR="006B4162">
        <w:rPr>
          <w:rFonts w:hint="cs"/>
          <w:rtl/>
        </w:rPr>
        <w:t>תנא קמא</w:t>
      </w:r>
      <w:r w:rsidR="0090045C">
        <w:rPr>
          <w:rFonts w:hint="cs"/>
          <w:rtl/>
        </w:rPr>
        <w:t xml:space="preserve"> הסובר, שכאשר נחלקים חכמים ביניהם, יש לפסוק כדעת הגדול בחכמה או במניין תלמידים, כיוון שיש לו יותר תלמידים מקשים עליו יותר ומסתמא דעתו נכונה יותר</w:t>
      </w:r>
      <w:r w:rsidR="0090045C">
        <w:rPr>
          <w:rStyle w:val="a5"/>
          <w:rtl/>
        </w:rPr>
        <w:footnoteReference w:id="3"/>
      </w:r>
      <w:r w:rsidR="00C0342C">
        <w:rPr>
          <w:rFonts w:hint="cs"/>
          <w:sz w:val="18"/>
          <w:szCs w:val="18"/>
          <w:rtl/>
        </w:rPr>
        <w:t xml:space="preserve">. </w:t>
      </w:r>
      <w:r w:rsidR="00C0342C">
        <w:rPr>
          <w:rFonts w:hint="cs"/>
          <w:rtl/>
        </w:rPr>
        <w:t xml:space="preserve"> רבי יהושע בן קרחה העיר, שכלל זה לא נכון באופן גורף, וכאשר מדובר בספק דאורייתא יש להחמיר, ובספק דרבנן יש להקל. דנו הפוסקים </w:t>
      </w:r>
      <w:r w:rsidR="008C5EFA">
        <w:rPr>
          <w:rFonts w:hint="cs"/>
          <w:rtl/>
        </w:rPr>
        <w:t>ב</w:t>
      </w:r>
      <w:r w:rsidR="00C0342C">
        <w:rPr>
          <w:rFonts w:hint="cs"/>
          <w:rtl/>
        </w:rPr>
        <w:t>מה חלק רבי יהושע:</w:t>
      </w:r>
    </w:p>
    <w:p w14:paraId="37356619" w14:textId="6CD73006" w:rsidR="00AA5333" w:rsidRDefault="00794EC0" w:rsidP="003869E6">
      <w:pPr>
        <w:rPr>
          <w:rtl/>
        </w:rPr>
      </w:pPr>
      <w:r>
        <w:rPr>
          <w:rFonts w:hint="cs"/>
          <w:rtl/>
        </w:rPr>
        <w:t>א.</w:t>
      </w:r>
      <w:r w:rsidR="00095B61">
        <w:rPr>
          <w:rFonts w:hint="cs"/>
          <w:rtl/>
        </w:rPr>
        <w:t xml:space="preserve"> מדברי </w:t>
      </w:r>
      <w:r w:rsidR="00095B61" w:rsidRPr="00014D5A">
        <w:rPr>
          <w:rFonts w:hint="cs"/>
          <w:b/>
          <w:bCs/>
          <w:rtl/>
        </w:rPr>
        <w:t>הרמב''ם</w:t>
      </w:r>
      <w:r w:rsidR="00095B61">
        <w:rPr>
          <w:rFonts w:hint="cs"/>
          <w:rtl/>
        </w:rPr>
        <w:t xml:space="preserve"> </w:t>
      </w:r>
      <w:r w:rsidR="005C0303">
        <w:rPr>
          <w:rFonts w:hint="cs"/>
          <w:sz w:val="18"/>
          <w:szCs w:val="18"/>
          <w:rtl/>
        </w:rPr>
        <w:t>(ממרים ב</w:t>
      </w:r>
      <w:r w:rsidR="007B0A2E">
        <w:rPr>
          <w:rFonts w:hint="cs"/>
          <w:sz w:val="18"/>
          <w:szCs w:val="18"/>
          <w:rtl/>
        </w:rPr>
        <w:t>)</w:t>
      </w:r>
      <w:r w:rsidR="005C0303">
        <w:rPr>
          <w:rFonts w:hint="cs"/>
          <w:sz w:val="18"/>
          <w:szCs w:val="18"/>
          <w:rtl/>
        </w:rPr>
        <w:t xml:space="preserve"> </w:t>
      </w:r>
      <w:r w:rsidR="00014D5A">
        <w:rPr>
          <w:rFonts w:hint="cs"/>
          <w:rtl/>
        </w:rPr>
        <w:t>שלא ציין את כללו של תנא קמא ע</w:t>
      </w:r>
      <w:r w:rsidR="00095B61">
        <w:rPr>
          <w:rFonts w:hint="cs"/>
          <w:rtl/>
        </w:rPr>
        <w:t>ולה, שאכן הכלל ה</w:t>
      </w:r>
      <w:r w:rsidR="00014D5A">
        <w:rPr>
          <w:rFonts w:hint="cs"/>
          <w:rtl/>
        </w:rPr>
        <w:t>יחיד ה</w:t>
      </w:r>
      <w:r w:rsidR="00095B61">
        <w:rPr>
          <w:rFonts w:hint="cs"/>
          <w:rtl/>
        </w:rPr>
        <w:t>קובע</w:t>
      </w:r>
      <w:r w:rsidR="00014D5A">
        <w:rPr>
          <w:rFonts w:hint="cs"/>
          <w:rtl/>
        </w:rPr>
        <w:t xml:space="preserve"> במקרה בו שני חכמים</w:t>
      </w:r>
      <w:r w:rsidR="005C0303">
        <w:rPr>
          <w:rFonts w:hint="cs"/>
          <w:rtl/>
        </w:rPr>
        <w:t xml:space="preserve"> נחלקים ואין הכרעה, הוא ספק דאורייתא לחומרא ודרבנן לקולא. ב. </w:t>
      </w:r>
      <w:r w:rsidR="005C0303" w:rsidRPr="008C386B">
        <w:rPr>
          <w:rFonts w:hint="cs"/>
          <w:b/>
          <w:bCs/>
          <w:rtl/>
        </w:rPr>
        <w:t>הרשב''א</w:t>
      </w:r>
      <w:r w:rsidR="005C0303">
        <w:rPr>
          <w:rFonts w:hint="cs"/>
          <w:rtl/>
        </w:rPr>
        <w:t xml:space="preserve"> </w:t>
      </w:r>
      <w:r w:rsidR="005C0303">
        <w:rPr>
          <w:rFonts w:hint="cs"/>
          <w:sz w:val="18"/>
          <w:szCs w:val="18"/>
          <w:rtl/>
        </w:rPr>
        <w:t xml:space="preserve">(א, רנג) </w:t>
      </w:r>
      <w:r w:rsidR="005C0303">
        <w:rPr>
          <w:rFonts w:hint="cs"/>
          <w:rtl/>
        </w:rPr>
        <w:t xml:space="preserve">וראשונים נוספים חלקו וסברו, </w:t>
      </w:r>
      <w:r w:rsidR="008C386B">
        <w:rPr>
          <w:rFonts w:hint="cs"/>
          <w:rtl/>
        </w:rPr>
        <w:t>שרבי יהושע בן קרחה מוסיף על דברי תנא קמא, ולשיטתו</w:t>
      </w:r>
      <w:r w:rsidR="00AA5333">
        <w:rPr>
          <w:rFonts w:hint="cs"/>
          <w:rtl/>
        </w:rPr>
        <w:t xml:space="preserve"> יש ללכת אחרי ספק דאורייתא לחומרא, אבל רק במקרה בו החכמים שווים, ובלשונו:</w:t>
      </w:r>
    </w:p>
    <w:p w14:paraId="61268C7F" w14:textId="243DF2F8" w:rsidR="008C386B" w:rsidRDefault="00D2213B" w:rsidP="00EE687F">
      <w:pPr>
        <w:ind w:left="720"/>
        <w:rPr>
          <w:rtl/>
        </w:rPr>
      </w:pPr>
      <w:r>
        <w:rPr>
          <w:rFonts w:cs="Arial" w:hint="cs"/>
          <w:rtl/>
        </w:rPr>
        <w:t>''</w:t>
      </w:r>
      <w:r w:rsidRPr="00D2213B">
        <w:rPr>
          <w:rFonts w:cs="Arial"/>
          <w:rtl/>
        </w:rPr>
        <w:t>כיצד שורת הדין</w:t>
      </w:r>
      <w:r w:rsidR="00B42BB3">
        <w:rPr>
          <w:rFonts w:cs="Arial" w:hint="cs"/>
          <w:rtl/>
        </w:rPr>
        <w:t>,</w:t>
      </w:r>
      <w:r w:rsidRPr="00D2213B">
        <w:rPr>
          <w:rFonts w:cs="Arial"/>
          <w:rtl/>
        </w:rPr>
        <w:t xml:space="preserve"> אם שנים הפוסקים באחד זה אוסר וזה מתיר. אם נודע האחד גדול בחכמה ובמנ</w:t>
      </w:r>
      <w:r w:rsidR="00B42BB3">
        <w:rPr>
          <w:rFonts w:cs="Arial" w:hint="cs"/>
          <w:rtl/>
        </w:rPr>
        <w:t>י</w:t>
      </w:r>
      <w:r w:rsidRPr="00D2213B">
        <w:rPr>
          <w:rFonts w:cs="Arial"/>
          <w:rtl/>
        </w:rPr>
        <w:t>ין ויצא שמו כן הולכין אחריו בין להחמיר בין להקל. היו שניהם ש</w:t>
      </w:r>
      <w:r w:rsidR="00E452D5">
        <w:rPr>
          <w:rFonts w:cs="Arial" w:hint="cs"/>
          <w:rtl/>
        </w:rPr>
        <w:t>ו</w:t>
      </w:r>
      <w:r w:rsidRPr="00D2213B">
        <w:rPr>
          <w:rFonts w:cs="Arial"/>
          <w:rtl/>
        </w:rPr>
        <w:t xml:space="preserve">וין ולא נודע מי גדול משניהם. בשל תורה הולכין אחר המחמיר דהוה ליה כספיקא דאורייתא ובשל סופרים הולכין אחר המקל וכדאיתא </w:t>
      </w:r>
      <w:r>
        <w:rPr>
          <w:rFonts w:cs="Arial" w:hint="cs"/>
          <w:rtl/>
        </w:rPr>
        <w:t>ב</w:t>
      </w:r>
      <w:r w:rsidRPr="00D2213B">
        <w:rPr>
          <w:rFonts w:cs="Arial"/>
          <w:rtl/>
        </w:rPr>
        <w:t>עבודה זרה. ומי שסומך על המקל</w:t>
      </w:r>
      <w:r w:rsidR="00117D11">
        <w:rPr>
          <w:rFonts w:cs="Arial" w:hint="cs"/>
          <w:rtl/>
        </w:rPr>
        <w:t>,</w:t>
      </w:r>
      <w:r w:rsidRPr="00D2213B">
        <w:rPr>
          <w:rFonts w:cs="Arial"/>
          <w:rtl/>
        </w:rPr>
        <w:t xml:space="preserve"> בשל תורה עובר.</w:t>
      </w:r>
      <w:r>
        <w:rPr>
          <w:rFonts w:cs="Arial" w:hint="cs"/>
          <w:rtl/>
        </w:rPr>
        <w:t>''</w:t>
      </w:r>
      <w:r w:rsidRPr="00D2213B">
        <w:rPr>
          <w:rFonts w:cs="Arial"/>
          <w:rtl/>
        </w:rPr>
        <w:t xml:space="preserve"> </w:t>
      </w:r>
      <w:r w:rsidR="008C386B">
        <w:rPr>
          <w:rFonts w:hint="cs"/>
          <w:rtl/>
        </w:rPr>
        <w:t xml:space="preserve"> </w:t>
      </w:r>
    </w:p>
    <w:p w14:paraId="4442E733" w14:textId="49E734CB" w:rsidR="00D93546" w:rsidRDefault="008C386B" w:rsidP="00D93546">
      <w:pPr>
        <w:rPr>
          <w:rtl/>
        </w:rPr>
      </w:pPr>
      <w:r>
        <w:rPr>
          <w:rFonts w:hint="cs"/>
          <w:rtl/>
        </w:rPr>
        <w:t>מה הה</w:t>
      </w:r>
      <w:r w:rsidR="004F31E0">
        <w:rPr>
          <w:rFonts w:hint="cs"/>
          <w:rtl/>
        </w:rPr>
        <w:t>י</w:t>
      </w:r>
      <w:r>
        <w:rPr>
          <w:rFonts w:hint="cs"/>
          <w:rtl/>
        </w:rPr>
        <w:t>גיון בקביעה זו?</w:t>
      </w:r>
      <w:r w:rsidR="00EE687F">
        <w:rPr>
          <w:rFonts w:hint="cs"/>
          <w:rtl/>
        </w:rPr>
        <w:t xml:space="preserve"> </w:t>
      </w:r>
      <w:r w:rsidR="000A5C74">
        <w:rPr>
          <w:rFonts w:hint="cs"/>
          <w:rtl/>
        </w:rPr>
        <w:t xml:space="preserve">כמו בקביעה על פי רוב שראינו לעיל, </w:t>
      </w:r>
      <w:r w:rsidR="00EE687F">
        <w:rPr>
          <w:rFonts w:hint="cs"/>
          <w:rtl/>
        </w:rPr>
        <w:t xml:space="preserve">נראה </w:t>
      </w:r>
      <w:r w:rsidR="00FC79CD">
        <w:rPr>
          <w:rFonts w:hint="cs"/>
          <w:rtl/>
        </w:rPr>
        <w:t>ש</w:t>
      </w:r>
      <w:r w:rsidR="00EE687F">
        <w:rPr>
          <w:rFonts w:hint="cs"/>
          <w:rtl/>
        </w:rPr>
        <w:t xml:space="preserve">כאשר רב גדול יותר סובר כדעה א' מסתמא הוא מכוון לאמת יותר, ומשום כך אין זה מקרה של ספק בו הולכים בדאורייתא לחומרא ובדרבנן לקולא. </w:t>
      </w:r>
      <w:r w:rsidR="00DD0F81">
        <w:rPr>
          <w:rFonts w:hint="cs"/>
          <w:rtl/>
        </w:rPr>
        <w:t xml:space="preserve">באופן כללי </w:t>
      </w:r>
      <w:r w:rsidR="00EE687F">
        <w:rPr>
          <w:rFonts w:hint="cs"/>
          <w:rtl/>
        </w:rPr>
        <w:t>דברי הרשב''א נפסקו להלכה</w:t>
      </w:r>
      <w:r w:rsidR="007431EE">
        <w:rPr>
          <w:rFonts w:hint="cs"/>
          <w:rtl/>
        </w:rPr>
        <w:t xml:space="preserve"> </w:t>
      </w:r>
      <w:r w:rsidR="007431EE">
        <w:rPr>
          <w:rFonts w:hint="cs"/>
          <w:sz w:val="18"/>
          <w:szCs w:val="18"/>
          <w:rtl/>
        </w:rPr>
        <w:t>(ועיין בש''ך יו''ד רמב)</w:t>
      </w:r>
      <w:r w:rsidR="00F647C3">
        <w:rPr>
          <w:rFonts w:hint="cs"/>
          <w:rtl/>
        </w:rPr>
        <w:t xml:space="preserve"> ולא דברי הרמב''ם</w:t>
      </w:r>
      <w:r w:rsidR="00EE687F">
        <w:rPr>
          <w:rFonts w:hint="cs"/>
          <w:rtl/>
        </w:rPr>
        <w:t>, אלא ש</w:t>
      </w:r>
      <w:r w:rsidR="00BB1FA8">
        <w:rPr>
          <w:rFonts w:hint="cs"/>
          <w:rtl/>
        </w:rPr>
        <w:t xml:space="preserve">למעשה </w:t>
      </w:r>
      <w:r w:rsidR="00EE687F">
        <w:rPr>
          <w:rFonts w:hint="cs"/>
          <w:rtl/>
        </w:rPr>
        <w:t xml:space="preserve">גם כלל זה </w:t>
      </w:r>
      <w:r w:rsidR="00BB1FA8">
        <w:rPr>
          <w:rFonts w:hint="cs"/>
          <w:rtl/>
        </w:rPr>
        <w:t xml:space="preserve">כמו הכללים הקודמים </w:t>
      </w:r>
      <w:r w:rsidR="00EE687F">
        <w:rPr>
          <w:rFonts w:hint="cs"/>
          <w:rtl/>
        </w:rPr>
        <w:t>קשה ליישום</w:t>
      </w:r>
      <w:r w:rsidR="00BB1FA8">
        <w:rPr>
          <w:rFonts w:hint="cs"/>
          <w:rtl/>
        </w:rPr>
        <w:t xml:space="preserve"> באופן תמידי</w:t>
      </w:r>
      <w:r w:rsidR="00A95B48">
        <w:rPr>
          <w:rFonts w:hint="cs"/>
          <w:rtl/>
        </w:rPr>
        <w:t>.</w:t>
      </w:r>
      <w:r w:rsidR="00EE687F">
        <w:rPr>
          <w:rFonts w:hint="cs"/>
          <w:rtl/>
        </w:rPr>
        <w:t xml:space="preserve"> </w:t>
      </w:r>
    </w:p>
    <w:p w14:paraId="6661BCBA" w14:textId="7706BEAE" w:rsidR="008C386B" w:rsidRPr="00D93546" w:rsidRDefault="00D93546" w:rsidP="00D93546">
      <w:pPr>
        <w:rPr>
          <w:rtl/>
        </w:rPr>
      </w:pPr>
      <w:r>
        <w:rPr>
          <w:rFonts w:hint="cs"/>
          <w:rtl/>
        </w:rPr>
        <w:t xml:space="preserve">הסיבה לכך היא, </w:t>
      </w:r>
      <w:r w:rsidR="00EE687F">
        <w:rPr>
          <w:rFonts w:hint="cs"/>
          <w:rtl/>
        </w:rPr>
        <w:t>שבמקרים רבים קשה להכריע מי גדול יותר</w:t>
      </w:r>
      <w:r w:rsidR="004F31E0">
        <w:rPr>
          <w:rFonts w:hint="cs"/>
          <w:rtl/>
        </w:rPr>
        <w:t xml:space="preserve"> כפי שכתב </w:t>
      </w:r>
      <w:r w:rsidR="004F31E0" w:rsidRPr="004F31E0">
        <w:rPr>
          <w:rFonts w:hint="cs"/>
          <w:b/>
          <w:bCs/>
          <w:rtl/>
        </w:rPr>
        <w:t>הרי''ד</w:t>
      </w:r>
      <w:r w:rsidR="004F31E0">
        <w:rPr>
          <w:rFonts w:hint="cs"/>
          <w:rtl/>
        </w:rPr>
        <w:t xml:space="preserve"> </w:t>
      </w:r>
      <w:r w:rsidR="004F31E0">
        <w:rPr>
          <w:rFonts w:hint="cs"/>
          <w:sz w:val="18"/>
          <w:szCs w:val="18"/>
          <w:rtl/>
        </w:rPr>
        <w:t>(סי' סב)</w:t>
      </w:r>
      <w:r w:rsidR="0034416D">
        <w:rPr>
          <w:rFonts w:hint="cs"/>
          <w:rtl/>
        </w:rPr>
        <w:t xml:space="preserve"> - קביעה </w:t>
      </w:r>
      <w:r w:rsidR="004F31E0">
        <w:rPr>
          <w:rFonts w:hint="cs"/>
          <w:rtl/>
        </w:rPr>
        <w:t xml:space="preserve">שהניע אותו לפסוק </w:t>
      </w:r>
      <w:r w:rsidR="0034416D">
        <w:rPr>
          <w:rFonts w:hint="cs"/>
          <w:rtl/>
        </w:rPr>
        <w:t>ב</w:t>
      </w:r>
      <w:r w:rsidR="004F31E0">
        <w:rPr>
          <w:rFonts w:hint="cs"/>
          <w:rtl/>
        </w:rPr>
        <w:t>כח שכלו ולא ללכת על פי רוב פוסקים</w:t>
      </w:r>
      <w:r w:rsidR="00EE687F">
        <w:rPr>
          <w:rFonts w:hint="cs"/>
          <w:rtl/>
        </w:rPr>
        <w:t>.</w:t>
      </w:r>
      <w:r w:rsidR="004F31E0">
        <w:rPr>
          <w:rFonts w:hint="cs"/>
          <w:rtl/>
        </w:rPr>
        <w:t xml:space="preserve"> </w:t>
      </w:r>
      <w:r w:rsidR="0048003D">
        <w:rPr>
          <w:rFonts w:hint="cs"/>
          <w:rtl/>
        </w:rPr>
        <w:t>ו</w:t>
      </w:r>
      <w:r w:rsidR="004F31E0">
        <w:rPr>
          <w:rFonts w:hint="cs"/>
          <w:rtl/>
        </w:rPr>
        <w:t xml:space="preserve">אמנם, יש שבכל זאת צירפו </w:t>
      </w:r>
      <w:r w:rsidR="00C11ADB">
        <w:rPr>
          <w:rFonts w:hint="cs"/>
          <w:rtl/>
        </w:rPr>
        <w:t xml:space="preserve">לעיתים </w:t>
      </w:r>
      <w:r w:rsidR="004F31E0">
        <w:rPr>
          <w:rFonts w:hint="cs"/>
          <w:rtl/>
        </w:rPr>
        <w:t>כלל זה</w:t>
      </w:r>
      <w:r w:rsidR="0048003D">
        <w:rPr>
          <w:rFonts w:hint="cs"/>
          <w:rtl/>
        </w:rPr>
        <w:t xml:space="preserve"> כגון</w:t>
      </w:r>
      <w:r w:rsidR="004F31E0">
        <w:rPr>
          <w:rFonts w:hint="cs"/>
          <w:rtl/>
        </w:rPr>
        <w:t xml:space="preserve"> </w:t>
      </w:r>
      <w:r w:rsidR="004F31E0" w:rsidRPr="00D93546">
        <w:rPr>
          <w:rFonts w:hint="cs"/>
          <w:b/>
          <w:bCs/>
          <w:rtl/>
        </w:rPr>
        <w:t>הרא''ש</w:t>
      </w:r>
      <w:r w:rsidR="004F31E0">
        <w:rPr>
          <w:rFonts w:hint="cs"/>
          <w:rtl/>
        </w:rPr>
        <w:t xml:space="preserve"> </w:t>
      </w:r>
      <w:r w:rsidR="004F31E0">
        <w:rPr>
          <w:rFonts w:hint="cs"/>
          <w:sz w:val="18"/>
          <w:szCs w:val="18"/>
          <w:rtl/>
        </w:rPr>
        <w:t xml:space="preserve">(כלל צד, ה) </w:t>
      </w:r>
      <w:r w:rsidR="0048003D">
        <w:rPr>
          <w:rFonts w:hint="cs"/>
          <w:rtl/>
        </w:rPr>
        <w:t>ש</w:t>
      </w:r>
      <w:r w:rsidR="004F31E0">
        <w:rPr>
          <w:rFonts w:hint="cs"/>
          <w:rtl/>
        </w:rPr>
        <w:t xml:space="preserve">פסק פעם אחת כדעת הרי''ף, התוספות והראב''ד וכנגד הרמב''ם </w:t>
      </w:r>
      <w:r w:rsidR="00CF1301">
        <w:rPr>
          <w:rFonts w:hint="cs"/>
          <w:rtl/>
        </w:rPr>
        <w:t xml:space="preserve">בין השאר בגלל </w:t>
      </w:r>
      <w:r w:rsidR="004F31E0">
        <w:rPr>
          <w:rFonts w:hint="cs"/>
          <w:rtl/>
        </w:rPr>
        <w:t>''שהיו מופלגין יותר בחכמה ובמניין'</w:t>
      </w:r>
      <w:r w:rsidR="00C11ADB">
        <w:rPr>
          <w:rFonts w:hint="cs"/>
          <w:rtl/>
        </w:rPr>
        <w:t>'</w:t>
      </w:r>
      <w:r w:rsidR="004F31E0">
        <w:rPr>
          <w:rFonts w:hint="cs"/>
          <w:rtl/>
        </w:rPr>
        <w:t xml:space="preserve">. </w:t>
      </w:r>
    </w:p>
    <w:p w14:paraId="00BE21FD" w14:textId="23C5CC9F" w:rsidR="002F6ACF" w:rsidRPr="00DC4934" w:rsidRDefault="004C79A0" w:rsidP="00DC4934">
      <w:pPr>
        <w:rPr>
          <w:sz w:val="18"/>
          <w:szCs w:val="18"/>
          <w:u w:val="single"/>
          <w:rtl/>
        </w:rPr>
      </w:pPr>
      <w:r>
        <w:rPr>
          <w:rFonts w:hint="cs"/>
          <w:u w:val="single"/>
          <w:rtl/>
        </w:rPr>
        <w:t>הכרעה בספק</w:t>
      </w:r>
    </w:p>
    <w:p w14:paraId="5C39B6A3" w14:textId="5464808C" w:rsidR="002F6ACF" w:rsidRDefault="00A62380" w:rsidP="00F439D6">
      <w:pPr>
        <w:rPr>
          <w:rtl/>
        </w:rPr>
      </w:pPr>
      <w:r>
        <w:rPr>
          <w:rFonts w:hint="cs"/>
          <w:rtl/>
        </w:rPr>
        <w:t xml:space="preserve">יוצא שלמעשה, מי שלא משתמש בכוח שכלו וסברתו להכריע כנגד הראשונים, לא סובר שיש ללכת אחרי הרוב, ואין לו רב קבוע שהוא צועד אחר פסקיו, פעמים רבות יצטרך להשתמש בכלל ספק דאורייתא לחומרא ודרבנן לקולא. אלא, שגם כלל זה צריך בירור. </w:t>
      </w:r>
      <w:r w:rsidR="000A7DD3">
        <w:rPr>
          <w:rFonts w:hint="cs"/>
          <w:rtl/>
        </w:rPr>
        <w:t>למשל</w:t>
      </w:r>
      <w:r>
        <w:rPr>
          <w:rFonts w:hint="cs"/>
          <w:rtl/>
        </w:rPr>
        <w:t xml:space="preserve">, מה הדין כאשר יש מצווה הכוללת דינים דאורייתא ודרבנן, </w:t>
      </w:r>
      <w:r w:rsidR="00CB2A70">
        <w:rPr>
          <w:rFonts w:hint="cs"/>
          <w:rtl/>
        </w:rPr>
        <w:t xml:space="preserve">ומה דין </w:t>
      </w:r>
      <w:r>
        <w:rPr>
          <w:rFonts w:hint="cs"/>
          <w:rtl/>
        </w:rPr>
        <w:t>אדם שמסתפק האם נטל לולב ביום טוב ראשון (מדאורייתא), ולנטילת הלולב צמודה ברכה מדרבנן</w:t>
      </w:r>
      <w:r w:rsidR="000B0D30">
        <w:rPr>
          <w:rFonts w:hint="cs"/>
          <w:rtl/>
        </w:rPr>
        <w:t xml:space="preserve"> - </w:t>
      </w:r>
      <w:r w:rsidR="00266CE0">
        <w:rPr>
          <w:rFonts w:hint="cs"/>
          <w:rtl/>
        </w:rPr>
        <w:t>ו</w:t>
      </w:r>
      <w:r>
        <w:rPr>
          <w:rFonts w:hint="cs"/>
          <w:rtl/>
        </w:rPr>
        <w:t>נראה נושאים אלו</w:t>
      </w:r>
      <w:r w:rsidR="0048003D">
        <w:rPr>
          <w:rFonts w:hint="cs"/>
          <w:rtl/>
        </w:rPr>
        <w:t xml:space="preserve"> </w:t>
      </w:r>
      <w:r w:rsidR="00AA1C02">
        <w:rPr>
          <w:rFonts w:hint="cs"/>
          <w:rtl/>
        </w:rPr>
        <w:t>בדף לשמחת תורה.</w:t>
      </w:r>
    </w:p>
    <w:p w14:paraId="71FDB761" w14:textId="77777777" w:rsidR="002F6ACF" w:rsidRPr="00B54042" w:rsidRDefault="002F6ACF" w:rsidP="002F6ACF">
      <w:pPr>
        <w:spacing w:after="100"/>
        <w:rPr>
          <w:b/>
          <w:bCs/>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2F6ACF" w:rsidRPr="00B54042" w:rsidSect="00CF5EF4">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8101B" w14:textId="77777777" w:rsidR="00A073DA" w:rsidRDefault="00A073DA" w:rsidP="00660B96">
      <w:pPr>
        <w:spacing w:after="0" w:line="240" w:lineRule="auto"/>
      </w:pPr>
      <w:r>
        <w:separator/>
      </w:r>
    </w:p>
  </w:endnote>
  <w:endnote w:type="continuationSeparator" w:id="0">
    <w:p w14:paraId="18EBAD38" w14:textId="77777777" w:rsidR="00A073DA" w:rsidRDefault="00A073DA" w:rsidP="00660B96">
      <w:pPr>
        <w:spacing w:after="0" w:line="240" w:lineRule="auto"/>
      </w:pPr>
      <w:r>
        <w:continuationSeparator/>
      </w:r>
    </w:p>
  </w:endnote>
  <w:endnote w:type="continuationNotice" w:id="1">
    <w:p w14:paraId="36F20F3A" w14:textId="77777777" w:rsidR="00A073DA" w:rsidRDefault="00A073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9F492" w14:textId="77777777" w:rsidR="00A073DA" w:rsidRDefault="00A073DA" w:rsidP="00660B96">
      <w:pPr>
        <w:spacing w:after="0" w:line="240" w:lineRule="auto"/>
      </w:pPr>
      <w:r>
        <w:separator/>
      </w:r>
    </w:p>
  </w:footnote>
  <w:footnote w:type="continuationSeparator" w:id="0">
    <w:p w14:paraId="1DB11F60" w14:textId="77777777" w:rsidR="00A073DA" w:rsidRDefault="00A073DA" w:rsidP="00660B96">
      <w:pPr>
        <w:spacing w:after="0" w:line="240" w:lineRule="auto"/>
      </w:pPr>
      <w:r>
        <w:continuationSeparator/>
      </w:r>
    </w:p>
  </w:footnote>
  <w:footnote w:type="continuationNotice" w:id="1">
    <w:p w14:paraId="320676E1" w14:textId="77777777" w:rsidR="00A073DA" w:rsidRDefault="00A073DA">
      <w:pPr>
        <w:spacing w:after="0" w:line="240" w:lineRule="auto"/>
      </w:pPr>
    </w:p>
  </w:footnote>
  <w:footnote w:id="2">
    <w:p w14:paraId="39E497DD" w14:textId="0C2C0E4D" w:rsidR="00660B96" w:rsidRPr="001F2E9D" w:rsidRDefault="00660B96">
      <w:pPr>
        <w:pStyle w:val="a3"/>
        <w:rPr>
          <w:rtl/>
        </w:rPr>
      </w:pPr>
      <w:r>
        <w:rPr>
          <w:rStyle w:val="a5"/>
        </w:rPr>
        <w:footnoteRef/>
      </w:r>
      <w:r>
        <w:rPr>
          <w:rtl/>
        </w:rPr>
        <w:t xml:space="preserve"> </w:t>
      </w:r>
      <w:r w:rsidR="00CF7B20">
        <w:rPr>
          <w:rFonts w:hint="cs"/>
          <w:rtl/>
        </w:rPr>
        <w:t xml:space="preserve">כהערת אגב, </w:t>
      </w:r>
      <w:r>
        <w:rPr>
          <w:rFonts w:hint="cs"/>
          <w:rtl/>
        </w:rPr>
        <w:t>כמובן שהדיון עצמו</w:t>
      </w:r>
      <w:r w:rsidRPr="00052EA2">
        <w:rPr>
          <w:rFonts w:hint="cs"/>
          <w:sz w:val="16"/>
          <w:szCs w:val="16"/>
          <w:rtl/>
        </w:rPr>
        <w:t xml:space="preserve"> (השבוע </w:t>
      </w:r>
      <w:r w:rsidR="00AD0339">
        <w:rPr>
          <w:rFonts w:hint="cs"/>
          <w:sz w:val="16"/>
          <w:szCs w:val="16"/>
          <w:rtl/>
        </w:rPr>
        <w:t>ו</w:t>
      </w:r>
      <w:r w:rsidRPr="00052EA2">
        <w:rPr>
          <w:rFonts w:hint="cs"/>
          <w:sz w:val="16"/>
          <w:szCs w:val="16"/>
          <w:rtl/>
        </w:rPr>
        <w:t xml:space="preserve">שעבר) </w:t>
      </w:r>
      <w:r>
        <w:rPr>
          <w:rFonts w:hint="cs"/>
          <w:rtl/>
        </w:rPr>
        <w:t>פרדוקסלי, כיוון ש</w:t>
      </w:r>
      <w:r w:rsidR="00052EA2">
        <w:rPr>
          <w:rFonts w:hint="cs"/>
          <w:rtl/>
        </w:rPr>
        <w:t xml:space="preserve">מנהלים דיון האם </w:t>
      </w:r>
      <w:r>
        <w:rPr>
          <w:rFonts w:hint="cs"/>
          <w:rtl/>
        </w:rPr>
        <w:t xml:space="preserve">צריך להקשיב </w:t>
      </w:r>
      <w:r w:rsidR="00052EA2">
        <w:rPr>
          <w:rFonts w:hint="cs"/>
          <w:rtl/>
        </w:rPr>
        <w:t xml:space="preserve">לפוסק כזה או אחר, ומשום כך אין זה משנה עם הרשב''א או הרמב''ם </w:t>
      </w:r>
      <w:r w:rsidR="00822773">
        <w:rPr>
          <w:rFonts w:hint="cs"/>
          <w:rtl/>
        </w:rPr>
        <w:t xml:space="preserve">ייחשבו </w:t>
      </w:r>
      <w:r w:rsidR="00052EA2">
        <w:rPr>
          <w:rFonts w:hint="cs"/>
          <w:rtl/>
        </w:rPr>
        <w:t>כך או אחרת, שהרי השאלה היא האם</w:t>
      </w:r>
      <w:r w:rsidR="00CF7B20">
        <w:rPr>
          <w:rFonts w:hint="cs"/>
          <w:rtl/>
        </w:rPr>
        <w:t xml:space="preserve"> מראש</w:t>
      </w:r>
      <w:r w:rsidR="00052EA2">
        <w:rPr>
          <w:rFonts w:hint="cs"/>
          <w:rtl/>
        </w:rPr>
        <w:t xml:space="preserve"> צריך להקשיב </w:t>
      </w:r>
      <w:r w:rsidR="00822773">
        <w:rPr>
          <w:rFonts w:hint="cs"/>
          <w:rtl/>
        </w:rPr>
        <w:t>ל</w:t>
      </w:r>
      <w:r w:rsidR="00052EA2">
        <w:rPr>
          <w:rFonts w:hint="cs"/>
          <w:rtl/>
        </w:rPr>
        <w:t xml:space="preserve">דבריהם. משום כך יוצא שבכל מקרה, אין סיטואציה שבה האדם יכול להתחמק לגמרי מהכרעה אישית, ועליו לחשוב שנכון לקבל את </w:t>
      </w:r>
      <w:r w:rsidR="00AD0339">
        <w:rPr>
          <w:rFonts w:hint="cs"/>
          <w:rtl/>
        </w:rPr>
        <w:t>ה</w:t>
      </w:r>
      <w:r w:rsidR="00052EA2">
        <w:rPr>
          <w:rFonts w:hint="cs"/>
          <w:rtl/>
        </w:rPr>
        <w:t>הנחה שיש להקשיב לפוסק במידה מסויימת.</w:t>
      </w:r>
    </w:p>
  </w:footnote>
  <w:footnote w:id="3">
    <w:p w14:paraId="57441A14" w14:textId="70C1EA63" w:rsidR="0090045C" w:rsidRDefault="0090045C">
      <w:pPr>
        <w:pStyle w:val="a3"/>
      </w:pPr>
      <w:r>
        <w:rPr>
          <w:rStyle w:val="a5"/>
        </w:rPr>
        <w:footnoteRef/>
      </w:r>
      <w:r>
        <w:rPr>
          <w:rtl/>
        </w:rPr>
        <w:t xml:space="preserve"> </w:t>
      </w:r>
      <w:r>
        <w:rPr>
          <w:rFonts w:hint="cs"/>
          <w:rtl/>
        </w:rPr>
        <w:t xml:space="preserve">יש </w:t>
      </w:r>
      <w:r w:rsidR="00E551C1">
        <w:rPr>
          <w:rFonts w:hint="cs"/>
          <w:rtl/>
        </w:rPr>
        <w:t>שפירשו</w:t>
      </w:r>
      <w:r>
        <w:rPr>
          <w:rFonts w:hint="cs"/>
          <w:rtl/>
        </w:rPr>
        <w:t xml:space="preserve"> שהכוונה למניין שנים, ככל שהפוסק מבוגר יותר כך יש ללכת בעקבותיו. הריטב''א נימק שהסיבה לכך היא, שמסתמא הוא שימש יותר תלמידי חכמים, ופסיקתו נכונה יותר. אפשרות </w:t>
      </w:r>
      <w:r w:rsidR="0048003D">
        <w:rPr>
          <w:rFonts w:hint="cs"/>
          <w:rtl/>
        </w:rPr>
        <w:t>נוספת</w:t>
      </w:r>
      <w:r>
        <w:rPr>
          <w:rFonts w:hint="cs"/>
          <w:rtl/>
        </w:rPr>
        <w:t xml:space="preserve"> שככל שאדם יותר מבוגר יש לו יותר ניסיון חיים, שעוזר לו לקלוט את הבעיה בצורה טובה יותר, וכן לתת </w:t>
      </w:r>
      <w:r w:rsidR="00392B8E">
        <w:rPr>
          <w:rFonts w:hint="cs"/>
          <w:rtl/>
        </w:rPr>
        <w:t xml:space="preserve">תשובה </w:t>
      </w:r>
      <w:r>
        <w:rPr>
          <w:rFonts w:hint="cs"/>
          <w:rtl/>
        </w:rPr>
        <w:t>מותאמת יותר.</w:t>
      </w:r>
    </w:p>
  </w:footnote>
  <w:footnote w:id="4">
    <w:p w14:paraId="2D70F036" w14:textId="77777777" w:rsidR="002F6ACF" w:rsidRPr="000E67A9" w:rsidRDefault="002F6ACF" w:rsidP="002F6ACF">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6A"/>
    <w:rsid w:val="00014D5A"/>
    <w:rsid w:val="000372F5"/>
    <w:rsid w:val="00052EA2"/>
    <w:rsid w:val="000556B0"/>
    <w:rsid w:val="00095B61"/>
    <w:rsid w:val="000A361B"/>
    <w:rsid w:val="000A5C74"/>
    <w:rsid w:val="000A7DD3"/>
    <w:rsid w:val="000B0D30"/>
    <w:rsid w:val="000D26F0"/>
    <w:rsid w:val="000E27F2"/>
    <w:rsid w:val="00102D6B"/>
    <w:rsid w:val="0011092A"/>
    <w:rsid w:val="00117D11"/>
    <w:rsid w:val="00163BFE"/>
    <w:rsid w:val="001918CC"/>
    <w:rsid w:val="00192A75"/>
    <w:rsid w:val="00192FDF"/>
    <w:rsid w:val="001972B7"/>
    <w:rsid w:val="00197605"/>
    <w:rsid w:val="001A3D8B"/>
    <w:rsid w:val="001A613E"/>
    <w:rsid w:val="001D439A"/>
    <w:rsid w:val="001E1878"/>
    <w:rsid w:val="001F2E9D"/>
    <w:rsid w:val="002019CC"/>
    <w:rsid w:val="0021578A"/>
    <w:rsid w:val="00223508"/>
    <w:rsid w:val="00236925"/>
    <w:rsid w:val="00240BB4"/>
    <w:rsid w:val="00245D0D"/>
    <w:rsid w:val="00266CE0"/>
    <w:rsid w:val="00274575"/>
    <w:rsid w:val="002A6D2B"/>
    <w:rsid w:val="002B7B01"/>
    <w:rsid w:val="002F179F"/>
    <w:rsid w:val="002F6ACF"/>
    <w:rsid w:val="00304E63"/>
    <w:rsid w:val="003128B9"/>
    <w:rsid w:val="00317DC0"/>
    <w:rsid w:val="00324A3F"/>
    <w:rsid w:val="0034416D"/>
    <w:rsid w:val="003718BF"/>
    <w:rsid w:val="00373A5F"/>
    <w:rsid w:val="00375FAB"/>
    <w:rsid w:val="00381455"/>
    <w:rsid w:val="00383ED6"/>
    <w:rsid w:val="00384F74"/>
    <w:rsid w:val="003869E6"/>
    <w:rsid w:val="00392B8E"/>
    <w:rsid w:val="00397BD4"/>
    <w:rsid w:val="003A02DA"/>
    <w:rsid w:val="003C496E"/>
    <w:rsid w:val="003D71F1"/>
    <w:rsid w:val="003E31EB"/>
    <w:rsid w:val="004028F3"/>
    <w:rsid w:val="00417AA2"/>
    <w:rsid w:val="0047736B"/>
    <w:rsid w:val="00477AC8"/>
    <w:rsid w:val="0048003D"/>
    <w:rsid w:val="004C79A0"/>
    <w:rsid w:val="004C7AD1"/>
    <w:rsid w:val="004E2057"/>
    <w:rsid w:val="004F31E0"/>
    <w:rsid w:val="004F4BEB"/>
    <w:rsid w:val="0050743D"/>
    <w:rsid w:val="00515E44"/>
    <w:rsid w:val="00531955"/>
    <w:rsid w:val="00545A73"/>
    <w:rsid w:val="00551F61"/>
    <w:rsid w:val="00554648"/>
    <w:rsid w:val="00557C0C"/>
    <w:rsid w:val="00564E91"/>
    <w:rsid w:val="005675D8"/>
    <w:rsid w:val="005714B9"/>
    <w:rsid w:val="00572424"/>
    <w:rsid w:val="00574FCB"/>
    <w:rsid w:val="0057713A"/>
    <w:rsid w:val="005A1B9B"/>
    <w:rsid w:val="005B1D07"/>
    <w:rsid w:val="005B440E"/>
    <w:rsid w:val="005C0303"/>
    <w:rsid w:val="005C163F"/>
    <w:rsid w:val="005F6D77"/>
    <w:rsid w:val="006063F3"/>
    <w:rsid w:val="00615352"/>
    <w:rsid w:val="00617AA6"/>
    <w:rsid w:val="006258F4"/>
    <w:rsid w:val="00631F80"/>
    <w:rsid w:val="00660B96"/>
    <w:rsid w:val="00662D43"/>
    <w:rsid w:val="0068626B"/>
    <w:rsid w:val="006B4162"/>
    <w:rsid w:val="006B4D17"/>
    <w:rsid w:val="006B652B"/>
    <w:rsid w:val="006D135B"/>
    <w:rsid w:val="006D541F"/>
    <w:rsid w:val="006F4467"/>
    <w:rsid w:val="00715078"/>
    <w:rsid w:val="007327F8"/>
    <w:rsid w:val="007431EE"/>
    <w:rsid w:val="00785E56"/>
    <w:rsid w:val="007869E0"/>
    <w:rsid w:val="00794EC0"/>
    <w:rsid w:val="007B0A2E"/>
    <w:rsid w:val="007B2C97"/>
    <w:rsid w:val="007B4C2F"/>
    <w:rsid w:val="007F4260"/>
    <w:rsid w:val="008024AA"/>
    <w:rsid w:val="0082208A"/>
    <w:rsid w:val="00822773"/>
    <w:rsid w:val="00825734"/>
    <w:rsid w:val="008351EC"/>
    <w:rsid w:val="00840455"/>
    <w:rsid w:val="008443A4"/>
    <w:rsid w:val="0085236A"/>
    <w:rsid w:val="00864171"/>
    <w:rsid w:val="00882408"/>
    <w:rsid w:val="008C386B"/>
    <w:rsid w:val="008C5EFA"/>
    <w:rsid w:val="008D6815"/>
    <w:rsid w:val="008D7AF0"/>
    <w:rsid w:val="008E4118"/>
    <w:rsid w:val="008F404A"/>
    <w:rsid w:val="008F557B"/>
    <w:rsid w:val="0090045C"/>
    <w:rsid w:val="0091620C"/>
    <w:rsid w:val="00916250"/>
    <w:rsid w:val="00922D22"/>
    <w:rsid w:val="0094091E"/>
    <w:rsid w:val="00945503"/>
    <w:rsid w:val="00963C54"/>
    <w:rsid w:val="00981632"/>
    <w:rsid w:val="009B282B"/>
    <w:rsid w:val="009F6691"/>
    <w:rsid w:val="00A073DA"/>
    <w:rsid w:val="00A26254"/>
    <w:rsid w:val="00A47AA3"/>
    <w:rsid w:val="00A62380"/>
    <w:rsid w:val="00A71CAA"/>
    <w:rsid w:val="00A739F0"/>
    <w:rsid w:val="00A95B48"/>
    <w:rsid w:val="00AA1C02"/>
    <w:rsid w:val="00AA5333"/>
    <w:rsid w:val="00AA75D7"/>
    <w:rsid w:val="00AD0339"/>
    <w:rsid w:val="00AD745F"/>
    <w:rsid w:val="00AD7DF9"/>
    <w:rsid w:val="00AE2DBE"/>
    <w:rsid w:val="00B00F39"/>
    <w:rsid w:val="00B344CD"/>
    <w:rsid w:val="00B42BB3"/>
    <w:rsid w:val="00B42BC8"/>
    <w:rsid w:val="00B501ED"/>
    <w:rsid w:val="00B710CE"/>
    <w:rsid w:val="00B7164D"/>
    <w:rsid w:val="00B91B73"/>
    <w:rsid w:val="00B93C31"/>
    <w:rsid w:val="00B9767F"/>
    <w:rsid w:val="00BB010E"/>
    <w:rsid w:val="00BB1FA8"/>
    <w:rsid w:val="00C0342C"/>
    <w:rsid w:val="00C11ADB"/>
    <w:rsid w:val="00C2021F"/>
    <w:rsid w:val="00C25DA2"/>
    <w:rsid w:val="00C46A83"/>
    <w:rsid w:val="00C53D07"/>
    <w:rsid w:val="00C652D9"/>
    <w:rsid w:val="00C6564A"/>
    <w:rsid w:val="00C813F9"/>
    <w:rsid w:val="00C85D34"/>
    <w:rsid w:val="00C90EC4"/>
    <w:rsid w:val="00C95300"/>
    <w:rsid w:val="00C95D9F"/>
    <w:rsid w:val="00CA51F2"/>
    <w:rsid w:val="00CB2A70"/>
    <w:rsid w:val="00CC2E04"/>
    <w:rsid w:val="00CE3DFA"/>
    <w:rsid w:val="00CF10C7"/>
    <w:rsid w:val="00CF1301"/>
    <w:rsid w:val="00CF186C"/>
    <w:rsid w:val="00CF5EF4"/>
    <w:rsid w:val="00CF73DE"/>
    <w:rsid w:val="00CF7B20"/>
    <w:rsid w:val="00D04AF9"/>
    <w:rsid w:val="00D15E14"/>
    <w:rsid w:val="00D2213B"/>
    <w:rsid w:val="00D22370"/>
    <w:rsid w:val="00D2248B"/>
    <w:rsid w:val="00D342E9"/>
    <w:rsid w:val="00D53056"/>
    <w:rsid w:val="00D74989"/>
    <w:rsid w:val="00D93546"/>
    <w:rsid w:val="00DA5CB8"/>
    <w:rsid w:val="00DA6137"/>
    <w:rsid w:val="00DC4934"/>
    <w:rsid w:val="00DD0F81"/>
    <w:rsid w:val="00DF1EF6"/>
    <w:rsid w:val="00DF5DF9"/>
    <w:rsid w:val="00E0250D"/>
    <w:rsid w:val="00E228E0"/>
    <w:rsid w:val="00E24467"/>
    <w:rsid w:val="00E27EA4"/>
    <w:rsid w:val="00E43B21"/>
    <w:rsid w:val="00E452D5"/>
    <w:rsid w:val="00E503EB"/>
    <w:rsid w:val="00E50A32"/>
    <w:rsid w:val="00E551C1"/>
    <w:rsid w:val="00E567D6"/>
    <w:rsid w:val="00E76258"/>
    <w:rsid w:val="00EA70A3"/>
    <w:rsid w:val="00EC113B"/>
    <w:rsid w:val="00EE687F"/>
    <w:rsid w:val="00F0631A"/>
    <w:rsid w:val="00F14C78"/>
    <w:rsid w:val="00F14D64"/>
    <w:rsid w:val="00F42823"/>
    <w:rsid w:val="00F439D6"/>
    <w:rsid w:val="00F5047A"/>
    <w:rsid w:val="00F57B56"/>
    <w:rsid w:val="00F647C3"/>
    <w:rsid w:val="00F900CF"/>
    <w:rsid w:val="00FA7698"/>
    <w:rsid w:val="00FC79CD"/>
    <w:rsid w:val="00FD1288"/>
    <w:rsid w:val="00FD3608"/>
    <w:rsid w:val="00FD50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C6D6"/>
  <w15:chartTrackingRefBased/>
  <w15:docId w15:val="{A9FCF189-3520-4928-B5B9-CD3E3CCD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60B96"/>
    <w:pPr>
      <w:spacing w:after="0" w:line="240" w:lineRule="auto"/>
    </w:pPr>
    <w:rPr>
      <w:sz w:val="20"/>
      <w:szCs w:val="20"/>
    </w:rPr>
  </w:style>
  <w:style w:type="character" w:customStyle="1" w:styleId="a4">
    <w:name w:val="טקסט הערת שוליים תו"/>
    <w:basedOn w:val="a0"/>
    <w:link w:val="a3"/>
    <w:uiPriority w:val="99"/>
    <w:rsid w:val="00660B96"/>
    <w:rPr>
      <w:sz w:val="20"/>
      <w:szCs w:val="20"/>
    </w:rPr>
  </w:style>
  <w:style w:type="character" w:styleId="a5">
    <w:name w:val="footnote reference"/>
    <w:basedOn w:val="a0"/>
    <w:uiPriority w:val="99"/>
    <w:semiHidden/>
    <w:unhideWhenUsed/>
    <w:rsid w:val="00660B96"/>
    <w:rPr>
      <w:vertAlign w:val="superscript"/>
    </w:rPr>
  </w:style>
  <w:style w:type="character" w:styleId="Hyperlink">
    <w:name w:val="Hyperlink"/>
    <w:basedOn w:val="a0"/>
    <w:uiPriority w:val="99"/>
    <w:unhideWhenUsed/>
    <w:rsid w:val="002F6ACF"/>
    <w:rPr>
      <w:color w:val="0000FF"/>
      <w:u w:val="single"/>
    </w:rPr>
  </w:style>
  <w:style w:type="paragraph" w:styleId="a6">
    <w:name w:val="header"/>
    <w:basedOn w:val="a"/>
    <w:link w:val="a7"/>
    <w:uiPriority w:val="99"/>
    <w:unhideWhenUsed/>
    <w:rsid w:val="001F2E9D"/>
    <w:pPr>
      <w:tabs>
        <w:tab w:val="center" w:pos="4153"/>
        <w:tab w:val="right" w:pos="8306"/>
      </w:tabs>
      <w:spacing w:after="0" w:line="240" w:lineRule="auto"/>
    </w:pPr>
  </w:style>
  <w:style w:type="character" w:customStyle="1" w:styleId="a7">
    <w:name w:val="כותרת עליונה תו"/>
    <w:basedOn w:val="a0"/>
    <w:link w:val="a6"/>
    <w:uiPriority w:val="99"/>
    <w:rsid w:val="001F2E9D"/>
  </w:style>
  <w:style w:type="paragraph" w:styleId="a8">
    <w:name w:val="footer"/>
    <w:basedOn w:val="a"/>
    <w:link w:val="a9"/>
    <w:uiPriority w:val="99"/>
    <w:unhideWhenUsed/>
    <w:rsid w:val="001F2E9D"/>
    <w:pPr>
      <w:tabs>
        <w:tab w:val="center" w:pos="4153"/>
        <w:tab w:val="right" w:pos="8306"/>
      </w:tabs>
      <w:spacing w:after="0" w:line="240" w:lineRule="auto"/>
    </w:pPr>
  </w:style>
  <w:style w:type="character" w:customStyle="1" w:styleId="a9">
    <w:name w:val="כותרת תחתונה תו"/>
    <w:basedOn w:val="a0"/>
    <w:link w:val="a8"/>
    <w:uiPriority w:val="99"/>
    <w:rsid w:val="001F2E9D"/>
  </w:style>
  <w:style w:type="paragraph" w:styleId="aa">
    <w:name w:val="Revision"/>
    <w:hidden/>
    <w:uiPriority w:val="99"/>
    <w:semiHidden/>
    <w:rsid w:val="001F2E9D"/>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1517</Words>
  <Characters>7586</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32</cp:revision>
  <dcterms:created xsi:type="dcterms:W3CDTF">2021-09-09T09:24:00Z</dcterms:created>
  <dcterms:modified xsi:type="dcterms:W3CDTF">2022-10-05T19:23:00Z</dcterms:modified>
</cp:coreProperties>
</file>