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8387" w14:textId="77777777" w:rsidR="004E1F48" w:rsidRDefault="00000000">
      <w:pPr>
        <w:spacing w:after="100"/>
        <w:jc w:val="center"/>
      </w:pPr>
      <w:r>
        <w:rPr>
          <w:b/>
          <w:bCs/>
          <w:sz w:val="40"/>
          <w:szCs w:val="40"/>
        </w:rPr>
        <w:t>Agricultural Econometric Models</w:t>
      </w:r>
    </w:p>
    <w:p w14:paraId="6E5FB8D8" w14:textId="77777777" w:rsidR="004E1F48" w:rsidRDefault="00000000">
      <w:pPr>
        <w:spacing w:after="100"/>
        <w:jc w:val="center"/>
      </w:pPr>
      <w:r>
        <w:rPr>
          <w:sz w:val="32"/>
          <w:szCs w:val="32"/>
        </w:rPr>
        <w:t>Reference Guide for Supply, Demand, Trade, and Price Forecasting</w:t>
      </w:r>
    </w:p>
    <w:p w14:paraId="69431866" w14:textId="77777777" w:rsidR="004E1F48" w:rsidRDefault="00000000">
      <w:pPr>
        <w:spacing w:after="400"/>
        <w:jc w:val="center"/>
      </w:pPr>
      <w:r>
        <w:rPr>
          <w:i/>
          <w:iCs/>
        </w:rPr>
        <w:t>RLC Consulting – January 2026</w:t>
      </w:r>
    </w:p>
    <w:p w14:paraId="4E0BEA7A" w14:textId="77777777" w:rsidR="004E1F48" w:rsidRDefault="00000000">
      <w:pPr>
        <w:pStyle w:val="Heading1"/>
      </w:pPr>
      <w:r>
        <w:t>1. Overview and Purpose</w:t>
      </w:r>
    </w:p>
    <w:p w14:paraId="3A2F39F7" w14:textId="77777777" w:rsidR="004E1F48" w:rsidRDefault="00000000">
      <w:pPr>
        <w:spacing w:after="200" w:line="276" w:lineRule="auto"/>
      </w:pPr>
      <w:r>
        <w:t>This document provides a structured reference for econometric models applicable to forecasting agricultural commodities, specifically major row crops (corn, wheat, soybeans) and related products (oilseeds, vegetable oils, protein meals). The guide is organized to serve as foundational knowledge for an LLM-based forecasting system, enabling automated prediction of supply-demand balance sheets, trade flows, processing margins, and prices.</w:t>
      </w:r>
    </w:p>
    <w:p w14:paraId="40CF84EF" w14:textId="77777777" w:rsidR="004E1F48" w:rsidRDefault="00000000">
      <w:pPr>
        <w:spacing w:after="200" w:line="276" w:lineRule="auto"/>
      </w:pPr>
      <w:r>
        <w:t>The models covered span three analytical paradigms: partial equilibrium models for commodity-specific analysis, general equilibrium frameworks for trade and resource allocation, and time-series techniques for price forecasting. Each section details the model’s mechanics, key equations, empirical applications, and practical considerations for implementation.</w:t>
      </w:r>
    </w:p>
    <w:p w14:paraId="742B943F" w14:textId="77777777" w:rsidR="004E1F48" w:rsidRDefault="00000000">
      <w:pPr>
        <w:pStyle w:val="Heading1"/>
      </w:pPr>
      <w:r>
        <w:t>2. Model Categories and Selection Framework</w:t>
      </w:r>
    </w:p>
    <w:p w14:paraId="46E32368" w14:textId="77777777" w:rsidR="004E1F48" w:rsidRDefault="00000000">
      <w:pPr>
        <w:spacing w:after="200" w:line="276" w:lineRule="auto"/>
      </w:pPr>
      <w:r>
        <w:t xml:space="preserve">Agricultural econometric models can be categorized by their scope, structure, and </w:t>
      </w:r>
      <w:proofErr w:type="gramStart"/>
      <w:r>
        <w:t>forecasting</w:t>
      </w:r>
      <w:proofErr w:type="gramEnd"/>
      <w:r>
        <w:t xml:space="preserve"> horizon. Understanding these distinctions is essential for selecting appropriate methodologies for specific analytical tasks.</w:t>
      </w:r>
    </w:p>
    <w:p w14:paraId="12D223A0" w14:textId="77777777" w:rsidR="004E1F48" w:rsidRDefault="00000000">
      <w:pPr>
        <w:pStyle w:val="Heading2"/>
      </w:pPr>
      <w:r>
        <w:t>2.1 By Analytical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4E1F48" w14:paraId="0DAE28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2AD789C" w14:textId="77777777" w:rsidR="004E1F48" w:rsidRDefault="00000000">
            <w:r>
              <w:rPr>
                <w:b/>
                <w:bCs/>
                <w:sz w:val="20"/>
                <w:szCs w:val="20"/>
              </w:rPr>
              <w:t>Category</w:t>
            </w:r>
          </w:p>
        </w:tc>
        <w:tc>
          <w:tcPr>
            <w:tcW w:w="3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3F8B716" w14:textId="77777777" w:rsidR="004E1F48" w:rsidRDefault="00000000">
            <w:r>
              <w:rPr>
                <w:b/>
                <w:bCs/>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794AC99" w14:textId="77777777" w:rsidR="004E1F48" w:rsidRDefault="00000000">
            <w:r>
              <w:rPr>
                <w:b/>
                <w:bCs/>
                <w:sz w:val="20"/>
                <w:szCs w:val="20"/>
              </w:rPr>
              <w:t>Best Used For</w:t>
            </w:r>
          </w:p>
        </w:tc>
      </w:tr>
      <w:tr w:rsidR="004E1F48" w14:paraId="74912E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E05F2" w14:textId="77777777" w:rsidR="004E1F48" w:rsidRDefault="00000000">
            <w:r>
              <w:rPr>
                <w:sz w:val="20"/>
                <w:szCs w:val="20"/>
              </w:rPr>
              <w:t>Partial Equilibrium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6F798" w14:textId="77777777" w:rsidR="004E1F48" w:rsidRDefault="00000000">
            <w:r>
              <w:rPr>
                <w:sz w:val="20"/>
                <w:szCs w:val="20"/>
              </w:rPr>
              <w:t>Single commodity or sector focus; prices clear within the modeled market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56499" w14:textId="77777777" w:rsidR="004E1F48" w:rsidRDefault="00000000">
            <w:r>
              <w:rPr>
                <w:sz w:val="20"/>
                <w:szCs w:val="20"/>
              </w:rPr>
              <w:t>Balance sheet projections, commodity-specific policy analysis</w:t>
            </w:r>
          </w:p>
        </w:tc>
      </w:tr>
      <w:tr w:rsidR="004E1F48" w14:paraId="6B8F73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D0F31" w14:textId="77777777" w:rsidR="004E1F48" w:rsidRDefault="00000000">
            <w:r>
              <w:rPr>
                <w:sz w:val="20"/>
                <w:szCs w:val="20"/>
              </w:rPr>
              <w:t>General Equilibrium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C7716" w14:textId="77777777" w:rsidR="004E1F48" w:rsidRDefault="00000000">
            <w:r>
              <w:rPr>
                <w:sz w:val="20"/>
                <w:szCs w:val="20"/>
              </w:rPr>
              <w:t>Economy-wide interactions; all markets clear simultaneously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147E1" w14:textId="77777777" w:rsidR="004E1F48" w:rsidRDefault="00000000">
            <w:r>
              <w:rPr>
                <w:sz w:val="20"/>
                <w:szCs w:val="20"/>
              </w:rPr>
              <w:t>Trade policy, resource reallocation, cross-sector impacts</w:t>
            </w:r>
          </w:p>
        </w:tc>
      </w:tr>
      <w:tr w:rsidR="004E1F48" w14:paraId="12FA29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353B4" w14:textId="77777777" w:rsidR="004E1F48" w:rsidRDefault="00000000">
            <w:r>
              <w:rPr>
                <w:sz w:val="20"/>
                <w:szCs w:val="20"/>
              </w:rPr>
              <w:t>Time-Series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F2265" w14:textId="77777777" w:rsidR="004E1F48" w:rsidRDefault="00000000">
            <w:r>
              <w:rPr>
                <w:sz w:val="20"/>
                <w:szCs w:val="20"/>
              </w:rPr>
              <w:t>Statistical patterns in historical data; univariate or multivariate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735DD" w14:textId="77777777" w:rsidR="004E1F48" w:rsidRDefault="00000000">
            <w:r>
              <w:rPr>
                <w:sz w:val="20"/>
                <w:szCs w:val="20"/>
              </w:rPr>
              <w:t>Price forecasting, volatility modeling, basis predictions</w:t>
            </w:r>
          </w:p>
        </w:tc>
      </w:tr>
    </w:tbl>
    <w:p w14:paraId="22158D54" w14:textId="77777777" w:rsidR="004E1F48" w:rsidRDefault="00000000">
      <w:pPr>
        <w:pStyle w:val="Heading2"/>
      </w:pPr>
      <w:r>
        <w:t>2.2 By Forecasting Horizon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500"/>
        <w:gridCol w:w="4859"/>
      </w:tblGrid>
      <w:tr w:rsidR="004E1F48" w14:paraId="0939B8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FDB93DA" w14:textId="77777777" w:rsidR="004E1F48" w:rsidRDefault="00000000">
            <w:r>
              <w:rPr>
                <w:b/>
                <w:bCs/>
                <w:sz w:val="20"/>
                <w:szCs w:val="20"/>
              </w:rPr>
              <w:t>Horizon</w:t>
            </w:r>
          </w:p>
        </w:tc>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5C3DEDA" w14:textId="77777777" w:rsidR="004E1F48" w:rsidRDefault="00000000">
            <w:r>
              <w:rPr>
                <w:b/>
                <w:bCs/>
                <w:sz w:val="20"/>
                <w:szCs w:val="20"/>
              </w:rPr>
              <w:t>Typical Range</w:t>
            </w:r>
          </w:p>
        </w:tc>
        <w:tc>
          <w:tcPr>
            <w:tcW w:w="48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648FDB5" w14:textId="77777777" w:rsidR="004E1F48" w:rsidRDefault="00000000">
            <w:r>
              <w:rPr>
                <w:b/>
                <w:bCs/>
                <w:sz w:val="20"/>
                <w:szCs w:val="20"/>
              </w:rPr>
              <w:t>Recommended Models</w:t>
            </w:r>
          </w:p>
        </w:tc>
      </w:tr>
      <w:tr w:rsidR="004E1F48" w14:paraId="2A2549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BBC18" w14:textId="77777777" w:rsidR="004E1F48" w:rsidRDefault="00000000">
            <w:r>
              <w:rPr>
                <w:sz w:val="20"/>
                <w:szCs w:val="20"/>
              </w:rPr>
              <w:t>Short-term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B901B" w14:textId="77777777" w:rsidR="004E1F48" w:rsidRDefault="00000000">
            <w:r>
              <w:rPr>
                <w:sz w:val="20"/>
                <w:szCs w:val="20"/>
              </w:rPr>
              <w:t>Days to 3 months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415CD" w14:textId="77777777" w:rsidR="004E1F48" w:rsidRDefault="00000000">
            <w:r>
              <w:rPr>
                <w:sz w:val="20"/>
                <w:szCs w:val="20"/>
              </w:rPr>
              <w:t>ARIMA, LSTM, hybrid time-series, basis models</w:t>
            </w:r>
          </w:p>
        </w:tc>
      </w:tr>
      <w:tr w:rsidR="004E1F48" w14:paraId="641954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26EAD" w14:textId="77777777" w:rsidR="004E1F48" w:rsidRDefault="00000000">
            <w:r>
              <w:rPr>
                <w:sz w:val="20"/>
                <w:szCs w:val="20"/>
              </w:rPr>
              <w:t>Medium-term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CD1AA" w14:textId="77777777" w:rsidR="004E1F48" w:rsidRDefault="00000000">
            <w:r>
              <w:rPr>
                <w:sz w:val="20"/>
                <w:szCs w:val="20"/>
              </w:rPr>
              <w:t>Marketing year (12 months)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4597A" w14:textId="77777777" w:rsidR="004E1F48" w:rsidRDefault="00000000">
            <w:r>
              <w:rPr>
                <w:sz w:val="20"/>
                <w:szCs w:val="20"/>
              </w:rPr>
              <w:t>WASDE-style balance sheets, FAPRI, seasonal models</w:t>
            </w:r>
          </w:p>
        </w:tc>
      </w:tr>
      <w:tr w:rsidR="004E1F48" w14:paraId="5F88E3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48DB4" w14:textId="77777777" w:rsidR="004E1F48" w:rsidRDefault="00000000">
            <w:r>
              <w:rPr>
                <w:sz w:val="20"/>
                <w:szCs w:val="20"/>
              </w:rPr>
              <w:lastRenderedPageBreak/>
              <w:t>Long-term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D09E9" w14:textId="77777777" w:rsidR="004E1F48" w:rsidRDefault="00000000">
            <w:r>
              <w:rPr>
                <w:sz w:val="20"/>
                <w:szCs w:val="20"/>
              </w:rPr>
              <w:t>5-30 years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1E91D" w14:textId="77777777" w:rsidR="004E1F48" w:rsidRDefault="00000000">
            <w:r>
              <w:rPr>
                <w:sz w:val="20"/>
                <w:szCs w:val="20"/>
              </w:rPr>
              <w:t>SIMPLE-G, GTAP, IMPACT, land supply models</w:t>
            </w:r>
          </w:p>
        </w:tc>
      </w:tr>
    </w:tbl>
    <w:p w14:paraId="218FDA78" w14:textId="77777777" w:rsidR="004E1F48" w:rsidRDefault="00000000">
      <w:r>
        <w:br w:type="page"/>
      </w:r>
    </w:p>
    <w:p w14:paraId="26BCF36E" w14:textId="77777777" w:rsidR="004E1F48" w:rsidRDefault="00000000">
      <w:pPr>
        <w:pStyle w:val="Heading1"/>
      </w:pPr>
      <w:r>
        <w:lastRenderedPageBreak/>
        <w:t>3. Supply-Demand Balance Sheet Models</w:t>
      </w:r>
    </w:p>
    <w:p w14:paraId="39D38187" w14:textId="77777777" w:rsidR="004E1F48" w:rsidRDefault="00000000">
      <w:pPr>
        <w:spacing w:after="200" w:line="276" w:lineRule="auto"/>
      </w:pPr>
      <w:r>
        <w:t>Balance sheet models form the foundation of commodity market analysis, tracking the flow of a commodity from production through consumption to ending stocks. These models are essential for understanding market fundamentals and forecasting prices.</w:t>
      </w:r>
    </w:p>
    <w:p w14:paraId="021CE539" w14:textId="77777777" w:rsidR="004E1F48" w:rsidRDefault="00000000">
      <w:pPr>
        <w:pStyle w:val="Heading2"/>
      </w:pPr>
      <w:r>
        <w:t>3.1 WASDE Framework</w:t>
      </w:r>
    </w:p>
    <w:p w14:paraId="299272A2" w14:textId="77777777" w:rsidR="004E1F48" w:rsidRDefault="00000000">
      <w:pPr>
        <w:spacing w:after="200" w:line="276" w:lineRule="auto"/>
      </w:pPr>
      <w:r>
        <w:t>The USDA’s World Agricultural Supply and Demand Estimates (WASDE) provides the canonical framework for balance sheet analysis. Released monthly, it combines econometric sub-models with expert judgment to project supply-demand components.</w:t>
      </w:r>
    </w:p>
    <w:p w14:paraId="724469CC" w14:textId="77777777" w:rsidR="004E1F48" w:rsidRDefault="00000000">
      <w:pPr>
        <w:pStyle w:val="Heading3"/>
      </w:pPr>
      <w:r>
        <w:t>Core Identity</w:t>
      </w:r>
    </w:p>
    <w:p w14:paraId="459BA9C0" w14:textId="77777777" w:rsidR="004E1F48" w:rsidRDefault="00000000">
      <w:pPr>
        <w:spacing w:before="150" w:after="100"/>
        <w:ind w:left="720"/>
      </w:pPr>
      <w:r>
        <w:rPr>
          <w:rFonts w:ascii="Courier New" w:eastAsia="Courier New" w:hAnsi="Courier New" w:cs="Courier New"/>
          <w:i/>
          <w:iCs/>
        </w:rPr>
        <w:t>Beginning Stocks + Production + Imports = Domestic Use + Exports + Ending Stocks</w:t>
      </w:r>
    </w:p>
    <w:p w14:paraId="7FCC014A" w14:textId="77777777" w:rsidR="004E1F48" w:rsidRDefault="00000000">
      <w:pPr>
        <w:spacing w:after="200"/>
        <w:ind w:left="720"/>
      </w:pPr>
      <w:r>
        <w:rPr>
          <w:i/>
          <w:iCs/>
          <w:sz w:val="20"/>
          <w:szCs w:val="20"/>
        </w:rPr>
        <w:t>Fundamental accounting identity that must hold for every commodity</w:t>
      </w:r>
    </w:p>
    <w:p w14:paraId="505A6C38" w14:textId="77777777" w:rsidR="004E1F48" w:rsidRDefault="00000000">
      <w:pPr>
        <w:pStyle w:val="Heading3"/>
      </w:pPr>
      <w:r>
        <w:t>Component Estimation</w:t>
      </w:r>
    </w:p>
    <w:p w14:paraId="37F66F65" w14:textId="77777777" w:rsidR="004E1F48" w:rsidRDefault="00000000">
      <w:pPr>
        <w:spacing w:after="200" w:line="276" w:lineRule="auto"/>
      </w:pPr>
      <w:r>
        <w:t>Production is estimated via yield models incorporating trend, weather, and input variables. Demand uses elasticities for feed, food, industrial use, and trade. Price projections solve for market-clearing equilibria using autoregressive processes for volatility adjustment.</w:t>
      </w:r>
    </w:p>
    <w:p w14:paraId="041C415F" w14:textId="77777777" w:rsidR="004E1F48" w:rsidRDefault="00000000">
      <w:pPr>
        <w:spacing w:after="200" w:line="276" w:lineRule="auto"/>
      </w:pPr>
      <w:r>
        <w:t>For oilseeds, crush margins link raw inputs to outputs:</w:t>
      </w:r>
    </w:p>
    <w:p w14:paraId="4B049E85" w14:textId="77777777" w:rsidR="004E1F48" w:rsidRDefault="00000000">
      <w:pPr>
        <w:spacing w:before="150" w:after="100"/>
        <w:ind w:left="720"/>
      </w:pPr>
      <w:r>
        <w:rPr>
          <w:rFonts w:ascii="Courier New" w:eastAsia="Courier New" w:hAnsi="Courier New" w:cs="Courier New"/>
          <w:i/>
          <w:iCs/>
        </w:rPr>
        <w:t>Oil Output + Meal Output = Crush Volume × (Oil Yield Rate + Meal Yield Rate)</w:t>
      </w:r>
    </w:p>
    <w:p w14:paraId="0B423953" w14:textId="77777777" w:rsidR="004E1F48" w:rsidRDefault="00000000">
      <w:pPr>
        <w:spacing w:after="200"/>
        <w:ind w:left="720"/>
      </w:pPr>
      <w:r>
        <w:rPr>
          <w:i/>
          <w:iCs/>
          <w:sz w:val="20"/>
          <w:szCs w:val="20"/>
        </w:rPr>
        <w:t>Crush equation with substitutions modeled via cross-price elasticities</w:t>
      </w:r>
    </w:p>
    <w:p w14:paraId="069DD2F0" w14:textId="77777777" w:rsidR="004E1F48" w:rsidRDefault="00000000">
      <w:pPr>
        <w:pStyle w:val="Heading3"/>
      </w:pPr>
      <w:r>
        <w:t>Empirical Performance</w:t>
      </w:r>
    </w:p>
    <w:p w14:paraId="6FB1F3FC" w14:textId="77777777" w:rsidR="004E1F48" w:rsidRDefault="00000000">
      <w:pPr>
        <w:spacing w:after="200" w:line="276" w:lineRule="auto"/>
      </w:pPr>
      <w:r>
        <w:t>Error decomposition studies show production and export revisions drive 60-70% of ending stock inaccuracies for corn and soybeans. Price RMSE averages 15-20% in early-season forecasts but improves to less than 5% post-harvest as yield uncertainty resolves.</w:t>
      </w:r>
    </w:p>
    <w:p w14:paraId="18EA1099" w14:textId="77777777" w:rsidR="004E1F48" w:rsidRDefault="00000000">
      <w:pPr>
        <w:pStyle w:val="Heading3"/>
      </w:pPr>
      <w:r>
        <w:t>Implementation Notes</w:t>
      </w:r>
    </w:p>
    <w:p w14:paraId="668B6F68" w14:textId="77777777" w:rsidR="004E1F48" w:rsidRDefault="00000000">
      <w:pPr>
        <w:spacing w:after="200" w:line="276" w:lineRule="auto"/>
      </w:pPr>
      <w:r>
        <w:t xml:space="preserve">WASDE’s balance sheet logic provides a rule-based framework for simulating trade and price </w:t>
      </w:r>
      <w:proofErr w:type="gramStart"/>
      <w:r>
        <w:t>equilibria</w:t>
      </w:r>
      <w:proofErr w:type="gramEnd"/>
      <w:r>
        <w:t>. Stocks-to-use ratios serve as key price indicators: tight balances (e.g., 5-8% for soybeans) correlate with sustained price pressure.</w:t>
      </w:r>
    </w:p>
    <w:p w14:paraId="0E3DE0F8" w14:textId="77777777" w:rsidR="004E1F48" w:rsidRDefault="00000000">
      <w:pPr>
        <w:pStyle w:val="Heading2"/>
      </w:pPr>
      <w:r>
        <w:t>3.2 Supply Elasticity Estimation</w:t>
      </w:r>
    </w:p>
    <w:p w14:paraId="76EC4B0E" w14:textId="77777777" w:rsidR="004E1F48" w:rsidRDefault="00000000">
      <w:pPr>
        <w:spacing w:after="200" w:line="276" w:lineRule="auto"/>
      </w:pPr>
      <w:r>
        <w:t>Roberts and Schlenker developed a framework using historical supply shocks as instrumental variables to identify supply elasticities:</w:t>
      </w:r>
    </w:p>
    <w:p w14:paraId="6208446E" w14:textId="77777777" w:rsidR="004E1F48" w:rsidRPr="006533C6" w:rsidRDefault="00000000">
      <w:pPr>
        <w:spacing w:before="150" w:after="100"/>
        <w:ind w:left="720"/>
        <w:rPr>
          <w:lang w:val="nl-NL"/>
        </w:rPr>
      </w:pPr>
      <w:r>
        <w:rPr>
          <w:rFonts w:ascii="Courier New" w:eastAsia="Courier New" w:hAnsi="Courier New" w:cs="Courier New"/>
          <w:i/>
          <w:iCs/>
        </w:rPr>
        <w:t>Δ</w:t>
      </w:r>
      <w:r w:rsidRPr="006533C6">
        <w:rPr>
          <w:rFonts w:ascii="Courier New" w:eastAsia="Courier New" w:hAnsi="Courier New" w:cs="Courier New"/>
          <w:i/>
          <w:iCs/>
          <w:lang w:val="nl-NL"/>
        </w:rPr>
        <w:t xml:space="preserve"> </w:t>
      </w:r>
      <w:proofErr w:type="spellStart"/>
      <w:r w:rsidRPr="006533C6">
        <w:rPr>
          <w:rFonts w:ascii="Courier New" w:eastAsia="Courier New" w:hAnsi="Courier New" w:cs="Courier New"/>
          <w:i/>
          <w:iCs/>
          <w:lang w:val="nl-NL"/>
        </w:rPr>
        <w:t>ln</w:t>
      </w:r>
      <w:proofErr w:type="spellEnd"/>
      <w:r w:rsidRPr="006533C6">
        <w:rPr>
          <w:rFonts w:ascii="Courier New" w:eastAsia="Courier New" w:hAnsi="Courier New" w:cs="Courier New"/>
          <w:i/>
          <w:iCs/>
          <w:lang w:val="nl-NL"/>
        </w:rPr>
        <w:t xml:space="preserve"> Q = </w:t>
      </w:r>
      <w:r>
        <w:rPr>
          <w:rFonts w:ascii="Courier New" w:eastAsia="Courier New" w:hAnsi="Courier New" w:cs="Courier New"/>
          <w:i/>
          <w:iCs/>
        </w:rPr>
        <w:t>ε</w:t>
      </w:r>
      <w:r w:rsidRPr="006533C6">
        <w:rPr>
          <w:rFonts w:ascii="Courier New" w:eastAsia="Courier New" w:hAnsi="Courier New" w:cs="Courier New"/>
          <w:i/>
          <w:iCs/>
          <w:lang w:val="nl-NL"/>
        </w:rPr>
        <w:t xml:space="preserve">_s </w:t>
      </w:r>
      <w:r>
        <w:rPr>
          <w:rFonts w:ascii="Courier New" w:eastAsia="Courier New" w:hAnsi="Courier New" w:cs="Courier New"/>
          <w:i/>
          <w:iCs/>
        </w:rPr>
        <w:t>Δ</w:t>
      </w:r>
      <w:r w:rsidRPr="006533C6">
        <w:rPr>
          <w:rFonts w:ascii="Courier New" w:eastAsia="Courier New" w:hAnsi="Courier New" w:cs="Courier New"/>
          <w:i/>
          <w:iCs/>
          <w:lang w:val="nl-NL"/>
        </w:rPr>
        <w:t xml:space="preserve"> </w:t>
      </w:r>
      <w:proofErr w:type="spellStart"/>
      <w:r w:rsidRPr="006533C6">
        <w:rPr>
          <w:rFonts w:ascii="Courier New" w:eastAsia="Courier New" w:hAnsi="Courier New" w:cs="Courier New"/>
          <w:i/>
          <w:iCs/>
          <w:lang w:val="nl-NL"/>
        </w:rPr>
        <w:t>ln</w:t>
      </w:r>
      <w:proofErr w:type="spellEnd"/>
      <w:r w:rsidRPr="006533C6">
        <w:rPr>
          <w:rFonts w:ascii="Courier New" w:eastAsia="Courier New" w:hAnsi="Courier New" w:cs="Courier New"/>
          <w:i/>
          <w:iCs/>
          <w:lang w:val="nl-NL"/>
        </w:rPr>
        <w:t xml:space="preserve"> P + u</w:t>
      </w:r>
    </w:p>
    <w:p w14:paraId="723622F9" w14:textId="77777777" w:rsidR="004E1F48" w:rsidRDefault="00000000">
      <w:pPr>
        <w:spacing w:after="200"/>
        <w:ind w:left="720"/>
      </w:pPr>
      <w:r>
        <w:rPr>
          <w:i/>
          <w:iCs/>
          <w:sz w:val="20"/>
          <w:szCs w:val="20"/>
        </w:rPr>
        <w:t>Where past yield shocks serve as price shifters (instruments)</w:t>
      </w:r>
    </w:p>
    <w:p w14:paraId="21E8A3B1" w14:textId="77777777" w:rsidR="004E1F48" w:rsidRDefault="00000000">
      <w:pPr>
        <w:pStyle w:val="Heading3"/>
      </w:pPr>
      <w:r>
        <w:lastRenderedPageBreak/>
        <w:t>Estimated Elasticities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2199"/>
        <w:gridCol w:w="2199"/>
        <w:gridCol w:w="2959"/>
      </w:tblGrid>
      <w:tr w:rsidR="004E1F48" w14:paraId="239C43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4DC933E" w14:textId="77777777" w:rsidR="004E1F48" w:rsidRDefault="00000000">
            <w:r>
              <w:rPr>
                <w:b/>
                <w:bCs/>
                <w:sz w:val="20"/>
                <w:szCs w:val="20"/>
              </w:rPr>
              <w:t>Commodity</w:t>
            </w:r>
          </w:p>
        </w:tc>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D099879" w14:textId="77777777" w:rsidR="004E1F48" w:rsidRDefault="00000000">
            <w:r>
              <w:rPr>
                <w:b/>
                <w:bCs/>
                <w:sz w:val="20"/>
                <w:szCs w:val="20"/>
              </w:rPr>
              <w:t>Supply Elasticity</w:t>
            </w:r>
          </w:p>
        </w:tc>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42B49FB" w14:textId="77777777" w:rsidR="004E1F48" w:rsidRDefault="00000000">
            <w:r>
              <w:rPr>
                <w:b/>
                <w:bCs/>
                <w:sz w:val="20"/>
                <w:szCs w:val="20"/>
              </w:rPr>
              <w:t>Acreage Elasticity</w:t>
            </w:r>
          </w:p>
        </w:tc>
        <w:tc>
          <w:tcPr>
            <w:tcW w:w="29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BC1C481" w14:textId="77777777" w:rsidR="004E1F48" w:rsidRDefault="00000000">
            <w:r>
              <w:rPr>
                <w:b/>
                <w:bCs/>
                <w:sz w:val="20"/>
                <w:szCs w:val="20"/>
              </w:rPr>
              <w:t>Interpretation</w:t>
            </w:r>
          </w:p>
        </w:tc>
      </w:tr>
      <w:tr w:rsidR="004E1F48" w14:paraId="629752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D5A9B" w14:textId="77777777" w:rsidR="004E1F48" w:rsidRDefault="00000000">
            <w:r>
              <w:rPr>
                <w:sz w:val="20"/>
                <w:szCs w:val="20"/>
              </w:rPr>
              <w:t>Corn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9B178" w14:textId="77777777" w:rsidR="004E1F48" w:rsidRDefault="00000000">
            <w:r>
              <w:rPr>
                <w:sz w:val="20"/>
                <w:szCs w:val="20"/>
              </w:rPr>
              <w:t>0.30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A152C" w14:textId="77777777" w:rsidR="004E1F48" w:rsidRDefault="00000000">
            <w:r>
              <w:rPr>
                <w:sz w:val="20"/>
                <w:szCs w:val="20"/>
              </w:rPr>
              <w:t>0.33</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B04E2" w14:textId="77777777" w:rsidR="004E1F48" w:rsidRDefault="00000000">
            <w:r>
              <w:rPr>
                <w:sz w:val="20"/>
                <w:szCs w:val="20"/>
              </w:rPr>
              <w:t>Inelastic; supply shocks dominate volatility</w:t>
            </w:r>
          </w:p>
        </w:tc>
      </w:tr>
      <w:tr w:rsidR="004E1F48" w14:paraId="4B4EB2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02BE0" w14:textId="77777777" w:rsidR="004E1F48" w:rsidRDefault="00000000">
            <w:r>
              <w:rPr>
                <w:sz w:val="20"/>
                <w:szCs w:val="20"/>
              </w:rPr>
              <w:t>Wheat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02C01" w14:textId="77777777" w:rsidR="004E1F48" w:rsidRDefault="00000000">
            <w:r>
              <w:rPr>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51753" w14:textId="77777777" w:rsidR="004E1F48" w:rsidRDefault="00000000">
            <w:r>
              <w:rPr>
                <w:sz w:val="20"/>
                <w:szCs w:val="20"/>
              </w:rPr>
              <w:t>0.28</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CB9BF" w14:textId="77777777" w:rsidR="004E1F48" w:rsidRDefault="00000000">
            <w:r>
              <w:rPr>
                <w:sz w:val="20"/>
                <w:szCs w:val="20"/>
              </w:rPr>
              <w:t>Most inelastic of major row crops</w:t>
            </w:r>
          </w:p>
        </w:tc>
      </w:tr>
      <w:tr w:rsidR="004E1F48" w14:paraId="37576F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43205" w14:textId="77777777" w:rsidR="004E1F48" w:rsidRDefault="00000000">
            <w:r>
              <w:rPr>
                <w:sz w:val="20"/>
                <w:szCs w:val="20"/>
              </w:rPr>
              <w:t>Soybeans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FACBB" w14:textId="77777777" w:rsidR="004E1F48" w:rsidRDefault="00000000">
            <w:r>
              <w:rPr>
                <w:sz w:val="20"/>
                <w:szCs w:val="20"/>
              </w:rPr>
              <w:t>0.40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23D47" w14:textId="77777777" w:rsidR="004E1F48" w:rsidRDefault="00000000">
            <w:r>
              <w:rPr>
                <w:sz w:val="20"/>
                <w:szCs w:val="20"/>
              </w:rPr>
              <w:t>0.54</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5A13C" w14:textId="77777777" w:rsidR="004E1F48" w:rsidRDefault="00000000">
            <w:r>
              <w:rPr>
                <w:sz w:val="20"/>
                <w:szCs w:val="20"/>
              </w:rPr>
              <w:t>Relatively more responsive to price signals</w:t>
            </w:r>
          </w:p>
        </w:tc>
      </w:tr>
    </w:tbl>
    <w:p w14:paraId="306A3418" w14:textId="77777777" w:rsidR="004E1F48" w:rsidRDefault="00000000">
      <w:pPr>
        <w:spacing w:after="200" w:line="276" w:lineRule="auto"/>
      </w:pPr>
      <w:r>
        <w:t>These low elasticities explain why supply shocks propagate strongly to prices. Ethanol mandate analyses show corn’s inelastic supply raises prices approximately 30% under increased biofuel demand.</w:t>
      </w:r>
    </w:p>
    <w:p w14:paraId="755D3DE7" w14:textId="77777777" w:rsidR="004E1F48" w:rsidRDefault="00000000">
      <w:r>
        <w:br w:type="page"/>
      </w:r>
    </w:p>
    <w:p w14:paraId="151CC82C" w14:textId="77777777" w:rsidR="004E1F48" w:rsidRDefault="00000000">
      <w:pPr>
        <w:pStyle w:val="Heading1"/>
      </w:pPr>
      <w:r>
        <w:lastRenderedPageBreak/>
        <w:t>4. Land Supply and Resource Allocation Models</w:t>
      </w:r>
    </w:p>
    <w:p w14:paraId="0C380034" w14:textId="77777777" w:rsidR="004E1F48" w:rsidRDefault="00000000">
      <w:pPr>
        <w:spacing w:after="200" w:line="276" w:lineRule="auto"/>
      </w:pPr>
      <w:r>
        <w:t>Long-run commodity projections require explicit modeling of land availability and competing uses. These models capture the extensive (land expansion) and intensive (yield improvement) margins of agricultural supply response.</w:t>
      </w:r>
    </w:p>
    <w:p w14:paraId="5B6C718D" w14:textId="77777777" w:rsidR="004E1F48" w:rsidRDefault="00000000">
      <w:pPr>
        <w:pStyle w:val="Heading2"/>
      </w:pPr>
      <w:r>
        <w:t>4.1 Hertel’s Land Supply Model</w:t>
      </w:r>
    </w:p>
    <w:p w14:paraId="6A4D23EF" w14:textId="77777777" w:rsidR="004E1F48" w:rsidRDefault="00000000">
      <w:pPr>
        <w:spacing w:after="200" w:line="276" w:lineRule="auto"/>
      </w:pPr>
      <w:r>
        <w:t>Thomas Hertel’s parsimonious framework, developed in his 2011 AJAE presidential address, models global land supply-demand dynamics through a reduced-form equation:</w:t>
      </w:r>
    </w:p>
    <w:p w14:paraId="2C686F60" w14:textId="77777777" w:rsidR="004E1F48" w:rsidRPr="006533C6" w:rsidRDefault="00000000">
      <w:pPr>
        <w:spacing w:before="150" w:after="100"/>
        <w:ind w:left="720"/>
        <w:rPr>
          <w:lang w:val="pt-BR"/>
        </w:rPr>
      </w:pPr>
      <w:r w:rsidRPr="006533C6">
        <w:rPr>
          <w:rFonts w:ascii="Courier New" w:eastAsia="Courier New" w:hAnsi="Courier New" w:cs="Courier New"/>
          <w:i/>
          <w:iCs/>
          <w:lang w:val="pt-BR"/>
        </w:rPr>
        <w:t>q*_L = [</w:t>
      </w:r>
      <w:r>
        <w:rPr>
          <w:rFonts w:ascii="Courier New" w:eastAsia="Courier New" w:hAnsi="Courier New" w:cs="Courier New"/>
          <w:i/>
          <w:iCs/>
        </w:rPr>
        <w:t>Δ</w:t>
      </w:r>
      <w:r w:rsidRPr="006533C6">
        <w:rPr>
          <w:rFonts w:ascii="Courier New" w:eastAsia="Courier New" w:hAnsi="Courier New" w:cs="Courier New"/>
          <w:i/>
          <w:iCs/>
          <w:lang w:val="pt-BR"/>
        </w:rPr>
        <w:t xml:space="preserve">^D_A + </w:t>
      </w:r>
      <w:r>
        <w:rPr>
          <w:rFonts w:ascii="Courier New" w:eastAsia="Courier New" w:hAnsi="Courier New" w:cs="Courier New"/>
          <w:i/>
          <w:iCs/>
        </w:rPr>
        <w:t>Δ</w:t>
      </w:r>
      <w:r w:rsidRPr="006533C6">
        <w:rPr>
          <w:rFonts w:ascii="Courier New" w:eastAsia="Courier New" w:hAnsi="Courier New" w:cs="Courier New"/>
          <w:i/>
          <w:iCs/>
          <w:lang w:val="pt-BR"/>
        </w:rPr>
        <w:t xml:space="preserve">^S_L - </w:t>
      </w:r>
      <w:r>
        <w:rPr>
          <w:rFonts w:ascii="Courier New" w:eastAsia="Courier New" w:hAnsi="Courier New" w:cs="Courier New"/>
          <w:i/>
          <w:iCs/>
        </w:rPr>
        <w:t>Δ</w:t>
      </w:r>
      <w:r w:rsidRPr="006533C6">
        <w:rPr>
          <w:rFonts w:ascii="Courier New" w:eastAsia="Courier New" w:hAnsi="Courier New" w:cs="Courier New"/>
          <w:i/>
          <w:iCs/>
          <w:lang w:val="pt-BR"/>
        </w:rPr>
        <w:t>^D_L] / [1 + (</w:t>
      </w:r>
      <w:r>
        <w:rPr>
          <w:rFonts w:ascii="Courier New" w:eastAsia="Courier New" w:hAnsi="Courier New" w:cs="Courier New"/>
          <w:i/>
          <w:iCs/>
        </w:rPr>
        <w:t>η</w:t>
      </w:r>
      <w:r w:rsidRPr="006533C6">
        <w:rPr>
          <w:rFonts w:ascii="Courier New" w:eastAsia="Courier New" w:hAnsi="Courier New" w:cs="Courier New"/>
          <w:i/>
          <w:iCs/>
          <w:lang w:val="pt-BR"/>
        </w:rPr>
        <w:t>^{</w:t>
      </w:r>
      <w:proofErr w:type="gramStart"/>
      <w:r w:rsidRPr="006533C6">
        <w:rPr>
          <w:rFonts w:ascii="Courier New" w:eastAsia="Courier New" w:hAnsi="Courier New" w:cs="Courier New"/>
          <w:i/>
          <w:iCs/>
          <w:lang w:val="pt-BR"/>
        </w:rPr>
        <w:t>S,I</w:t>
      </w:r>
      <w:proofErr w:type="gramEnd"/>
      <w:r w:rsidRPr="006533C6">
        <w:rPr>
          <w:rFonts w:ascii="Courier New" w:eastAsia="Courier New" w:hAnsi="Courier New" w:cs="Courier New"/>
          <w:i/>
          <w:iCs/>
          <w:lang w:val="pt-BR"/>
        </w:rPr>
        <w:t xml:space="preserve">}_A / </w:t>
      </w:r>
      <w:r>
        <w:rPr>
          <w:rFonts w:ascii="Courier New" w:eastAsia="Courier New" w:hAnsi="Courier New" w:cs="Courier New"/>
          <w:i/>
          <w:iCs/>
        </w:rPr>
        <w:t>η</w:t>
      </w:r>
      <w:r w:rsidRPr="006533C6">
        <w:rPr>
          <w:rFonts w:ascii="Courier New" w:eastAsia="Courier New" w:hAnsi="Courier New" w:cs="Courier New"/>
          <w:i/>
          <w:iCs/>
          <w:lang w:val="pt-BR"/>
        </w:rPr>
        <w:t>^{</w:t>
      </w:r>
      <w:proofErr w:type="gramStart"/>
      <w:r w:rsidRPr="006533C6">
        <w:rPr>
          <w:rFonts w:ascii="Courier New" w:eastAsia="Courier New" w:hAnsi="Courier New" w:cs="Courier New"/>
          <w:i/>
          <w:iCs/>
          <w:lang w:val="pt-BR"/>
        </w:rPr>
        <w:t>S,E</w:t>
      </w:r>
      <w:proofErr w:type="gramEnd"/>
      <w:r w:rsidRPr="006533C6">
        <w:rPr>
          <w:rFonts w:ascii="Courier New" w:eastAsia="Courier New" w:hAnsi="Courier New" w:cs="Courier New"/>
          <w:i/>
          <w:iCs/>
          <w:lang w:val="pt-BR"/>
        </w:rPr>
        <w:t>}_A) + (</w:t>
      </w:r>
      <w:r>
        <w:rPr>
          <w:rFonts w:ascii="Courier New" w:eastAsia="Courier New" w:hAnsi="Courier New" w:cs="Courier New"/>
          <w:i/>
          <w:iCs/>
        </w:rPr>
        <w:t>η</w:t>
      </w:r>
      <w:r w:rsidRPr="006533C6">
        <w:rPr>
          <w:rFonts w:ascii="Courier New" w:eastAsia="Courier New" w:hAnsi="Courier New" w:cs="Courier New"/>
          <w:i/>
          <w:iCs/>
          <w:lang w:val="pt-BR"/>
        </w:rPr>
        <w:t xml:space="preserve">^D_A / </w:t>
      </w:r>
      <w:r>
        <w:rPr>
          <w:rFonts w:ascii="Courier New" w:eastAsia="Courier New" w:hAnsi="Courier New" w:cs="Courier New"/>
          <w:i/>
          <w:iCs/>
        </w:rPr>
        <w:t>η</w:t>
      </w:r>
      <w:r w:rsidRPr="006533C6">
        <w:rPr>
          <w:rFonts w:ascii="Courier New" w:eastAsia="Courier New" w:hAnsi="Courier New" w:cs="Courier New"/>
          <w:i/>
          <w:iCs/>
          <w:lang w:val="pt-BR"/>
        </w:rPr>
        <w:t>^{</w:t>
      </w:r>
      <w:proofErr w:type="gramStart"/>
      <w:r w:rsidRPr="006533C6">
        <w:rPr>
          <w:rFonts w:ascii="Courier New" w:eastAsia="Courier New" w:hAnsi="Courier New" w:cs="Courier New"/>
          <w:i/>
          <w:iCs/>
          <w:lang w:val="pt-BR"/>
        </w:rPr>
        <w:t>S,E</w:t>
      </w:r>
      <w:proofErr w:type="gramEnd"/>
      <w:r w:rsidRPr="006533C6">
        <w:rPr>
          <w:rFonts w:ascii="Courier New" w:eastAsia="Courier New" w:hAnsi="Courier New" w:cs="Courier New"/>
          <w:i/>
          <w:iCs/>
          <w:lang w:val="pt-BR"/>
        </w:rPr>
        <w:t xml:space="preserve">}_A)] - </w:t>
      </w:r>
      <w:r>
        <w:rPr>
          <w:rFonts w:ascii="Courier New" w:eastAsia="Courier New" w:hAnsi="Courier New" w:cs="Courier New"/>
          <w:i/>
          <w:iCs/>
        </w:rPr>
        <w:t>Δ</w:t>
      </w:r>
      <w:r w:rsidRPr="006533C6">
        <w:rPr>
          <w:rFonts w:ascii="Courier New" w:eastAsia="Courier New" w:hAnsi="Courier New" w:cs="Courier New"/>
          <w:i/>
          <w:iCs/>
          <w:lang w:val="pt-BR"/>
        </w:rPr>
        <w:t>^S_L</w:t>
      </w:r>
    </w:p>
    <w:p w14:paraId="3D8590C3" w14:textId="77777777" w:rsidR="004E1F48" w:rsidRDefault="00000000">
      <w:pPr>
        <w:spacing w:after="200"/>
        <w:ind w:left="720"/>
      </w:pPr>
      <w:r>
        <w:rPr>
          <w:i/>
          <w:iCs/>
          <w:sz w:val="20"/>
          <w:szCs w:val="20"/>
        </w:rPr>
        <w:t>Core equation for land quantity change</w:t>
      </w:r>
    </w:p>
    <w:p w14:paraId="480F6F57" w14:textId="77777777" w:rsidR="004E1F48" w:rsidRDefault="00000000">
      <w:pPr>
        <w:pStyle w:val="Heading3"/>
      </w:pPr>
      <w:r>
        <w:t>Parameter Definitions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99"/>
        <w:gridCol w:w="2859"/>
      </w:tblGrid>
      <w:tr w:rsidR="004E1F48" w14:paraId="02860E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32F4908" w14:textId="77777777" w:rsidR="004E1F48" w:rsidRDefault="00000000">
            <w:r>
              <w:rPr>
                <w:b/>
                <w:bCs/>
                <w:sz w:val="20"/>
                <w:szCs w:val="20"/>
              </w:rPr>
              <w:t>Parameter</w:t>
            </w:r>
          </w:p>
        </w:tc>
        <w:tc>
          <w:tcPr>
            <w:tcW w:w="4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8116504" w14:textId="77777777" w:rsidR="004E1F48" w:rsidRDefault="00000000">
            <w:r>
              <w:rPr>
                <w:b/>
                <w:bCs/>
                <w:sz w:val="20"/>
                <w:szCs w:val="20"/>
              </w:rPr>
              <w:t>Definition</w:t>
            </w:r>
          </w:p>
        </w:tc>
        <w:tc>
          <w:tcPr>
            <w:tcW w:w="28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E5D0B43" w14:textId="77777777" w:rsidR="004E1F48" w:rsidRDefault="00000000">
            <w:r>
              <w:rPr>
                <w:b/>
                <w:bCs/>
                <w:sz w:val="20"/>
                <w:szCs w:val="20"/>
              </w:rPr>
              <w:t>Typical Value</w:t>
            </w:r>
          </w:p>
        </w:tc>
      </w:tr>
      <w:tr w:rsidR="004E1F48" w14:paraId="3441AF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84347" w14:textId="77777777" w:rsidR="004E1F48" w:rsidRDefault="00000000">
            <w:r>
              <w:rPr>
                <w:sz w:val="20"/>
                <w:szCs w:val="20"/>
              </w:rPr>
              <w:t>q*_L</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E557" w14:textId="77777777" w:rsidR="004E1F48" w:rsidRDefault="00000000">
            <w:r>
              <w:rPr>
                <w:sz w:val="20"/>
                <w:szCs w:val="20"/>
              </w:rPr>
              <w:t>Equilibrium land quantity change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036C3" w14:textId="77777777" w:rsidR="004E1F48" w:rsidRDefault="00000000">
            <w:r>
              <w:rPr>
                <w:sz w:val="20"/>
                <w:szCs w:val="20"/>
              </w:rPr>
              <w:t>Endogenous</w:t>
            </w:r>
          </w:p>
        </w:tc>
      </w:tr>
      <w:tr w:rsidR="004E1F48" w14:paraId="2BE24D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4364E" w14:textId="77777777" w:rsidR="004E1F48" w:rsidRDefault="00000000">
            <w:r>
              <w:rPr>
                <w:sz w:val="20"/>
                <w:szCs w:val="20"/>
              </w:rPr>
              <w:t>Δ^D_A</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42EB1" w14:textId="77777777" w:rsidR="004E1F48" w:rsidRDefault="00000000">
            <w:r>
              <w:rPr>
                <w:sz w:val="20"/>
                <w:szCs w:val="20"/>
              </w:rPr>
              <w:t>Exogenous demand shift (population/income)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02CC4" w14:textId="77777777" w:rsidR="004E1F48" w:rsidRDefault="00000000">
            <w:r>
              <w:rPr>
                <w:sz w:val="20"/>
                <w:szCs w:val="20"/>
              </w:rPr>
              <w:t>Scenario-dependent</w:t>
            </w:r>
          </w:p>
        </w:tc>
      </w:tr>
      <w:tr w:rsidR="004E1F48" w14:paraId="2AEDD2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B6E1F" w14:textId="77777777" w:rsidR="004E1F48" w:rsidRDefault="00000000">
            <w:r>
              <w:rPr>
                <w:sz w:val="20"/>
                <w:szCs w:val="20"/>
              </w:rPr>
              <w:t>Δ^S_L</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C678A" w14:textId="77777777" w:rsidR="004E1F48" w:rsidRDefault="00000000">
            <w:r>
              <w:rPr>
                <w:sz w:val="20"/>
                <w:szCs w:val="20"/>
              </w:rPr>
              <w:t>Land supply shift (urbanization, policy)</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CEF86" w14:textId="77777777" w:rsidR="004E1F48" w:rsidRDefault="00000000">
            <w:r>
              <w:rPr>
                <w:sz w:val="20"/>
                <w:szCs w:val="20"/>
              </w:rPr>
              <w:t>Scenario-dependent</w:t>
            </w:r>
          </w:p>
        </w:tc>
      </w:tr>
      <w:tr w:rsidR="004E1F48" w14:paraId="7945C7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12069" w14:textId="77777777" w:rsidR="004E1F48" w:rsidRDefault="00000000">
            <w:r>
              <w:rPr>
                <w:sz w:val="20"/>
                <w:szCs w:val="20"/>
              </w:rPr>
              <w:t>η^{</w:t>
            </w:r>
            <w:proofErr w:type="gramStart"/>
            <w:r>
              <w:rPr>
                <w:sz w:val="20"/>
                <w:szCs w:val="20"/>
              </w:rPr>
              <w:t>S,E</w:t>
            </w:r>
            <w:proofErr w:type="gramEnd"/>
            <w:r>
              <w:rPr>
                <w:sz w:val="20"/>
                <w:szCs w:val="20"/>
              </w:rPr>
              <w:t>}_A</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51923" w14:textId="77777777" w:rsidR="004E1F48" w:rsidRDefault="00000000">
            <w:r>
              <w:rPr>
                <w:sz w:val="20"/>
                <w:szCs w:val="20"/>
              </w:rPr>
              <w:t>Extensive margin elasticity (land expansion)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22804" w14:textId="77777777" w:rsidR="004E1F48" w:rsidRDefault="00000000">
            <w:r>
              <w:rPr>
                <w:sz w:val="20"/>
                <w:szCs w:val="20"/>
              </w:rPr>
              <w:t>0.05-0.20</w:t>
            </w:r>
          </w:p>
        </w:tc>
      </w:tr>
      <w:tr w:rsidR="004E1F48" w14:paraId="3FC57D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B57AD" w14:textId="77777777" w:rsidR="004E1F48" w:rsidRDefault="00000000">
            <w:r>
              <w:rPr>
                <w:sz w:val="20"/>
                <w:szCs w:val="20"/>
              </w:rPr>
              <w:t>η^{</w:t>
            </w:r>
            <w:proofErr w:type="gramStart"/>
            <w:r>
              <w:rPr>
                <w:sz w:val="20"/>
                <w:szCs w:val="20"/>
              </w:rPr>
              <w:t>S,I</w:t>
            </w:r>
            <w:proofErr w:type="gramEnd"/>
            <w:r>
              <w:rPr>
                <w:sz w:val="20"/>
                <w:szCs w:val="20"/>
              </w:rPr>
              <w:t>}_A</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F352E" w14:textId="77777777" w:rsidR="004E1F48" w:rsidRDefault="00000000">
            <w:r>
              <w:rPr>
                <w:sz w:val="20"/>
                <w:szCs w:val="20"/>
              </w:rPr>
              <w:t>Intensive margin elasticity (yield)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7FB6F" w14:textId="77777777" w:rsidR="004E1F48" w:rsidRDefault="00000000">
            <w:r>
              <w:rPr>
                <w:sz w:val="20"/>
                <w:szCs w:val="20"/>
              </w:rPr>
              <w:t>0.30-0.50</w:t>
            </w:r>
          </w:p>
        </w:tc>
      </w:tr>
      <w:tr w:rsidR="004E1F48" w14:paraId="2FCCB6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98B99" w14:textId="77777777" w:rsidR="004E1F48" w:rsidRDefault="00000000">
            <w:proofErr w:type="spellStart"/>
            <w:r>
              <w:rPr>
                <w:sz w:val="20"/>
                <w:szCs w:val="20"/>
              </w:rPr>
              <w:t>η^D_A</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D2635" w14:textId="77777777" w:rsidR="004E1F48" w:rsidRDefault="00000000">
            <w:r>
              <w:rPr>
                <w:sz w:val="20"/>
                <w:szCs w:val="20"/>
              </w:rPr>
              <w:t>Demand elasticity</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F6685" w14:textId="77777777" w:rsidR="004E1F48" w:rsidRDefault="00000000">
            <w:r>
              <w:rPr>
                <w:sz w:val="20"/>
                <w:szCs w:val="20"/>
              </w:rPr>
              <w:t>-0.20 to -0.40</w:t>
            </w:r>
          </w:p>
        </w:tc>
      </w:tr>
    </w:tbl>
    <w:p w14:paraId="5B894485" w14:textId="77777777" w:rsidR="004E1F48" w:rsidRDefault="00000000">
      <w:pPr>
        <w:pStyle w:val="Heading3"/>
      </w:pPr>
      <w:r>
        <w:t>Key Insight</w:t>
      </w:r>
    </w:p>
    <w:p w14:paraId="3C168034" w14:textId="77777777" w:rsidR="004E1F48" w:rsidRDefault="00000000">
      <w:pPr>
        <w:spacing w:after="200" w:line="276" w:lineRule="auto"/>
      </w:pPr>
      <w:r>
        <w:t>Inelastic land supply (low extensive margin elasticity) amplifies price impacts from demand growth. When biophysical constraints limit expansion, yield intensification and demand reduction must absorb shocks, driving larger price movements.</w:t>
      </w:r>
    </w:p>
    <w:p w14:paraId="46411538" w14:textId="77777777" w:rsidR="004E1F48" w:rsidRDefault="00000000">
      <w:pPr>
        <w:pStyle w:val="Heading2"/>
      </w:pPr>
      <w:r>
        <w:t>4.2 SIMPLE and SIMPLE-G Extensions</w:t>
      </w:r>
    </w:p>
    <w:p w14:paraId="49D7E660" w14:textId="77777777" w:rsidR="004E1F48" w:rsidRDefault="00000000">
      <w:pPr>
        <w:spacing w:after="200" w:line="276" w:lineRule="auto"/>
      </w:pPr>
      <w:r>
        <w:t xml:space="preserve">The Simplified International Model of </w:t>
      </w:r>
      <w:proofErr w:type="gramStart"/>
      <w:r>
        <w:t>agricultural</w:t>
      </w:r>
      <w:proofErr w:type="gramEnd"/>
      <w:r>
        <w:t xml:space="preserve"> Prices, Land </w:t>
      </w:r>
      <w:proofErr w:type="gramStart"/>
      <w:r>
        <w:t>use</w:t>
      </w:r>
      <w:proofErr w:type="gramEnd"/>
      <w:r>
        <w:t>, and the Environment (SIMPLE) operationalizes Hertel’s framework with 13 calibrated parameters. SIMPLE-G extends this to gridded resolution (5 arcminute), incorporating geospatial heterogeneity.</w:t>
      </w:r>
    </w:p>
    <w:p w14:paraId="7AADD354" w14:textId="77777777" w:rsidR="004E1F48" w:rsidRDefault="00000000">
      <w:pPr>
        <w:pStyle w:val="Heading3"/>
      </w:pPr>
      <w:r>
        <w:t>Model Components</w:t>
      </w:r>
    </w:p>
    <w:p w14:paraId="79913147" w14:textId="77777777" w:rsidR="004E1F48" w:rsidRDefault="00000000">
      <w:pPr>
        <w:spacing w:after="200" w:line="276" w:lineRule="auto"/>
      </w:pPr>
      <w:r>
        <w:t>Supply is modeled via CES production functions linking land, labor, water, and fertilizers to outputs. Demand responds to income and population shifts. Land use captures extensive/intensive responses. Trade is handled via global equilibrium modules.</w:t>
      </w:r>
    </w:p>
    <w:p w14:paraId="521C630F" w14:textId="77777777" w:rsidR="004E1F48" w:rsidRDefault="00000000">
      <w:pPr>
        <w:pStyle w:val="Heading3"/>
      </w:pPr>
      <w:r>
        <w:t>Applications</w:t>
      </w:r>
    </w:p>
    <w:p w14:paraId="26111071" w14:textId="34216443" w:rsidR="004E1F48" w:rsidRDefault="00000000">
      <w:pPr>
        <w:spacing w:after="200" w:line="276" w:lineRule="auto"/>
      </w:pPr>
      <w:r>
        <w:lastRenderedPageBreak/>
        <w:t>SIMPLE-G-US-Corn</w:t>
      </w:r>
      <w:r w:rsidR="006533C6">
        <w:t>/</w:t>
      </w:r>
      <w:r>
        <w:t>Soy analyzes U.S. corn-soybean systems, evaluating nutrient pollution and policy leakage. Biofuel mandate simulations show corn ethanol requirements reducing soybean acreage, raising soybean prices 20-30% in some scenarios.</w:t>
      </w:r>
    </w:p>
    <w:p w14:paraId="77B0784B" w14:textId="77777777" w:rsidR="004E1F48" w:rsidRDefault="00000000">
      <w:r>
        <w:br w:type="page"/>
      </w:r>
    </w:p>
    <w:p w14:paraId="4803CCC2" w14:textId="77777777" w:rsidR="004E1F48" w:rsidRDefault="00000000">
      <w:pPr>
        <w:pStyle w:val="Heading1"/>
      </w:pPr>
      <w:r>
        <w:lastRenderedPageBreak/>
        <w:t>5. Major Institutional Modeling Frameworks</w:t>
      </w:r>
    </w:p>
    <w:p w14:paraId="54D2FD86" w14:textId="77777777" w:rsidR="004E1F48" w:rsidRDefault="00000000">
      <w:pPr>
        <w:spacing w:after="200" w:line="276" w:lineRule="auto"/>
      </w:pPr>
      <w:r>
        <w:t>Several research institutions maintain comprehensive agricultural models used for policy analysis and baseline projections. These frameworks provide validated structures and parameter estimates.</w:t>
      </w:r>
    </w:p>
    <w:p w14:paraId="3D54EFB9" w14:textId="77777777" w:rsidR="004E1F48" w:rsidRDefault="00000000">
      <w:pPr>
        <w:pStyle w:val="Heading2"/>
      </w:pPr>
      <w:r>
        <w:t>5.1 FAPRI Model</w:t>
      </w:r>
    </w:p>
    <w:p w14:paraId="7E7D5136" w14:textId="77777777" w:rsidR="004E1F48" w:rsidRDefault="00000000">
      <w:pPr>
        <w:spacing w:after="200" w:line="276" w:lineRule="auto"/>
      </w:pPr>
      <w:r>
        <w:t>The Food and Agricultural Policy Research Institute maintains a recursive dynamic partial equilibrium system covering U.S. and global markets for crops, livestock, and biofuels.</w:t>
      </w:r>
    </w:p>
    <w:p w14:paraId="28A18FFC" w14:textId="77777777" w:rsidR="004E1F48" w:rsidRDefault="00000000">
      <w:pPr>
        <w:pStyle w:val="Heading3"/>
      </w:pPr>
      <w:r>
        <w:t>Structure</w:t>
      </w:r>
    </w:p>
    <w:p w14:paraId="591D8AB1" w14:textId="77777777" w:rsidR="004E1F48" w:rsidRDefault="00000000">
      <w:pPr>
        <w:spacing w:after="200" w:line="276" w:lineRule="auto"/>
      </w:pPr>
      <w:r>
        <w:t xml:space="preserve">Supply equations model acreage as a function of lagged prices, costs, policy variables, and lagged acreage. Yields follow </w:t>
      </w:r>
      <w:proofErr w:type="gramStart"/>
      <w:r>
        <w:t>trend</w:t>
      </w:r>
      <w:proofErr w:type="gramEnd"/>
      <w:r>
        <w:t xml:space="preserve"> with input and weather adjustments. Demand uses elasticities for domestic use and exports. Trade clears multilaterally.</w:t>
      </w:r>
    </w:p>
    <w:p w14:paraId="5D5E8177" w14:textId="77777777" w:rsidR="004E1F48" w:rsidRDefault="00000000">
      <w:pPr>
        <w:spacing w:before="150" w:after="100"/>
        <w:ind w:left="720"/>
      </w:pPr>
      <w:proofErr w:type="spellStart"/>
      <w:r>
        <w:rPr>
          <w:rFonts w:ascii="Courier New" w:eastAsia="Courier New" w:hAnsi="Courier New" w:cs="Courier New"/>
          <w:i/>
          <w:iCs/>
        </w:rPr>
        <w:t>A_t</w:t>
      </w:r>
      <w:proofErr w:type="spellEnd"/>
      <w:r>
        <w:rPr>
          <w:rFonts w:ascii="Courier New" w:eastAsia="Courier New" w:hAnsi="Courier New" w:cs="Courier New"/>
          <w:i/>
          <w:iCs/>
        </w:rPr>
        <w:t xml:space="preserve"> = f(</w:t>
      </w:r>
      <w:proofErr w:type="gramStart"/>
      <w:r>
        <w:rPr>
          <w:rFonts w:ascii="Courier New" w:eastAsia="Courier New" w:hAnsi="Courier New" w:cs="Courier New"/>
          <w:i/>
          <w:iCs/>
        </w:rPr>
        <w:t>P_{</w:t>
      </w:r>
      <w:proofErr w:type="gramEnd"/>
      <w:r>
        <w:rPr>
          <w:rFonts w:ascii="Courier New" w:eastAsia="Courier New" w:hAnsi="Courier New" w:cs="Courier New"/>
          <w:i/>
          <w:iCs/>
        </w:rPr>
        <w:t>t-</w:t>
      </w:r>
      <w:proofErr w:type="gramStart"/>
      <w:r>
        <w:rPr>
          <w:rFonts w:ascii="Courier New" w:eastAsia="Courier New" w:hAnsi="Courier New" w:cs="Courier New"/>
          <w:i/>
          <w:iCs/>
        </w:rPr>
        <w:t>1},</w:t>
      </w:r>
      <w:proofErr w:type="gramEnd"/>
      <w:r>
        <w:rPr>
          <w:rFonts w:ascii="Courier New" w:eastAsia="Courier New" w:hAnsi="Courier New" w:cs="Courier New"/>
          <w:i/>
          <w:iCs/>
        </w:rPr>
        <w:t xml:space="preserve"> </w:t>
      </w:r>
      <w:proofErr w:type="spellStart"/>
      <w:r>
        <w:rPr>
          <w:rFonts w:ascii="Courier New" w:eastAsia="Courier New" w:hAnsi="Courier New" w:cs="Courier New"/>
          <w:i/>
          <w:iCs/>
        </w:rPr>
        <w:t>costs_t</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policy_t</w:t>
      </w:r>
      <w:proofErr w:type="spellEnd"/>
      <w:r>
        <w:rPr>
          <w:rFonts w:ascii="Courier New" w:eastAsia="Courier New" w:hAnsi="Courier New" w:cs="Courier New"/>
          <w:i/>
          <w:iCs/>
        </w:rPr>
        <w:t xml:space="preserve">, </w:t>
      </w:r>
      <w:proofErr w:type="gramStart"/>
      <w:r>
        <w:rPr>
          <w:rFonts w:ascii="Courier New" w:eastAsia="Courier New" w:hAnsi="Courier New" w:cs="Courier New"/>
          <w:i/>
          <w:iCs/>
        </w:rPr>
        <w:t>A_{</w:t>
      </w:r>
      <w:proofErr w:type="gramEnd"/>
      <w:r>
        <w:rPr>
          <w:rFonts w:ascii="Courier New" w:eastAsia="Courier New" w:hAnsi="Courier New" w:cs="Courier New"/>
          <w:i/>
          <w:iCs/>
        </w:rPr>
        <w:t>t-</w:t>
      </w:r>
      <w:proofErr w:type="gramStart"/>
      <w:r>
        <w:rPr>
          <w:rFonts w:ascii="Courier New" w:eastAsia="Courier New" w:hAnsi="Courier New" w:cs="Courier New"/>
          <w:i/>
          <w:iCs/>
        </w:rPr>
        <w:t>1})</w:t>
      </w:r>
      <w:proofErr w:type="gramEnd"/>
    </w:p>
    <w:p w14:paraId="0D9991EB" w14:textId="77777777" w:rsidR="004E1F48" w:rsidRDefault="00000000">
      <w:pPr>
        <w:spacing w:after="200"/>
        <w:ind w:left="720"/>
      </w:pPr>
      <w:r>
        <w:rPr>
          <w:i/>
          <w:iCs/>
          <w:sz w:val="20"/>
          <w:szCs w:val="20"/>
        </w:rPr>
        <w:t>Acreage response to lagged prices and policy</w:t>
      </w:r>
    </w:p>
    <w:p w14:paraId="577F961F" w14:textId="77777777" w:rsidR="004E1F48" w:rsidRDefault="00000000">
      <w:pPr>
        <w:spacing w:before="150" w:after="100"/>
        <w:ind w:left="720"/>
      </w:pPr>
      <w:proofErr w:type="spellStart"/>
      <w:r>
        <w:rPr>
          <w:rFonts w:ascii="Courier New" w:eastAsia="Courier New" w:hAnsi="Courier New" w:cs="Courier New"/>
          <w:i/>
          <w:iCs/>
        </w:rPr>
        <w:t>Y_t</w:t>
      </w:r>
      <w:proofErr w:type="spellEnd"/>
      <w:r>
        <w:rPr>
          <w:rFonts w:ascii="Courier New" w:eastAsia="Courier New" w:hAnsi="Courier New" w:cs="Courier New"/>
          <w:i/>
          <w:iCs/>
        </w:rPr>
        <w:t xml:space="preserve"> = </w:t>
      </w:r>
      <w:proofErr w:type="gramStart"/>
      <w:r>
        <w:rPr>
          <w:rFonts w:ascii="Courier New" w:eastAsia="Courier New" w:hAnsi="Courier New" w:cs="Courier New"/>
          <w:i/>
          <w:iCs/>
        </w:rPr>
        <w:t>g(</w:t>
      </w:r>
      <w:proofErr w:type="gramEnd"/>
      <w:r>
        <w:rPr>
          <w:rFonts w:ascii="Courier New" w:eastAsia="Courier New" w:hAnsi="Courier New" w:cs="Courier New"/>
          <w:i/>
          <w:iCs/>
        </w:rPr>
        <w:t xml:space="preserve">trend, </w:t>
      </w:r>
      <w:proofErr w:type="spellStart"/>
      <w:r>
        <w:rPr>
          <w:rFonts w:ascii="Courier New" w:eastAsia="Courier New" w:hAnsi="Courier New" w:cs="Courier New"/>
          <w:i/>
          <w:iCs/>
        </w:rPr>
        <w:t>inputs_t</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weather_t</w:t>
      </w:r>
      <w:proofErr w:type="spellEnd"/>
      <w:r>
        <w:rPr>
          <w:rFonts w:ascii="Courier New" w:eastAsia="Courier New" w:hAnsi="Courier New" w:cs="Courier New"/>
          <w:i/>
          <w:iCs/>
        </w:rPr>
        <w:t>)</w:t>
      </w:r>
    </w:p>
    <w:p w14:paraId="54AF147A" w14:textId="77777777" w:rsidR="004E1F48" w:rsidRDefault="00000000">
      <w:pPr>
        <w:spacing w:after="200"/>
        <w:ind w:left="720"/>
      </w:pPr>
      <w:r>
        <w:rPr>
          <w:i/>
          <w:iCs/>
          <w:sz w:val="20"/>
          <w:szCs w:val="20"/>
        </w:rPr>
        <w:t>Yield as function of technology trend and conditions</w:t>
      </w:r>
    </w:p>
    <w:p w14:paraId="5BB177C4" w14:textId="77777777" w:rsidR="004E1F48" w:rsidRDefault="00000000">
      <w:pPr>
        <w:pStyle w:val="Heading3"/>
      </w:pPr>
      <w:r>
        <w:t>Key Parameters</w:t>
      </w:r>
    </w:p>
    <w:p w14:paraId="424C862D" w14:textId="77777777" w:rsidR="004E1F48" w:rsidRDefault="00000000">
      <w:pPr>
        <w:spacing w:after="200" w:line="276" w:lineRule="auto"/>
      </w:pPr>
      <w:r>
        <w:t xml:space="preserve">Yield elasticities are low (0.1-0.3), reflecting agronomic constraints. Stochastic simulations via Monte Carlo (typically 500 iterations) incorporate uncertainty. Oilseed crush equations link seeds to </w:t>
      </w:r>
      <w:proofErr w:type="gramStart"/>
      <w:r>
        <w:t>meal</w:t>
      </w:r>
      <w:proofErr w:type="gramEnd"/>
      <w:r>
        <w:t xml:space="preserve"> and oil with cross-elasticities capturing meal substitution.</w:t>
      </w:r>
    </w:p>
    <w:p w14:paraId="0CC43C60" w14:textId="77777777" w:rsidR="004E1F48" w:rsidRDefault="00000000">
      <w:pPr>
        <w:pStyle w:val="Heading2"/>
      </w:pPr>
      <w:r>
        <w:t>5.2 AGMEMOD</w:t>
      </w:r>
    </w:p>
    <w:p w14:paraId="5F4CE20D" w14:textId="77777777" w:rsidR="004E1F48" w:rsidRDefault="00000000">
      <w:pPr>
        <w:spacing w:after="200" w:line="276" w:lineRule="auto"/>
      </w:pPr>
      <w:r>
        <w:t>Agricultural Member State Modelling provides a bottom-up partial equilibrium framework for EU agri-food sectors, disaggregated to 27 member states plus candidates.</w:t>
      </w:r>
    </w:p>
    <w:p w14:paraId="2388E8E3" w14:textId="77777777" w:rsidR="004E1F48" w:rsidRDefault="00000000">
      <w:pPr>
        <w:pStyle w:val="Heading3"/>
      </w:pPr>
      <w:r>
        <w:t>Features</w:t>
      </w:r>
    </w:p>
    <w:p w14:paraId="565B0FF9" w14:textId="77777777" w:rsidR="004E1F48" w:rsidRDefault="00000000">
      <w:pPr>
        <w:spacing w:after="200" w:line="276" w:lineRule="auto"/>
      </w:pPr>
      <w:r>
        <w:t>Econometrically estimated equations model supply via acreage response to lagged prices and yields via trends. Demand uses elasticities for food, feed, and industrial use. Trade follows Armington specification with bilateral flows. Policy modules incorporate CAP instruments.</w:t>
      </w:r>
    </w:p>
    <w:p w14:paraId="7E80B68B" w14:textId="77777777" w:rsidR="004E1F48" w:rsidRDefault="00000000">
      <w:pPr>
        <w:pStyle w:val="Heading3"/>
      </w:pPr>
      <w:r>
        <w:t>Applications</w:t>
      </w:r>
    </w:p>
    <w:p w14:paraId="2AE7F2B3" w14:textId="77777777" w:rsidR="004E1F48" w:rsidRDefault="00000000">
      <w:pPr>
        <w:spacing w:after="200" w:line="276" w:lineRule="auto"/>
      </w:pPr>
      <w:r>
        <w:t>Brexit scenarios show UK wheat exports declining 15% due to tariffs. CAP reform analyses reveal production shifts eastward. Supply elasticities for grains range 0.2-0.4.</w:t>
      </w:r>
    </w:p>
    <w:p w14:paraId="1F568EC7" w14:textId="77777777" w:rsidR="004E1F48" w:rsidRDefault="00000000">
      <w:pPr>
        <w:pStyle w:val="Heading2"/>
      </w:pPr>
      <w:r>
        <w:t>5.3 GTAP and GTAP-AGR</w:t>
      </w:r>
    </w:p>
    <w:p w14:paraId="56B02249" w14:textId="77777777" w:rsidR="004E1F48" w:rsidRDefault="00000000">
      <w:pPr>
        <w:spacing w:after="200" w:line="276" w:lineRule="auto"/>
      </w:pPr>
      <w:r>
        <w:lastRenderedPageBreak/>
        <w:t xml:space="preserve">The Global Trade Analysis Project is a </w:t>
      </w:r>
      <w:proofErr w:type="spellStart"/>
      <w:r>
        <w:t>multiregion</w:t>
      </w:r>
      <w:proofErr w:type="spellEnd"/>
      <w:r>
        <w:t>, multisector computable general equilibrium model with perfect competition and constant returns to scale. The database covers 140 regions and 65 sectors.</w:t>
      </w:r>
    </w:p>
    <w:p w14:paraId="3E203AFD" w14:textId="77777777" w:rsidR="004E1F48" w:rsidRDefault="00000000">
      <w:pPr>
        <w:pStyle w:val="Heading3"/>
      </w:pPr>
      <w:r>
        <w:t>Core Structure</w:t>
      </w:r>
    </w:p>
    <w:p w14:paraId="7583C809" w14:textId="77777777" w:rsidR="004E1F48" w:rsidRDefault="00000000">
      <w:pPr>
        <w:spacing w:after="200" w:line="276" w:lineRule="auto"/>
      </w:pPr>
      <w:r>
        <w:t>The model solves for equilibria via utility maximization (regional households) and cost minimization (firms). Trade uses Armington elasticities (2-5 for agriculture). Production follows nested CES functions. Land allocation uses constant elasticity of transformation (CET).</w:t>
      </w:r>
    </w:p>
    <w:p w14:paraId="5B9DF016" w14:textId="77777777" w:rsidR="004E1F48" w:rsidRDefault="00000000">
      <w:pPr>
        <w:spacing w:before="150" w:after="100"/>
        <w:ind w:left="720"/>
      </w:pPr>
      <w:r>
        <w:rPr>
          <w:rFonts w:ascii="Courier New" w:eastAsia="Courier New" w:hAnsi="Courier New" w:cs="Courier New"/>
          <w:i/>
          <w:iCs/>
        </w:rPr>
        <w:t xml:space="preserve">Q = α (δ </w:t>
      </w:r>
      <w:proofErr w:type="spellStart"/>
      <w:r>
        <w:rPr>
          <w:rFonts w:ascii="Courier New" w:eastAsia="Courier New" w:hAnsi="Courier New" w:cs="Courier New"/>
          <w:i/>
          <w:iCs/>
        </w:rPr>
        <w:t>K^ρ</w:t>
      </w:r>
      <w:proofErr w:type="spellEnd"/>
      <w:r>
        <w:rPr>
          <w:rFonts w:ascii="Courier New" w:eastAsia="Courier New" w:hAnsi="Courier New" w:cs="Courier New"/>
          <w:i/>
          <w:iCs/>
        </w:rPr>
        <w:t xml:space="preserve"> + (1-δ) </w:t>
      </w:r>
      <w:proofErr w:type="spellStart"/>
      <w:r>
        <w:rPr>
          <w:rFonts w:ascii="Courier New" w:eastAsia="Courier New" w:hAnsi="Courier New" w:cs="Courier New"/>
          <w:i/>
          <w:iCs/>
        </w:rPr>
        <w:t>L^</w:t>
      </w:r>
      <w:proofErr w:type="gramStart"/>
      <w:r>
        <w:rPr>
          <w:rFonts w:ascii="Courier New" w:eastAsia="Courier New" w:hAnsi="Courier New" w:cs="Courier New"/>
          <w:i/>
          <w:iCs/>
        </w:rPr>
        <w:t>ρ</w:t>
      </w:r>
      <w:proofErr w:type="spellEnd"/>
      <w:r>
        <w:rPr>
          <w:rFonts w:ascii="Courier New" w:eastAsia="Courier New" w:hAnsi="Courier New" w:cs="Courier New"/>
          <w:i/>
          <w:iCs/>
        </w:rPr>
        <w:t>)^</w:t>
      </w:r>
      <w:proofErr w:type="gramEnd"/>
      <w:r>
        <w:rPr>
          <w:rFonts w:ascii="Courier New" w:eastAsia="Courier New" w:hAnsi="Courier New" w:cs="Courier New"/>
          <w:i/>
          <w:iCs/>
        </w:rPr>
        <w:t>{1/ρ}</w:t>
      </w:r>
    </w:p>
    <w:p w14:paraId="55106EB5" w14:textId="77777777" w:rsidR="004E1F48" w:rsidRDefault="00000000">
      <w:pPr>
        <w:spacing w:after="200"/>
        <w:ind w:left="720"/>
      </w:pPr>
      <w:r>
        <w:rPr>
          <w:i/>
          <w:iCs/>
          <w:sz w:val="20"/>
          <w:szCs w:val="20"/>
        </w:rPr>
        <w:t>CES production function with capital (K) and labor (L)</w:t>
      </w:r>
    </w:p>
    <w:p w14:paraId="7273F31D" w14:textId="77777777" w:rsidR="004E1F48" w:rsidRDefault="00000000">
      <w:pPr>
        <w:pStyle w:val="Heading3"/>
      </w:pPr>
      <w:r>
        <w:t>GTAP-AGR Extensions</w:t>
      </w:r>
    </w:p>
    <w:p w14:paraId="654285CF" w14:textId="77777777" w:rsidR="004E1F48" w:rsidRDefault="00000000">
      <w:pPr>
        <w:spacing w:after="200" w:line="276" w:lineRule="auto"/>
      </w:pPr>
      <w:r>
        <w:t>Agricultural-specific features include factor mobility with land elasticity 0.2-0.5, imperfect livestock-feed substitution, and detailed policy instruments. GTAP-BIO variant analyzes energy-agriculture linkages, useful for biofuel policy evaluation.</w:t>
      </w:r>
    </w:p>
    <w:p w14:paraId="44145427" w14:textId="77777777" w:rsidR="004E1F48" w:rsidRDefault="00000000">
      <w:pPr>
        <w:pStyle w:val="Heading2"/>
      </w:pPr>
      <w:r>
        <w:t>5.4 IFPRI IMPACT</w:t>
      </w:r>
    </w:p>
    <w:p w14:paraId="5AED42F8" w14:textId="77777777" w:rsidR="004E1F48" w:rsidRDefault="00000000">
      <w:pPr>
        <w:spacing w:after="200" w:line="276" w:lineRule="auto"/>
      </w:pPr>
      <w:r>
        <w:t>The International Model for Policy Analysis of Agricultural Commodities and Trade links economic, water, and crop sub-models for 320 regions and 62 commodities.</w:t>
      </w:r>
    </w:p>
    <w:p w14:paraId="5B2F0606" w14:textId="77777777" w:rsidR="004E1F48" w:rsidRDefault="00000000">
      <w:pPr>
        <w:pStyle w:val="Heading3"/>
      </w:pPr>
      <w:r>
        <w:t>Integration</w:t>
      </w:r>
    </w:p>
    <w:p w14:paraId="3606FD88" w14:textId="77777777" w:rsidR="004E1F48" w:rsidRDefault="00000000">
      <w:pPr>
        <w:spacing w:after="200" w:line="276" w:lineRule="auto"/>
      </w:pPr>
      <w:r>
        <w:t>Version 3.6 integrates DSSAT crop simulations for yield estimation, incorporates stochastic elements for uncertainty, and models processing via crush ratios (e.g., soybeans: 0.80 oil, 0.18 meal per unit input). Supply elasticities range 0.3-0.6.</w:t>
      </w:r>
    </w:p>
    <w:p w14:paraId="45390CB8" w14:textId="77777777" w:rsidR="004E1F48" w:rsidRDefault="00000000">
      <w:r>
        <w:br w:type="page"/>
      </w:r>
    </w:p>
    <w:p w14:paraId="38A9BF2B" w14:textId="77777777" w:rsidR="004E1F48" w:rsidRDefault="00000000">
      <w:pPr>
        <w:pStyle w:val="Heading1"/>
      </w:pPr>
      <w:r>
        <w:lastRenderedPageBreak/>
        <w:t>6. Trade Flow Models</w:t>
      </w:r>
    </w:p>
    <w:p w14:paraId="6317A3AB" w14:textId="77777777" w:rsidR="004E1F48" w:rsidRDefault="00000000">
      <w:pPr>
        <w:spacing w:after="200" w:line="276" w:lineRule="auto"/>
      </w:pPr>
      <w:r>
        <w:t>Understanding bilateral trade patterns requires specialized models that account for distance, economic mass, and inefficiencies in agricultural supply chains.</w:t>
      </w:r>
    </w:p>
    <w:p w14:paraId="1CEEC92A" w14:textId="77777777" w:rsidR="004E1F48" w:rsidRDefault="00000000">
      <w:pPr>
        <w:pStyle w:val="Heading2"/>
      </w:pPr>
      <w:r>
        <w:t>6.1 Stochastic Frontier Models for Trade</w:t>
      </w:r>
    </w:p>
    <w:p w14:paraId="0FA81545" w14:textId="77777777" w:rsidR="004E1F48" w:rsidRDefault="00000000">
      <w:pPr>
        <w:spacing w:after="200" w:line="276" w:lineRule="auto"/>
      </w:pPr>
      <w:r>
        <w:t>Stochastic frontier analysis extends gravity models to decompose trade deviations into inefficiency and noise, enabling estimation of unrealized trade potential.</w:t>
      </w:r>
    </w:p>
    <w:p w14:paraId="3E44B6B5" w14:textId="77777777" w:rsidR="004E1F48" w:rsidRDefault="00000000">
      <w:pPr>
        <w:spacing w:before="150" w:after="100"/>
        <w:ind w:left="720"/>
      </w:pPr>
      <w:r>
        <w:rPr>
          <w:rFonts w:ascii="Courier New" w:eastAsia="Courier New" w:hAnsi="Courier New" w:cs="Courier New"/>
          <w:i/>
          <w:iCs/>
        </w:rPr>
        <w:t xml:space="preserve">ln </w:t>
      </w:r>
      <w:proofErr w:type="gramStart"/>
      <w:r>
        <w:rPr>
          <w:rFonts w:ascii="Courier New" w:eastAsia="Courier New" w:hAnsi="Courier New" w:cs="Courier New"/>
          <w:i/>
          <w:iCs/>
        </w:rPr>
        <w:t>T_{</w:t>
      </w:r>
      <w:proofErr w:type="spellStart"/>
      <w:proofErr w:type="gramEnd"/>
      <w:r>
        <w:rPr>
          <w:rFonts w:ascii="Courier New" w:eastAsia="Courier New" w:hAnsi="Courier New" w:cs="Courier New"/>
          <w:i/>
          <w:iCs/>
        </w:rPr>
        <w:t>ij</w:t>
      </w:r>
      <w:proofErr w:type="spellEnd"/>
      <w:r>
        <w:rPr>
          <w:rFonts w:ascii="Courier New" w:eastAsia="Courier New" w:hAnsi="Courier New" w:cs="Courier New"/>
          <w:i/>
          <w:iCs/>
        </w:rPr>
        <w:t xml:space="preserve">} = β_0 + β_1 ln </w:t>
      </w:r>
      <w:proofErr w:type="spellStart"/>
      <w:r>
        <w:rPr>
          <w:rFonts w:ascii="Courier New" w:eastAsia="Courier New" w:hAnsi="Courier New" w:cs="Courier New"/>
          <w:i/>
          <w:iCs/>
        </w:rPr>
        <w:t>GDP_i</w:t>
      </w:r>
      <w:proofErr w:type="spellEnd"/>
      <w:r>
        <w:rPr>
          <w:rFonts w:ascii="Courier New" w:eastAsia="Courier New" w:hAnsi="Courier New" w:cs="Courier New"/>
          <w:i/>
          <w:iCs/>
        </w:rPr>
        <w:t xml:space="preserve"> + β_2 ln </w:t>
      </w:r>
      <w:proofErr w:type="spellStart"/>
      <w:r>
        <w:rPr>
          <w:rFonts w:ascii="Courier New" w:eastAsia="Courier New" w:hAnsi="Courier New" w:cs="Courier New"/>
          <w:i/>
          <w:iCs/>
        </w:rPr>
        <w:t>GDP_j</w:t>
      </w:r>
      <w:proofErr w:type="spellEnd"/>
      <w:r>
        <w:rPr>
          <w:rFonts w:ascii="Courier New" w:eastAsia="Courier New" w:hAnsi="Courier New" w:cs="Courier New"/>
          <w:i/>
          <w:iCs/>
        </w:rPr>
        <w:t xml:space="preserve"> - β_3 ln </w:t>
      </w:r>
      <w:proofErr w:type="spellStart"/>
      <w:proofErr w:type="gramStart"/>
      <w:r>
        <w:rPr>
          <w:rFonts w:ascii="Courier New" w:eastAsia="Courier New" w:hAnsi="Courier New" w:cs="Courier New"/>
          <w:i/>
          <w:iCs/>
        </w:rPr>
        <w:t>Dist</w:t>
      </w:r>
      <w:proofErr w:type="spellEnd"/>
      <w:r>
        <w:rPr>
          <w:rFonts w:ascii="Courier New" w:eastAsia="Courier New" w:hAnsi="Courier New" w:cs="Courier New"/>
          <w:i/>
          <w:iCs/>
        </w:rPr>
        <w:t>_{</w:t>
      </w:r>
      <w:proofErr w:type="spellStart"/>
      <w:proofErr w:type="gramEnd"/>
      <w:r>
        <w:rPr>
          <w:rFonts w:ascii="Courier New" w:eastAsia="Courier New" w:hAnsi="Courier New" w:cs="Courier New"/>
          <w:i/>
          <w:iCs/>
        </w:rPr>
        <w:t>ij</w:t>
      </w:r>
      <w:proofErr w:type="spellEnd"/>
      <w:r>
        <w:rPr>
          <w:rFonts w:ascii="Courier New" w:eastAsia="Courier New" w:hAnsi="Courier New" w:cs="Courier New"/>
          <w:i/>
          <w:iCs/>
        </w:rPr>
        <w:t xml:space="preserve">} + </w:t>
      </w:r>
      <w:proofErr w:type="gramStart"/>
      <w:r>
        <w:rPr>
          <w:rFonts w:ascii="Courier New" w:eastAsia="Courier New" w:hAnsi="Courier New" w:cs="Courier New"/>
          <w:i/>
          <w:iCs/>
        </w:rPr>
        <w:t>v_{</w:t>
      </w:r>
      <w:proofErr w:type="spellStart"/>
      <w:r>
        <w:rPr>
          <w:rFonts w:ascii="Courier New" w:eastAsia="Courier New" w:hAnsi="Courier New" w:cs="Courier New"/>
          <w:i/>
          <w:iCs/>
        </w:rPr>
        <w:t>ij</w:t>
      </w:r>
      <w:proofErr w:type="spellEnd"/>
      <w:r>
        <w:rPr>
          <w:rFonts w:ascii="Courier New" w:eastAsia="Courier New" w:hAnsi="Courier New" w:cs="Courier New"/>
          <w:i/>
          <w:iCs/>
        </w:rPr>
        <w:t>} -</w:t>
      </w:r>
      <w:proofErr w:type="gramEnd"/>
      <w:r>
        <w:rPr>
          <w:rFonts w:ascii="Courier New" w:eastAsia="Courier New" w:hAnsi="Courier New" w:cs="Courier New"/>
          <w:i/>
          <w:iCs/>
        </w:rPr>
        <w:t xml:space="preserve"> </w:t>
      </w:r>
      <w:proofErr w:type="gramStart"/>
      <w:r>
        <w:rPr>
          <w:rFonts w:ascii="Courier New" w:eastAsia="Courier New" w:hAnsi="Courier New" w:cs="Courier New"/>
          <w:i/>
          <w:iCs/>
        </w:rPr>
        <w:t>u_{</w:t>
      </w:r>
      <w:proofErr w:type="spellStart"/>
      <w:proofErr w:type="gramEnd"/>
      <w:r>
        <w:rPr>
          <w:rFonts w:ascii="Courier New" w:eastAsia="Courier New" w:hAnsi="Courier New" w:cs="Courier New"/>
          <w:i/>
          <w:iCs/>
        </w:rPr>
        <w:t>ij</w:t>
      </w:r>
      <w:proofErr w:type="spellEnd"/>
      <w:r>
        <w:rPr>
          <w:rFonts w:ascii="Courier New" w:eastAsia="Courier New" w:hAnsi="Courier New" w:cs="Courier New"/>
          <w:i/>
          <w:iCs/>
        </w:rPr>
        <w:t>}</w:t>
      </w:r>
    </w:p>
    <w:p w14:paraId="6D2211E5" w14:textId="77777777" w:rsidR="004E1F48" w:rsidRDefault="00000000">
      <w:pPr>
        <w:spacing w:after="200"/>
        <w:ind w:left="720"/>
      </w:pPr>
      <w:r>
        <w:rPr>
          <w:i/>
          <w:iCs/>
          <w:sz w:val="20"/>
          <w:szCs w:val="20"/>
        </w:rPr>
        <w:t>Trade flow (T) with symmetric error (v) and one-sided inefficiency (u)</w:t>
      </w:r>
    </w:p>
    <w:p w14:paraId="4F157DB8" w14:textId="77777777" w:rsidR="004E1F48" w:rsidRDefault="00000000">
      <w:pPr>
        <w:pStyle w:val="Heading3"/>
      </w:pPr>
      <w:r>
        <w:t>Applications</w:t>
      </w:r>
    </w:p>
    <w:p w14:paraId="0684DBAE" w14:textId="77777777" w:rsidR="004E1F48" w:rsidRDefault="00000000">
      <w:pPr>
        <w:spacing w:after="200" w:line="276" w:lineRule="auto"/>
      </w:pPr>
      <w:r>
        <w:t>Belt and Road grain trade shows efficiency ratios of 0.6-0.8, implying 20-30% untapped potential due to infrastructure and policy barriers. Distance elasticity averages -1.2 for agricultural products.</w:t>
      </w:r>
    </w:p>
    <w:p w14:paraId="31EC61E7" w14:textId="77777777" w:rsidR="004E1F48" w:rsidRDefault="00000000">
      <w:pPr>
        <w:pStyle w:val="Heading2"/>
      </w:pPr>
      <w:r>
        <w:t>6.2 Processing and Value Chain Models</w:t>
      </w:r>
    </w:p>
    <w:p w14:paraId="54749D87" w14:textId="77777777" w:rsidR="004E1F48" w:rsidRDefault="00000000">
      <w:pPr>
        <w:spacing w:after="200" w:line="276" w:lineRule="auto"/>
      </w:pPr>
      <w:r>
        <w:t>Primal production analysis estimates input-output relationships directly, rebuilding supply functions that include processing stages like soybean crushing or corn ethanol production.</w:t>
      </w:r>
    </w:p>
    <w:p w14:paraId="18CC303E" w14:textId="77777777" w:rsidR="004E1F48" w:rsidRDefault="00000000">
      <w:pPr>
        <w:spacing w:before="150" w:after="100"/>
        <w:ind w:left="720"/>
      </w:pPr>
      <w:r>
        <w:rPr>
          <w:rFonts w:ascii="Courier New" w:eastAsia="Courier New" w:hAnsi="Courier New" w:cs="Courier New"/>
          <w:i/>
          <w:iCs/>
        </w:rPr>
        <w:t>ln Q = ln A + α ln L + β ln K + γ ln F</w:t>
      </w:r>
    </w:p>
    <w:p w14:paraId="6C637916" w14:textId="77777777" w:rsidR="004E1F48" w:rsidRDefault="00000000">
      <w:pPr>
        <w:spacing w:after="200"/>
        <w:ind w:left="720"/>
      </w:pPr>
      <w:r>
        <w:rPr>
          <w:i/>
          <w:iCs/>
          <w:sz w:val="20"/>
          <w:szCs w:val="20"/>
        </w:rPr>
        <w:t>Cobb-Douglas with labor (L), capital (K), and fertilizer (F)</w:t>
      </w:r>
    </w:p>
    <w:p w14:paraId="3F293488" w14:textId="77777777" w:rsidR="004E1F48" w:rsidRPr="006533C6" w:rsidRDefault="00000000">
      <w:pPr>
        <w:spacing w:before="150" w:after="100"/>
        <w:ind w:left="720"/>
        <w:rPr>
          <w:lang w:val="da-DK"/>
        </w:rPr>
      </w:pPr>
      <w:proofErr w:type="spellStart"/>
      <w:r w:rsidRPr="006533C6">
        <w:rPr>
          <w:rFonts w:ascii="Courier New" w:eastAsia="Courier New" w:hAnsi="Courier New" w:cs="Courier New"/>
          <w:i/>
          <w:iCs/>
          <w:lang w:val="da-DK"/>
        </w:rPr>
        <w:t>ln</w:t>
      </w:r>
      <w:proofErr w:type="spellEnd"/>
      <w:r w:rsidRPr="006533C6">
        <w:rPr>
          <w:rFonts w:ascii="Courier New" w:eastAsia="Courier New" w:hAnsi="Courier New" w:cs="Courier New"/>
          <w:i/>
          <w:iCs/>
          <w:lang w:val="da-DK"/>
        </w:rPr>
        <w:t xml:space="preserve"> Q = </w:t>
      </w:r>
      <w:r>
        <w:rPr>
          <w:rFonts w:ascii="Courier New" w:eastAsia="Courier New" w:hAnsi="Courier New" w:cs="Courier New"/>
          <w:i/>
          <w:iCs/>
        </w:rPr>
        <w:t>α</w:t>
      </w:r>
      <w:r w:rsidRPr="006533C6">
        <w:rPr>
          <w:rFonts w:ascii="Courier New" w:eastAsia="Courier New" w:hAnsi="Courier New" w:cs="Courier New"/>
          <w:i/>
          <w:iCs/>
          <w:lang w:val="da-DK"/>
        </w:rPr>
        <w:t xml:space="preserve">_0 + </w:t>
      </w:r>
      <w:r>
        <w:rPr>
          <w:rFonts w:ascii="Courier New" w:eastAsia="Courier New" w:hAnsi="Courier New" w:cs="Courier New"/>
          <w:i/>
          <w:iCs/>
        </w:rPr>
        <w:t>Σ</w:t>
      </w:r>
      <w:r w:rsidRPr="006533C6">
        <w:rPr>
          <w:rFonts w:ascii="Courier New" w:eastAsia="Courier New" w:hAnsi="Courier New" w:cs="Courier New"/>
          <w:i/>
          <w:iCs/>
          <w:lang w:val="da-DK"/>
        </w:rPr>
        <w:t xml:space="preserve"> </w:t>
      </w:r>
      <w:r>
        <w:rPr>
          <w:rFonts w:ascii="Courier New" w:eastAsia="Courier New" w:hAnsi="Courier New" w:cs="Courier New"/>
          <w:i/>
          <w:iCs/>
        </w:rPr>
        <w:t>α</w:t>
      </w:r>
      <w:r w:rsidRPr="006533C6">
        <w:rPr>
          <w:rFonts w:ascii="Courier New" w:eastAsia="Courier New" w:hAnsi="Courier New" w:cs="Courier New"/>
          <w:i/>
          <w:iCs/>
          <w:lang w:val="da-DK"/>
        </w:rPr>
        <w:t xml:space="preserve">_i </w:t>
      </w:r>
      <w:proofErr w:type="spellStart"/>
      <w:r w:rsidRPr="006533C6">
        <w:rPr>
          <w:rFonts w:ascii="Courier New" w:eastAsia="Courier New" w:hAnsi="Courier New" w:cs="Courier New"/>
          <w:i/>
          <w:iCs/>
          <w:lang w:val="da-DK"/>
        </w:rPr>
        <w:t>ln</w:t>
      </w:r>
      <w:proofErr w:type="spellEnd"/>
      <w:r w:rsidRPr="006533C6">
        <w:rPr>
          <w:rFonts w:ascii="Courier New" w:eastAsia="Courier New" w:hAnsi="Courier New" w:cs="Courier New"/>
          <w:i/>
          <w:iCs/>
          <w:lang w:val="da-DK"/>
        </w:rPr>
        <w:t xml:space="preserve"> </w:t>
      </w:r>
      <w:proofErr w:type="spellStart"/>
      <w:r w:rsidRPr="006533C6">
        <w:rPr>
          <w:rFonts w:ascii="Courier New" w:eastAsia="Courier New" w:hAnsi="Courier New" w:cs="Courier New"/>
          <w:i/>
          <w:iCs/>
          <w:lang w:val="da-DK"/>
        </w:rPr>
        <w:t>X_i</w:t>
      </w:r>
      <w:proofErr w:type="spellEnd"/>
      <w:r w:rsidRPr="006533C6">
        <w:rPr>
          <w:rFonts w:ascii="Courier New" w:eastAsia="Courier New" w:hAnsi="Courier New" w:cs="Courier New"/>
          <w:i/>
          <w:iCs/>
          <w:lang w:val="da-DK"/>
        </w:rPr>
        <w:t xml:space="preserve"> + (1/2) </w:t>
      </w:r>
      <w:r>
        <w:rPr>
          <w:rFonts w:ascii="Courier New" w:eastAsia="Courier New" w:hAnsi="Courier New" w:cs="Courier New"/>
          <w:i/>
          <w:iCs/>
        </w:rPr>
        <w:t>ΣΣ</w:t>
      </w:r>
      <w:r w:rsidRPr="006533C6">
        <w:rPr>
          <w:rFonts w:ascii="Courier New" w:eastAsia="Courier New" w:hAnsi="Courier New" w:cs="Courier New"/>
          <w:i/>
          <w:iCs/>
          <w:lang w:val="da-DK"/>
        </w:rPr>
        <w:t xml:space="preserve"> </w:t>
      </w:r>
      <w:r>
        <w:rPr>
          <w:rFonts w:ascii="Courier New" w:eastAsia="Courier New" w:hAnsi="Courier New" w:cs="Courier New"/>
          <w:i/>
          <w:iCs/>
        </w:rPr>
        <w:t>β</w:t>
      </w:r>
      <w:r w:rsidRPr="006533C6">
        <w:rPr>
          <w:rFonts w:ascii="Courier New" w:eastAsia="Courier New" w:hAnsi="Courier New" w:cs="Courier New"/>
          <w:i/>
          <w:iCs/>
          <w:lang w:val="da-DK"/>
        </w:rPr>
        <w:t xml:space="preserve">_{ij} </w:t>
      </w:r>
      <w:proofErr w:type="spellStart"/>
      <w:r w:rsidRPr="006533C6">
        <w:rPr>
          <w:rFonts w:ascii="Courier New" w:eastAsia="Courier New" w:hAnsi="Courier New" w:cs="Courier New"/>
          <w:i/>
          <w:iCs/>
          <w:lang w:val="da-DK"/>
        </w:rPr>
        <w:t>ln</w:t>
      </w:r>
      <w:proofErr w:type="spellEnd"/>
      <w:r w:rsidRPr="006533C6">
        <w:rPr>
          <w:rFonts w:ascii="Courier New" w:eastAsia="Courier New" w:hAnsi="Courier New" w:cs="Courier New"/>
          <w:i/>
          <w:iCs/>
          <w:lang w:val="da-DK"/>
        </w:rPr>
        <w:t xml:space="preserve"> </w:t>
      </w:r>
      <w:proofErr w:type="spellStart"/>
      <w:r w:rsidRPr="006533C6">
        <w:rPr>
          <w:rFonts w:ascii="Courier New" w:eastAsia="Courier New" w:hAnsi="Courier New" w:cs="Courier New"/>
          <w:i/>
          <w:iCs/>
          <w:lang w:val="da-DK"/>
        </w:rPr>
        <w:t>X_i</w:t>
      </w:r>
      <w:proofErr w:type="spellEnd"/>
      <w:r w:rsidRPr="006533C6">
        <w:rPr>
          <w:rFonts w:ascii="Courier New" w:eastAsia="Courier New" w:hAnsi="Courier New" w:cs="Courier New"/>
          <w:i/>
          <w:iCs/>
          <w:lang w:val="da-DK"/>
        </w:rPr>
        <w:t xml:space="preserve"> </w:t>
      </w:r>
      <w:proofErr w:type="spellStart"/>
      <w:r w:rsidRPr="006533C6">
        <w:rPr>
          <w:rFonts w:ascii="Courier New" w:eastAsia="Courier New" w:hAnsi="Courier New" w:cs="Courier New"/>
          <w:i/>
          <w:iCs/>
          <w:lang w:val="da-DK"/>
        </w:rPr>
        <w:t>ln</w:t>
      </w:r>
      <w:proofErr w:type="spellEnd"/>
      <w:r w:rsidRPr="006533C6">
        <w:rPr>
          <w:rFonts w:ascii="Courier New" w:eastAsia="Courier New" w:hAnsi="Courier New" w:cs="Courier New"/>
          <w:i/>
          <w:iCs/>
          <w:lang w:val="da-DK"/>
        </w:rPr>
        <w:t xml:space="preserve"> </w:t>
      </w:r>
      <w:proofErr w:type="spellStart"/>
      <w:r w:rsidRPr="006533C6">
        <w:rPr>
          <w:rFonts w:ascii="Courier New" w:eastAsia="Courier New" w:hAnsi="Courier New" w:cs="Courier New"/>
          <w:i/>
          <w:iCs/>
          <w:lang w:val="da-DK"/>
        </w:rPr>
        <w:t>X_j</w:t>
      </w:r>
      <w:proofErr w:type="spellEnd"/>
    </w:p>
    <w:p w14:paraId="2AD122D8" w14:textId="77777777" w:rsidR="004E1F48" w:rsidRDefault="00000000">
      <w:pPr>
        <w:spacing w:after="200"/>
        <w:ind w:left="720"/>
      </w:pPr>
      <w:proofErr w:type="spellStart"/>
      <w:r>
        <w:rPr>
          <w:i/>
          <w:iCs/>
          <w:sz w:val="20"/>
          <w:szCs w:val="20"/>
        </w:rPr>
        <w:t>Translog</w:t>
      </w:r>
      <w:proofErr w:type="spellEnd"/>
      <w:r>
        <w:rPr>
          <w:i/>
          <w:iCs/>
          <w:sz w:val="20"/>
          <w:szCs w:val="20"/>
        </w:rPr>
        <w:t xml:space="preserve"> production function for flexible substitution patterns</w:t>
      </w:r>
    </w:p>
    <w:p w14:paraId="34327F5A" w14:textId="77777777" w:rsidR="004E1F48" w:rsidRDefault="00000000">
      <w:r>
        <w:br w:type="page"/>
      </w:r>
    </w:p>
    <w:p w14:paraId="104C7318" w14:textId="77777777" w:rsidR="004E1F48" w:rsidRDefault="00000000">
      <w:pPr>
        <w:pStyle w:val="Heading1"/>
      </w:pPr>
      <w:r>
        <w:lastRenderedPageBreak/>
        <w:t>7. Price Forecasting Models</w:t>
      </w:r>
    </w:p>
    <w:p w14:paraId="5FE81990" w14:textId="77777777" w:rsidR="004E1F48" w:rsidRDefault="00000000">
      <w:pPr>
        <w:spacing w:after="200" w:line="276" w:lineRule="auto"/>
      </w:pPr>
      <w:r>
        <w:t>Agricultural price forecasting combines structural fundamentals with time-series techniques. The choice of method depends on forecasting horizon, data frequency, and the need to capture nonlinear dynamics.</w:t>
      </w:r>
    </w:p>
    <w:p w14:paraId="66298BD7" w14:textId="77777777" w:rsidR="004E1F48" w:rsidRDefault="00000000">
      <w:pPr>
        <w:pStyle w:val="Heading2"/>
      </w:pPr>
      <w:r>
        <w:t>7.1 Classical Time-Series Methods</w:t>
      </w:r>
    </w:p>
    <w:p w14:paraId="62E6B1D6" w14:textId="77777777" w:rsidR="004E1F48" w:rsidRDefault="00000000">
      <w:pPr>
        <w:pStyle w:val="Heading3"/>
      </w:pPr>
      <w:r>
        <w:t>ARIMA</w:t>
      </w:r>
    </w:p>
    <w:p w14:paraId="47414CD0" w14:textId="77777777" w:rsidR="004E1F48" w:rsidRDefault="00000000">
      <w:pPr>
        <w:spacing w:after="200" w:line="276" w:lineRule="auto"/>
      </w:pPr>
      <w:r>
        <w:t>Autoregressive Integrated Moving Average models decompose price series into autoregressive, differencing, and moving average components.</w:t>
      </w:r>
    </w:p>
    <w:p w14:paraId="2F2C9AE2" w14:textId="77777777" w:rsidR="004E1F48" w:rsidRPr="006533C6" w:rsidRDefault="00000000">
      <w:pPr>
        <w:spacing w:before="150" w:after="100"/>
        <w:ind w:left="720"/>
        <w:rPr>
          <w:lang w:val="fr-FR"/>
        </w:rPr>
      </w:pPr>
      <w:proofErr w:type="spellStart"/>
      <w:r w:rsidRPr="006533C6">
        <w:rPr>
          <w:rFonts w:ascii="Courier New" w:eastAsia="Courier New" w:hAnsi="Courier New" w:cs="Courier New"/>
          <w:i/>
          <w:iCs/>
          <w:lang w:val="fr-FR"/>
        </w:rPr>
        <w:t>Y_t</w:t>
      </w:r>
      <w:proofErr w:type="spellEnd"/>
      <w:r w:rsidRPr="006533C6">
        <w:rPr>
          <w:rFonts w:ascii="Courier New" w:eastAsia="Courier New" w:hAnsi="Courier New" w:cs="Courier New"/>
          <w:i/>
          <w:iCs/>
          <w:lang w:val="fr-FR"/>
        </w:rPr>
        <w:t xml:space="preserve"> = </w:t>
      </w:r>
      <w:r>
        <w:rPr>
          <w:rFonts w:ascii="Courier New" w:eastAsia="Courier New" w:hAnsi="Courier New" w:cs="Courier New"/>
          <w:i/>
          <w:iCs/>
        </w:rPr>
        <w:t>φ</w:t>
      </w:r>
      <w:r w:rsidRPr="006533C6">
        <w:rPr>
          <w:rFonts w:ascii="Courier New" w:eastAsia="Courier New" w:hAnsi="Courier New" w:cs="Courier New"/>
          <w:i/>
          <w:iCs/>
          <w:lang w:val="fr-FR"/>
        </w:rPr>
        <w:t xml:space="preserve"> Y_{t-1} + </w:t>
      </w:r>
      <w:r>
        <w:rPr>
          <w:rFonts w:ascii="Courier New" w:eastAsia="Courier New" w:hAnsi="Courier New" w:cs="Courier New"/>
          <w:i/>
          <w:iCs/>
        </w:rPr>
        <w:t>θ</w:t>
      </w:r>
      <w:r w:rsidRPr="006533C6">
        <w:rPr>
          <w:rFonts w:ascii="Courier New" w:eastAsia="Courier New" w:hAnsi="Courier New" w:cs="Courier New"/>
          <w:i/>
          <w:iCs/>
          <w:lang w:val="fr-FR"/>
        </w:rPr>
        <w:t xml:space="preserve"> </w:t>
      </w:r>
      <w:r>
        <w:rPr>
          <w:rFonts w:ascii="Courier New" w:eastAsia="Courier New" w:hAnsi="Courier New" w:cs="Courier New"/>
          <w:i/>
          <w:iCs/>
        </w:rPr>
        <w:t>ε</w:t>
      </w:r>
      <w:r w:rsidRPr="006533C6">
        <w:rPr>
          <w:rFonts w:ascii="Courier New" w:eastAsia="Courier New" w:hAnsi="Courier New" w:cs="Courier New"/>
          <w:i/>
          <w:iCs/>
          <w:lang w:val="fr-FR"/>
        </w:rPr>
        <w:t xml:space="preserve">_{t-1} + </w:t>
      </w:r>
      <w:r>
        <w:rPr>
          <w:rFonts w:ascii="Courier New" w:eastAsia="Courier New" w:hAnsi="Courier New" w:cs="Courier New"/>
          <w:i/>
          <w:iCs/>
        </w:rPr>
        <w:t>ε</w:t>
      </w:r>
      <w:r w:rsidRPr="006533C6">
        <w:rPr>
          <w:rFonts w:ascii="Courier New" w:eastAsia="Courier New" w:hAnsi="Courier New" w:cs="Courier New"/>
          <w:i/>
          <w:iCs/>
          <w:lang w:val="fr-FR"/>
        </w:rPr>
        <w:t>_t</w:t>
      </w:r>
    </w:p>
    <w:p w14:paraId="5D3EA957" w14:textId="77777777" w:rsidR="004E1F48" w:rsidRPr="006533C6" w:rsidRDefault="00000000">
      <w:pPr>
        <w:spacing w:after="200"/>
        <w:ind w:left="720"/>
        <w:rPr>
          <w:lang w:val="fr-FR"/>
        </w:rPr>
      </w:pPr>
      <w:r w:rsidRPr="006533C6">
        <w:rPr>
          <w:i/>
          <w:iCs/>
          <w:sz w:val="20"/>
          <w:szCs w:val="20"/>
          <w:lang w:val="fr-FR"/>
        </w:rPr>
        <w:t>AR(</w:t>
      </w:r>
      <w:proofErr w:type="gramStart"/>
      <w:r w:rsidRPr="006533C6">
        <w:rPr>
          <w:i/>
          <w:iCs/>
          <w:sz w:val="20"/>
          <w:szCs w:val="20"/>
          <w:lang w:val="fr-FR"/>
        </w:rPr>
        <w:t>1)-MA(</w:t>
      </w:r>
      <w:proofErr w:type="gramEnd"/>
      <w:r w:rsidRPr="006533C6">
        <w:rPr>
          <w:i/>
          <w:iCs/>
          <w:sz w:val="20"/>
          <w:szCs w:val="20"/>
          <w:lang w:val="fr-FR"/>
        </w:rPr>
        <w:t xml:space="preserve">1) </w:t>
      </w:r>
      <w:proofErr w:type="gramStart"/>
      <w:r w:rsidRPr="006533C6">
        <w:rPr>
          <w:i/>
          <w:iCs/>
          <w:sz w:val="20"/>
          <w:szCs w:val="20"/>
          <w:lang w:val="fr-FR"/>
        </w:rPr>
        <w:t>component;</w:t>
      </w:r>
      <w:proofErr w:type="gramEnd"/>
      <w:r w:rsidRPr="006533C6">
        <w:rPr>
          <w:i/>
          <w:iCs/>
          <w:sz w:val="20"/>
          <w:szCs w:val="20"/>
          <w:lang w:val="fr-FR"/>
        </w:rPr>
        <w:t xml:space="preserve"> </w:t>
      </w:r>
      <w:proofErr w:type="spellStart"/>
      <w:r w:rsidRPr="006533C6">
        <w:rPr>
          <w:i/>
          <w:iCs/>
          <w:sz w:val="20"/>
          <w:szCs w:val="20"/>
          <w:lang w:val="fr-FR"/>
        </w:rPr>
        <w:t>integration</w:t>
      </w:r>
      <w:proofErr w:type="spellEnd"/>
      <w:r w:rsidRPr="006533C6">
        <w:rPr>
          <w:i/>
          <w:iCs/>
          <w:sz w:val="20"/>
          <w:szCs w:val="20"/>
          <w:lang w:val="fr-FR"/>
        </w:rPr>
        <w:t xml:space="preserve"> (d) </w:t>
      </w:r>
      <w:proofErr w:type="spellStart"/>
      <w:r w:rsidRPr="006533C6">
        <w:rPr>
          <w:i/>
          <w:iCs/>
          <w:sz w:val="20"/>
          <w:szCs w:val="20"/>
          <w:lang w:val="fr-FR"/>
        </w:rPr>
        <w:t>handles</w:t>
      </w:r>
      <w:proofErr w:type="spellEnd"/>
      <w:r w:rsidRPr="006533C6">
        <w:rPr>
          <w:i/>
          <w:iCs/>
          <w:sz w:val="20"/>
          <w:szCs w:val="20"/>
          <w:lang w:val="fr-FR"/>
        </w:rPr>
        <w:t xml:space="preserve"> non-</w:t>
      </w:r>
      <w:proofErr w:type="spellStart"/>
      <w:r w:rsidRPr="006533C6">
        <w:rPr>
          <w:i/>
          <w:iCs/>
          <w:sz w:val="20"/>
          <w:szCs w:val="20"/>
          <w:lang w:val="fr-FR"/>
        </w:rPr>
        <w:t>stationarity</w:t>
      </w:r>
      <w:proofErr w:type="spellEnd"/>
    </w:p>
    <w:p w14:paraId="47F35542" w14:textId="77777777" w:rsidR="004E1F48" w:rsidRDefault="00000000">
      <w:pPr>
        <w:pStyle w:val="Heading3"/>
      </w:pPr>
      <w:r>
        <w:t>Vector Autoregression (VAR)</w:t>
      </w:r>
    </w:p>
    <w:p w14:paraId="5D1A98F8" w14:textId="77777777" w:rsidR="004E1F48" w:rsidRDefault="00000000">
      <w:pPr>
        <w:spacing w:after="200" w:line="276" w:lineRule="auto"/>
      </w:pPr>
      <w:r>
        <w:t>VAR captures multivariate dynamics among related prices (e.g., corn, soybeans, wheat futures). Useful for understanding price transmission and spillovers across markets.</w:t>
      </w:r>
    </w:p>
    <w:p w14:paraId="606B53AF" w14:textId="77777777" w:rsidR="004E1F48" w:rsidRDefault="00000000">
      <w:pPr>
        <w:pStyle w:val="Heading2"/>
      </w:pPr>
      <w:r>
        <w:t>7.2 Machine Learning Methods</w:t>
      </w:r>
    </w:p>
    <w:p w14:paraId="10764881" w14:textId="77777777" w:rsidR="004E1F48" w:rsidRDefault="00000000">
      <w:pPr>
        <w:pStyle w:val="Heading3"/>
      </w:pPr>
      <w:r>
        <w:t>LSTM Neural Networks</w:t>
      </w:r>
    </w:p>
    <w:p w14:paraId="24C82DDE" w14:textId="77777777" w:rsidR="004E1F48" w:rsidRDefault="00000000">
      <w:pPr>
        <w:spacing w:after="200" w:line="276" w:lineRule="auto"/>
      </w:pPr>
      <w:r>
        <w:t>Long Short-Term Memory networks handle sequential data via gating mechanisms that selectively retain or forget information. Particularly effective for capturing long-range dependencies and nonlinear price dynamics.</w:t>
      </w:r>
    </w:p>
    <w:p w14:paraId="2E946F8C" w14:textId="77777777" w:rsidR="004E1F48" w:rsidRDefault="00000000">
      <w:pPr>
        <w:pStyle w:val="Heading3"/>
      </w:pPr>
      <w:r>
        <w:t>Hybrid Approaches</w:t>
      </w:r>
    </w:p>
    <w:p w14:paraId="0F8815CB" w14:textId="77777777" w:rsidR="004E1F48" w:rsidRDefault="00000000">
      <w:pPr>
        <w:spacing w:after="200" w:line="276" w:lineRule="auto"/>
      </w:pPr>
      <w:r>
        <w:t xml:space="preserve">Combining linear methods (ARIMA/VAR) with nonlinear methods (LSTM) often outperforms either alone. The typical approach: </w:t>
      </w:r>
      <w:proofErr w:type="gramStart"/>
      <w:r>
        <w:t>decompose</w:t>
      </w:r>
      <w:proofErr w:type="gramEnd"/>
      <w:r>
        <w:t xml:space="preserve"> series with ARIMA, forecast residuals with LSTM, recombine.</w:t>
      </w:r>
    </w:p>
    <w:p w14:paraId="72B8CE9B" w14:textId="77777777" w:rsidR="004E1F48" w:rsidRDefault="00000000">
      <w:pPr>
        <w:pStyle w:val="Heading3"/>
      </w:pPr>
      <w:r>
        <w:t>Performance Benchmarks</w:t>
      </w:r>
    </w:p>
    <w:p w14:paraId="36DB038D" w14:textId="77777777" w:rsidR="004E1F48" w:rsidRDefault="00000000">
      <w:pPr>
        <w:spacing w:after="200" w:line="276" w:lineRule="auto"/>
      </w:pPr>
      <w:r>
        <w:t>Hybrid ARIMA-LSTM models reduce RMSE 5-10% versus single-method approaches for volatile agricultural commodities. Time-</w:t>
      </w:r>
      <w:proofErr w:type="spellStart"/>
      <w:r>
        <w:t>MoE</w:t>
      </w:r>
      <w:proofErr w:type="spellEnd"/>
      <w:r>
        <w:t xml:space="preserve"> (mixture of experts) architectures show promise for row crop futures, outperforming traditional forecasts by capturing regime-dependent volatility.</w:t>
      </w:r>
    </w:p>
    <w:p w14:paraId="0B23F9CA" w14:textId="77777777" w:rsidR="004E1F48" w:rsidRDefault="00000000">
      <w:pPr>
        <w:pStyle w:val="Heading2"/>
      </w:pPr>
      <w:r>
        <w:t>7.3 Basis Forecasting</w:t>
      </w:r>
    </w:p>
    <w:p w14:paraId="7E326B62" w14:textId="77777777" w:rsidR="004E1F48" w:rsidRDefault="00000000">
      <w:pPr>
        <w:spacing w:after="200" w:line="276" w:lineRule="auto"/>
      </w:pPr>
      <w:r>
        <w:t>Basis (cash price minus futures price) reflects local supply-demand conditions, transportation costs, storage, and quality differentials. Basis models localize national futures prices to specific markets.</w:t>
      </w:r>
    </w:p>
    <w:p w14:paraId="6F4E86DC" w14:textId="77777777" w:rsidR="004E1F48" w:rsidRDefault="00000000">
      <w:pPr>
        <w:pStyle w:val="Heading3"/>
      </w:pPr>
      <w:r>
        <w:t>Components</w:t>
      </w:r>
    </w:p>
    <w:p w14:paraId="3298944B" w14:textId="77777777" w:rsidR="004E1F48" w:rsidRDefault="00000000">
      <w:pPr>
        <w:spacing w:after="200" w:line="276" w:lineRule="auto"/>
      </w:pPr>
      <w:r>
        <w:lastRenderedPageBreak/>
        <w:t>Spatial basis captures transportation and handling costs. Temporal basis reflects storage costs and convenience yield. Quality basis accounts for grade differentials. Accurate basis forecasting is essential for hedging and procurement decisions.</w:t>
      </w:r>
    </w:p>
    <w:p w14:paraId="227DCA27" w14:textId="77777777" w:rsidR="004E1F48" w:rsidRDefault="00000000">
      <w:pPr>
        <w:pStyle w:val="Heading2"/>
      </w:pPr>
      <w:r>
        <w:t>7.4 USDA Season-Average Price Models</w:t>
      </w:r>
    </w:p>
    <w:p w14:paraId="4EC109E4" w14:textId="77777777" w:rsidR="004E1F48" w:rsidRDefault="00000000">
      <w:pPr>
        <w:spacing w:after="200" w:line="276" w:lineRule="auto"/>
      </w:pPr>
      <w:r>
        <w:t>ERS models forecast marketing-year average prices using futures, historical basis, and marketing weight patterns. These models provide policy-relevant projections for farm programs like PLC and ARC.</w:t>
      </w:r>
    </w:p>
    <w:p w14:paraId="5EA553DB" w14:textId="77777777" w:rsidR="004E1F48" w:rsidRDefault="00000000">
      <w:r>
        <w:br w:type="page"/>
      </w:r>
    </w:p>
    <w:p w14:paraId="078EE535" w14:textId="77777777" w:rsidR="004E1F48" w:rsidRDefault="00000000">
      <w:pPr>
        <w:pStyle w:val="Heading1"/>
      </w:pPr>
      <w:r>
        <w:lastRenderedPageBreak/>
        <w:t>8. Oilseed and Vegetable Oil Models</w:t>
      </w:r>
    </w:p>
    <w:p w14:paraId="0FFBE445" w14:textId="77777777" w:rsidR="004E1F48" w:rsidRDefault="00000000">
      <w:pPr>
        <w:spacing w:after="200" w:line="276" w:lineRule="auto"/>
      </w:pPr>
      <w:r>
        <w:t>Oilseed markets require specialized treatment due to joint production (oil and meal from crush), competition among oil sources, and biofuel demand linkages.</w:t>
      </w:r>
    </w:p>
    <w:p w14:paraId="4D70DF84" w14:textId="77777777" w:rsidR="004E1F48" w:rsidRDefault="00000000">
      <w:pPr>
        <w:pStyle w:val="Heading2"/>
      </w:pPr>
      <w:r>
        <w:t>8.1 Cross-Price Elasticities</w:t>
      </w:r>
    </w:p>
    <w:p w14:paraId="7E3BAA7C" w14:textId="77777777" w:rsidR="004E1F48" w:rsidRDefault="00000000">
      <w:pPr>
        <w:spacing w:after="200" w:line="276" w:lineRule="auto"/>
      </w:pPr>
      <w:r>
        <w:t>Vegetable oils compete in food and industrial applications. Cross-price elasticities capture substitution between soybean, canola/rapeseed, palm, and sunflower oils.</w:t>
      </w:r>
    </w:p>
    <w:p w14:paraId="52084797" w14:textId="77777777" w:rsidR="004E1F48" w:rsidRDefault="00000000">
      <w:pPr>
        <w:pStyle w:val="Heading3"/>
      </w:pPr>
      <w:r>
        <w:t>Market Structure</w:t>
      </w:r>
    </w:p>
    <w:p w14:paraId="22AF3F1A" w14:textId="77777777" w:rsidR="004E1F48" w:rsidRDefault="00000000">
      <w:pPr>
        <w:spacing w:after="200" w:line="276" w:lineRule="auto"/>
      </w:pPr>
      <w:r>
        <w:t xml:space="preserve">EU canola/rapeseed production dominates globally, while U.S. canola demand relies heavily on imports, affecting meal trade patterns. Crush economics </w:t>
      </w:r>
      <w:proofErr w:type="gramStart"/>
      <w:r>
        <w:t>determine</w:t>
      </w:r>
      <w:proofErr w:type="gramEnd"/>
      <w:r>
        <w:t xml:space="preserve"> whether facilities </w:t>
      </w:r>
      <w:proofErr w:type="gramStart"/>
      <w:r>
        <w:t>optimize for</w:t>
      </w:r>
      <w:proofErr w:type="gramEnd"/>
      <w:r>
        <w:t xml:space="preserve"> oil yield (food markets) or meal yield (feed markets).</w:t>
      </w:r>
    </w:p>
    <w:p w14:paraId="38149AB8" w14:textId="77777777" w:rsidR="004E1F48" w:rsidRDefault="00000000">
      <w:pPr>
        <w:pStyle w:val="Heading2"/>
      </w:pPr>
      <w:r>
        <w:t>8.2 Meal Competition</w:t>
      </w:r>
    </w:p>
    <w:p w14:paraId="09804942" w14:textId="77777777" w:rsidR="004E1F48" w:rsidRDefault="00000000">
      <w:pPr>
        <w:spacing w:after="200" w:line="276" w:lineRule="auto"/>
      </w:pPr>
      <w:r>
        <w:t>Protein meals compete in livestock feed. Canola meal (38% protein) competes with soybean meal (44-48% protein) with price ratios reflecting nutritional value and anti-nutritional factor differences.</w:t>
      </w:r>
    </w:p>
    <w:p w14:paraId="1987163C" w14:textId="77777777" w:rsidR="004E1F48" w:rsidRDefault="00000000">
      <w:pPr>
        <w:pStyle w:val="Heading2"/>
      </w:pPr>
      <w:r>
        <w:t>8.3 Composition Prediction</w:t>
      </w:r>
    </w:p>
    <w:p w14:paraId="6E6CCA8B" w14:textId="77777777" w:rsidR="004E1F48" w:rsidRDefault="00000000">
      <w:pPr>
        <w:spacing w:after="200" w:line="276" w:lineRule="auto"/>
      </w:pPr>
      <w:r>
        <w:t>Random Forest models predict canola seed oil and protein content using weather, soil, and location inputs. Applications show oil content declining 0.17% per year (2009-2022) due to variety shifts, with RMSE of 1-2% for yield predictions.</w:t>
      </w:r>
    </w:p>
    <w:p w14:paraId="5EA33306" w14:textId="77777777" w:rsidR="004E1F48" w:rsidRDefault="00000000">
      <w:r>
        <w:br w:type="page"/>
      </w:r>
    </w:p>
    <w:p w14:paraId="35E96930" w14:textId="77777777" w:rsidR="004E1F48" w:rsidRDefault="00000000">
      <w:pPr>
        <w:pStyle w:val="Heading1"/>
      </w:pPr>
      <w:r>
        <w:lastRenderedPageBreak/>
        <w:t>9. Implementation Considerations for Automated Systems</w:t>
      </w:r>
    </w:p>
    <w:p w14:paraId="56752184" w14:textId="77777777" w:rsidR="004E1F48" w:rsidRDefault="00000000">
      <w:pPr>
        <w:spacing w:after="200" w:line="276" w:lineRule="auto"/>
      </w:pPr>
      <w:r>
        <w:t>Deploying these models in an automated LLM-based system requires attention to data pipelines, model selection, uncertainty quantification, and continuous validation.</w:t>
      </w:r>
    </w:p>
    <w:p w14:paraId="66939EF1" w14:textId="77777777" w:rsidR="004E1F48" w:rsidRDefault="00000000">
      <w:pPr>
        <w:pStyle w:val="Heading2"/>
      </w:pPr>
      <w:r>
        <w:t>9.1 Data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999"/>
        <w:gridCol w:w="2859"/>
      </w:tblGrid>
      <w:tr w:rsidR="004E1F48" w14:paraId="17DE4E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8456329" w14:textId="77777777" w:rsidR="004E1F48" w:rsidRDefault="00000000">
            <w:r>
              <w:rPr>
                <w:b/>
                <w:bCs/>
                <w:sz w:val="20"/>
                <w:szCs w:val="20"/>
              </w:rPr>
              <w:t>Data Type</w:t>
            </w:r>
          </w:p>
        </w:tc>
        <w:tc>
          <w:tcPr>
            <w:tcW w:w="4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8F9ED0B" w14:textId="77777777" w:rsidR="004E1F48" w:rsidRDefault="00000000">
            <w:r>
              <w:rPr>
                <w:b/>
                <w:bCs/>
                <w:sz w:val="20"/>
                <w:szCs w:val="20"/>
              </w:rPr>
              <w:t>Primary Sources</w:t>
            </w:r>
          </w:p>
        </w:tc>
        <w:tc>
          <w:tcPr>
            <w:tcW w:w="28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7078DF9" w14:textId="77777777" w:rsidR="004E1F48" w:rsidRDefault="00000000">
            <w:r>
              <w:rPr>
                <w:b/>
                <w:bCs/>
                <w:sz w:val="20"/>
                <w:szCs w:val="20"/>
              </w:rPr>
              <w:t>Update Frequency</w:t>
            </w:r>
          </w:p>
        </w:tc>
      </w:tr>
      <w:tr w:rsidR="004E1F48" w14:paraId="7929B5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990C0" w14:textId="77777777" w:rsidR="004E1F48" w:rsidRDefault="00000000">
            <w:r>
              <w:rPr>
                <w:sz w:val="20"/>
                <w:szCs w:val="20"/>
              </w:rPr>
              <w:t>Balance sheet components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2FA61" w14:textId="77777777" w:rsidR="004E1F48" w:rsidRDefault="00000000">
            <w:r>
              <w:rPr>
                <w:sz w:val="20"/>
                <w:szCs w:val="20"/>
              </w:rPr>
              <w:t>WASDE, USDA PSD, FAS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C32E7" w14:textId="77777777" w:rsidR="004E1F48" w:rsidRDefault="00000000">
            <w:r>
              <w:rPr>
                <w:sz w:val="20"/>
                <w:szCs w:val="20"/>
              </w:rPr>
              <w:t>Monthly</w:t>
            </w:r>
          </w:p>
        </w:tc>
      </w:tr>
      <w:tr w:rsidR="004E1F48" w14:paraId="77C634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BFEBF" w14:textId="77777777" w:rsidR="004E1F48" w:rsidRDefault="00000000">
            <w:r>
              <w:rPr>
                <w:sz w:val="20"/>
                <w:szCs w:val="20"/>
              </w:rPr>
              <w:t>Prices (futures)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8CF1C" w14:textId="77777777" w:rsidR="004E1F48" w:rsidRDefault="00000000">
            <w:r>
              <w:rPr>
                <w:sz w:val="20"/>
                <w:szCs w:val="20"/>
              </w:rPr>
              <w:t>CME, 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E4A54" w14:textId="77777777" w:rsidR="004E1F48" w:rsidRDefault="00000000">
            <w:r>
              <w:rPr>
                <w:sz w:val="20"/>
                <w:szCs w:val="20"/>
              </w:rPr>
              <w:t>Daily/intraday</w:t>
            </w:r>
          </w:p>
        </w:tc>
      </w:tr>
      <w:tr w:rsidR="004E1F48" w14:paraId="4CADF5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EB2B9" w14:textId="77777777" w:rsidR="004E1F48" w:rsidRDefault="00000000">
            <w:r>
              <w:rPr>
                <w:sz w:val="20"/>
                <w:szCs w:val="20"/>
              </w:rPr>
              <w:t>Prices (cash)</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B1D46" w14:textId="77777777" w:rsidR="004E1F48" w:rsidRDefault="00000000">
            <w:r>
              <w:rPr>
                <w:sz w:val="20"/>
                <w:szCs w:val="20"/>
              </w:rPr>
              <w:t>USDA AMS, DTN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EFDDE" w14:textId="77777777" w:rsidR="004E1F48" w:rsidRDefault="00000000">
            <w:r>
              <w:rPr>
                <w:sz w:val="20"/>
                <w:szCs w:val="20"/>
              </w:rPr>
              <w:t>Daily</w:t>
            </w:r>
          </w:p>
        </w:tc>
      </w:tr>
      <w:tr w:rsidR="004E1F48" w14:paraId="7C037C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5F6DD" w14:textId="77777777" w:rsidR="004E1F48" w:rsidRDefault="00000000">
            <w:r>
              <w:rPr>
                <w:sz w:val="20"/>
                <w:szCs w:val="20"/>
              </w:rPr>
              <w:t>Weather/crop conditions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C450B" w14:textId="77777777" w:rsidR="004E1F48" w:rsidRDefault="00000000">
            <w:r>
              <w:rPr>
                <w:sz w:val="20"/>
                <w:szCs w:val="20"/>
              </w:rPr>
              <w:t>NOAA, USDA crop progress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178C9" w14:textId="77777777" w:rsidR="004E1F48" w:rsidRDefault="00000000">
            <w:r>
              <w:rPr>
                <w:sz w:val="20"/>
                <w:szCs w:val="20"/>
              </w:rPr>
              <w:t>Weekly</w:t>
            </w:r>
          </w:p>
        </w:tc>
      </w:tr>
      <w:tr w:rsidR="004E1F48" w14:paraId="14E64E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C7BFF" w14:textId="77777777" w:rsidR="004E1F48" w:rsidRDefault="00000000">
            <w:r>
              <w:rPr>
                <w:sz w:val="20"/>
                <w:szCs w:val="20"/>
              </w:rPr>
              <w:t>Trade flows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DAEB2" w14:textId="77777777" w:rsidR="004E1F48" w:rsidRDefault="00000000">
            <w:r>
              <w:rPr>
                <w:sz w:val="20"/>
                <w:szCs w:val="20"/>
              </w:rPr>
              <w:t>Census, GTIS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399F6" w14:textId="77777777" w:rsidR="004E1F48" w:rsidRDefault="00000000">
            <w:r>
              <w:rPr>
                <w:sz w:val="20"/>
                <w:szCs w:val="20"/>
              </w:rPr>
              <w:t>Monthly</w:t>
            </w:r>
          </w:p>
        </w:tc>
      </w:tr>
      <w:tr w:rsidR="004E1F48" w14:paraId="1E77B8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11B90" w14:textId="77777777" w:rsidR="004E1F48" w:rsidRDefault="00000000">
            <w:r>
              <w:rPr>
                <w:sz w:val="20"/>
                <w:szCs w:val="20"/>
              </w:rPr>
              <w:t>Policy parameters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B44A5" w14:textId="77777777" w:rsidR="004E1F48" w:rsidRDefault="00000000">
            <w:r>
              <w:rPr>
                <w:sz w:val="20"/>
                <w:szCs w:val="20"/>
              </w:rPr>
              <w:t>USDA FSA, EPA (RFS)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545E8" w14:textId="77777777" w:rsidR="004E1F48" w:rsidRDefault="00000000">
            <w:r>
              <w:rPr>
                <w:sz w:val="20"/>
                <w:szCs w:val="20"/>
              </w:rPr>
              <w:t>As announced</w:t>
            </w:r>
          </w:p>
        </w:tc>
      </w:tr>
    </w:tbl>
    <w:p w14:paraId="71F039A3" w14:textId="77777777" w:rsidR="004E1F48" w:rsidRDefault="00000000">
      <w:pPr>
        <w:pStyle w:val="Heading2"/>
      </w:pPr>
      <w:r>
        <w:t>9.2 Model Selection by Task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99"/>
        <w:gridCol w:w="2859"/>
      </w:tblGrid>
      <w:tr w:rsidR="004E1F48" w14:paraId="6D7130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7E00D70" w14:textId="77777777" w:rsidR="004E1F48" w:rsidRDefault="00000000">
            <w:r>
              <w:rPr>
                <w:b/>
                <w:bCs/>
                <w:sz w:val="20"/>
                <w:szCs w:val="20"/>
              </w:rPr>
              <w:t>Task</w:t>
            </w:r>
          </w:p>
        </w:tc>
        <w:tc>
          <w:tcPr>
            <w:tcW w:w="3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97058D4" w14:textId="77777777" w:rsidR="004E1F48" w:rsidRDefault="00000000">
            <w:r>
              <w:rPr>
                <w:b/>
                <w:bCs/>
                <w:sz w:val="20"/>
                <w:szCs w:val="20"/>
              </w:rPr>
              <w:t>Recommended Approach</w:t>
            </w:r>
          </w:p>
        </w:tc>
        <w:tc>
          <w:tcPr>
            <w:tcW w:w="28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60CA05F" w14:textId="77777777" w:rsidR="004E1F48" w:rsidRDefault="00000000">
            <w:r>
              <w:rPr>
                <w:b/>
                <w:bCs/>
                <w:sz w:val="20"/>
                <w:szCs w:val="20"/>
              </w:rPr>
              <w:t>Key Parameters</w:t>
            </w:r>
          </w:p>
        </w:tc>
      </w:tr>
      <w:tr w:rsidR="004E1F48" w14:paraId="0461A2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A35F0" w14:textId="77777777" w:rsidR="004E1F48" w:rsidRDefault="00000000">
            <w:r>
              <w:rPr>
                <w:sz w:val="20"/>
                <w:szCs w:val="20"/>
              </w:rPr>
              <w:t>Monthly balance sheet update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40FA1" w14:textId="77777777" w:rsidR="004E1F48" w:rsidRDefault="00000000">
            <w:r>
              <w:rPr>
                <w:sz w:val="20"/>
                <w:szCs w:val="20"/>
              </w:rPr>
              <w:t>WASDE-style accounting</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86C5A" w14:textId="77777777" w:rsidR="004E1F48" w:rsidRDefault="00000000">
            <w:r>
              <w:rPr>
                <w:sz w:val="20"/>
                <w:szCs w:val="20"/>
              </w:rPr>
              <w:t>Production, use, trade elasticities</w:t>
            </w:r>
          </w:p>
        </w:tc>
      </w:tr>
      <w:tr w:rsidR="004E1F48" w14:paraId="0BD5C6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20753" w14:textId="77777777" w:rsidR="004E1F48" w:rsidRDefault="00000000">
            <w:r>
              <w:rPr>
                <w:sz w:val="20"/>
                <w:szCs w:val="20"/>
              </w:rPr>
              <w:t>Marketing year price forecast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FCB7A" w14:textId="77777777" w:rsidR="004E1F48" w:rsidRDefault="00000000">
            <w:r>
              <w:rPr>
                <w:sz w:val="20"/>
                <w:szCs w:val="20"/>
              </w:rPr>
              <w:t>VAR with fundamentals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DD65F" w14:textId="77777777" w:rsidR="004E1F48" w:rsidRDefault="00000000">
            <w:r>
              <w:rPr>
                <w:sz w:val="20"/>
                <w:szCs w:val="20"/>
              </w:rPr>
              <w:t>Stocks-to-use, demand elasticities</w:t>
            </w:r>
          </w:p>
        </w:tc>
      </w:tr>
      <w:tr w:rsidR="004E1F48" w14:paraId="15D7E1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10AD0" w14:textId="77777777" w:rsidR="004E1F48" w:rsidRDefault="00000000">
            <w:r>
              <w:rPr>
                <w:sz w:val="20"/>
                <w:szCs w:val="20"/>
              </w:rPr>
              <w:t>Daily futures direction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88C34" w14:textId="77777777" w:rsidR="004E1F48" w:rsidRDefault="00000000">
            <w:r>
              <w:rPr>
                <w:sz w:val="20"/>
                <w:szCs w:val="20"/>
              </w:rPr>
              <w:t>LSTM/hybrid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77B08" w14:textId="77777777" w:rsidR="004E1F48" w:rsidRDefault="00000000">
            <w:r>
              <w:rPr>
                <w:sz w:val="20"/>
                <w:szCs w:val="20"/>
              </w:rPr>
              <w:t>Recent price patterns, volume</w:t>
            </w:r>
          </w:p>
        </w:tc>
      </w:tr>
      <w:tr w:rsidR="004E1F48" w14:paraId="0DFE39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03F29" w14:textId="77777777" w:rsidR="004E1F48" w:rsidRDefault="00000000">
            <w:r>
              <w:rPr>
                <w:sz w:val="20"/>
                <w:szCs w:val="20"/>
              </w:rPr>
              <w:t>Basis forecast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3C796" w14:textId="77777777" w:rsidR="004E1F48" w:rsidRDefault="00000000">
            <w:r>
              <w:rPr>
                <w:sz w:val="20"/>
                <w:szCs w:val="20"/>
              </w:rPr>
              <w:t>Local regression + seasonals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C881A" w14:textId="77777777" w:rsidR="004E1F48" w:rsidRDefault="00000000">
            <w:r>
              <w:rPr>
                <w:sz w:val="20"/>
                <w:szCs w:val="20"/>
              </w:rPr>
              <w:t>Transportation, storage costs</w:t>
            </w:r>
          </w:p>
        </w:tc>
      </w:tr>
      <w:tr w:rsidR="004E1F48" w14:paraId="0C349D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62D81" w14:textId="77777777" w:rsidR="004E1F48" w:rsidRDefault="00000000">
            <w:r>
              <w:rPr>
                <w:sz w:val="20"/>
                <w:szCs w:val="20"/>
              </w:rPr>
              <w:t>Long-run scenario analysis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CA167" w14:textId="77777777" w:rsidR="004E1F48" w:rsidRDefault="00000000">
            <w:r>
              <w:rPr>
                <w:sz w:val="20"/>
                <w:szCs w:val="20"/>
              </w:rPr>
              <w:t>SIMPLE-G or GTAP</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8C9DB" w14:textId="77777777" w:rsidR="004E1F48" w:rsidRDefault="00000000">
            <w:r>
              <w:rPr>
                <w:sz w:val="20"/>
                <w:szCs w:val="20"/>
              </w:rPr>
              <w:t>Land elasticities, trade policy</w:t>
            </w:r>
          </w:p>
        </w:tc>
      </w:tr>
      <w:tr w:rsidR="004E1F48" w14:paraId="0D1C83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8CB72" w14:textId="77777777" w:rsidR="004E1F48" w:rsidRDefault="00000000">
            <w:r>
              <w:rPr>
                <w:sz w:val="20"/>
                <w:szCs w:val="20"/>
              </w:rPr>
              <w:t>Oilseed crush economics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1B49F" w14:textId="77777777" w:rsidR="004E1F48" w:rsidRDefault="00000000">
            <w:r>
              <w:rPr>
                <w:sz w:val="20"/>
                <w:szCs w:val="20"/>
              </w:rPr>
              <w:t>Joint production model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B1A4B" w14:textId="77777777" w:rsidR="004E1F48" w:rsidRDefault="00000000">
            <w:r>
              <w:rPr>
                <w:sz w:val="20"/>
                <w:szCs w:val="20"/>
              </w:rPr>
              <w:t>Crush margin, oil/meal yields</w:t>
            </w:r>
          </w:p>
        </w:tc>
      </w:tr>
    </w:tbl>
    <w:p w14:paraId="19F4EBFA" w14:textId="77777777" w:rsidR="004E1F48" w:rsidRDefault="00000000">
      <w:pPr>
        <w:pStyle w:val="Heading2"/>
      </w:pPr>
      <w:r>
        <w:t>9.3 Uncertainty Quantification</w:t>
      </w:r>
    </w:p>
    <w:p w14:paraId="640DA505" w14:textId="77777777" w:rsidR="004E1F48" w:rsidRDefault="00000000">
      <w:pPr>
        <w:spacing w:after="200" w:line="276" w:lineRule="auto"/>
      </w:pPr>
      <w:r>
        <w:t>All forecasts should include uncertainty estimates. Monte Carlo simulation (FAPRI approach) generates distributions from parameter uncertainty. Ensemble methods combine multiple model outputs. Density forecasts (USDA forward-looking) characterize full price distributions.</w:t>
      </w:r>
    </w:p>
    <w:p w14:paraId="7A808A6D" w14:textId="77777777" w:rsidR="004E1F48" w:rsidRDefault="00000000">
      <w:pPr>
        <w:pStyle w:val="Heading2"/>
      </w:pPr>
      <w:r>
        <w:t>9.4 Validation and Monitoring</w:t>
      </w:r>
    </w:p>
    <w:p w14:paraId="304B8118" w14:textId="77777777" w:rsidR="004E1F48" w:rsidRDefault="00000000">
      <w:pPr>
        <w:spacing w:after="200" w:line="276" w:lineRule="auto"/>
      </w:pPr>
      <w:r>
        <w:t>Continuous validation requires tracking forecast errors against realized values, testing for structural breaks, and monitoring for concept drift in ML models. Error decomposition (WASDE approach) identifies which balance sheet components drive inaccuracies.</w:t>
      </w:r>
    </w:p>
    <w:p w14:paraId="5BA4352F" w14:textId="77777777" w:rsidR="004E1F48" w:rsidRDefault="00000000">
      <w:r>
        <w:br w:type="page"/>
      </w:r>
    </w:p>
    <w:p w14:paraId="45992025" w14:textId="77777777" w:rsidR="004E1F48" w:rsidRDefault="00000000">
      <w:pPr>
        <w:pStyle w:val="Heading1"/>
      </w:pPr>
      <w:r>
        <w:lastRenderedPageBreak/>
        <w:t>10. Key References</w:t>
      </w:r>
    </w:p>
    <w:p w14:paraId="1E72FDA4" w14:textId="77777777" w:rsidR="004E1F48" w:rsidRDefault="00000000">
      <w:pPr>
        <w:spacing w:after="200" w:line="276" w:lineRule="auto"/>
      </w:pPr>
      <w:r>
        <w:t>The following sources provide detailed documentation for the models described in this guide.</w:t>
      </w:r>
    </w:p>
    <w:p w14:paraId="3C793A05" w14:textId="77777777" w:rsidR="004E1F48" w:rsidRDefault="00000000">
      <w:pPr>
        <w:pStyle w:val="Heading2"/>
      </w:pPr>
      <w:r>
        <w:t>Foundational Papers</w:t>
      </w:r>
    </w:p>
    <w:p w14:paraId="11B3A990" w14:textId="77777777" w:rsidR="004E1F48" w:rsidRDefault="00000000">
      <w:pPr>
        <w:spacing w:after="200" w:line="276" w:lineRule="auto"/>
      </w:pPr>
      <w:r>
        <w:t>Hertel, T.W. (2011). The global supply and demand for agricultural land in 2050: A perfect storm in the making? American Journal of Agricultural Economics, 93(2), 393-410.</w:t>
      </w:r>
    </w:p>
    <w:p w14:paraId="347CA153" w14:textId="77777777" w:rsidR="004E1F48" w:rsidRDefault="00000000">
      <w:pPr>
        <w:spacing w:after="200" w:line="276" w:lineRule="auto"/>
      </w:pPr>
      <w:r>
        <w:t>Roberts, M.J., &amp; Schlenker, W. (2013). Identifying supply and demand elasticities of agricultural commodities: Implications for the US ethanol mandate. American Economic Review, 103(6), 2265-2295.</w:t>
      </w:r>
    </w:p>
    <w:p w14:paraId="2C45C6D8" w14:textId="77777777" w:rsidR="004E1F48" w:rsidRDefault="00000000">
      <w:pPr>
        <w:pStyle w:val="Heading2"/>
      </w:pPr>
      <w:r>
        <w:t>Institutional Documentation</w:t>
      </w:r>
    </w:p>
    <w:p w14:paraId="0BEA1035" w14:textId="77777777" w:rsidR="004E1F48" w:rsidRDefault="00000000">
      <w:pPr>
        <w:spacing w:after="200" w:line="276" w:lineRule="auto"/>
      </w:pPr>
      <w:r>
        <w:t>USDA. World Agricultural Supply and Demand Estimates (WASDE). Monthly reports. https://www.usda.gov/oce/commodity/wasde</w:t>
      </w:r>
    </w:p>
    <w:p w14:paraId="2D7C7C86" w14:textId="77777777" w:rsidR="004E1F48" w:rsidRDefault="00000000">
      <w:pPr>
        <w:spacing w:after="200" w:line="276" w:lineRule="auto"/>
      </w:pPr>
      <w:r>
        <w:t>IFPRI. (2017). The International Model for Policy Analysis of Agricultural Commodities and Trade (IMPACT): Model description for version 3. IFPRI Discussion Paper 01628.</w:t>
      </w:r>
    </w:p>
    <w:p w14:paraId="1BC1EE28" w14:textId="77777777" w:rsidR="004E1F48" w:rsidRDefault="00000000">
      <w:pPr>
        <w:spacing w:after="200" w:line="276" w:lineRule="auto"/>
      </w:pPr>
      <w:r>
        <w:t>Iowa State University CARD. FAPRI U.S. crops model documentation. https://www.card.iastate.edu</w:t>
      </w:r>
    </w:p>
    <w:p w14:paraId="79DA4753" w14:textId="77777777" w:rsidR="004E1F48" w:rsidRDefault="00000000">
      <w:pPr>
        <w:spacing w:after="200" w:line="276" w:lineRule="auto"/>
      </w:pPr>
      <w:r>
        <w:t>GTAP Center, Purdue University. Global Trade Analysis Project documentation. https://gtap.agecon.purdue.edu</w:t>
      </w:r>
    </w:p>
    <w:p w14:paraId="45EF3057" w14:textId="77777777" w:rsidR="004E1F48" w:rsidRDefault="00000000">
      <w:pPr>
        <w:spacing w:after="200" w:line="276" w:lineRule="auto"/>
      </w:pPr>
      <w:proofErr w:type="spellStart"/>
      <w:r>
        <w:t>Thünen-Institut</w:t>
      </w:r>
      <w:proofErr w:type="spellEnd"/>
      <w:r>
        <w:t>. AGMEMOD model documentation. https://agmemod.eu</w:t>
      </w:r>
    </w:p>
    <w:p w14:paraId="041E56BF" w14:textId="77777777" w:rsidR="004E1F48" w:rsidRDefault="00000000">
      <w:pPr>
        <w:pStyle w:val="Heading2"/>
      </w:pPr>
      <w:r>
        <w:t>Time-Series and ML Methods</w:t>
      </w:r>
    </w:p>
    <w:p w14:paraId="1AF28866" w14:textId="77777777" w:rsidR="004E1F48" w:rsidRDefault="00000000">
      <w:pPr>
        <w:spacing w:after="200" w:line="276" w:lineRule="auto"/>
      </w:pPr>
      <w:r>
        <w:t>Various authors. Hybrid ARIMA-LSTM models for agricultural price forecasting. See Sustainable Energy Technologies and Assessments (2025) and Scientific Reports (2024) for recent applications.</w:t>
      </w:r>
    </w:p>
    <w:p w14:paraId="65676E92" w14:textId="77777777" w:rsidR="004E1F48" w:rsidRDefault="004E1F48">
      <w:pPr>
        <w:spacing w:before="600"/>
      </w:pPr>
    </w:p>
    <w:p w14:paraId="4C09B5BF" w14:textId="77777777" w:rsidR="004E1F48" w:rsidRDefault="00000000">
      <w:pPr>
        <w:jc w:val="center"/>
      </w:pPr>
      <w:r>
        <w:rPr>
          <w:i/>
          <w:iCs/>
          <w:sz w:val="20"/>
          <w:szCs w:val="20"/>
        </w:rPr>
        <w:t>Document prepared for RLC Consulting – Internal Reference</w:t>
      </w:r>
    </w:p>
    <w:sectPr w:rsidR="004E1F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45217"/>
    <w:multiLevelType w:val="hybridMultilevel"/>
    <w:tmpl w:val="0ED43170"/>
    <w:lvl w:ilvl="0" w:tplc="F4504AE4">
      <w:start w:val="1"/>
      <w:numFmt w:val="decimal"/>
      <w:lvlText w:val="%1."/>
      <w:lvlJc w:val="left"/>
      <w:pPr>
        <w:ind w:left="720" w:hanging="360"/>
      </w:pPr>
    </w:lvl>
    <w:lvl w:ilvl="1" w:tplc="9AE61016">
      <w:numFmt w:val="decimal"/>
      <w:lvlText w:val=""/>
      <w:lvlJc w:val="left"/>
    </w:lvl>
    <w:lvl w:ilvl="2" w:tplc="95520E5C">
      <w:numFmt w:val="decimal"/>
      <w:lvlText w:val=""/>
      <w:lvlJc w:val="left"/>
    </w:lvl>
    <w:lvl w:ilvl="3" w:tplc="25AEDEFA">
      <w:numFmt w:val="decimal"/>
      <w:lvlText w:val=""/>
      <w:lvlJc w:val="left"/>
    </w:lvl>
    <w:lvl w:ilvl="4" w:tplc="C0983DCA">
      <w:numFmt w:val="decimal"/>
      <w:lvlText w:val=""/>
      <w:lvlJc w:val="left"/>
    </w:lvl>
    <w:lvl w:ilvl="5" w:tplc="ED6E1452">
      <w:numFmt w:val="decimal"/>
      <w:lvlText w:val=""/>
      <w:lvlJc w:val="left"/>
    </w:lvl>
    <w:lvl w:ilvl="6" w:tplc="D4E290DA">
      <w:numFmt w:val="decimal"/>
      <w:lvlText w:val=""/>
      <w:lvlJc w:val="left"/>
    </w:lvl>
    <w:lvl w:ilvl="7" w:tplc="998C06F0">
      <w:numFmt w:val="decimal"/>
      <w:lvlText w:val=""/>
      <w:lvlJc w:val="left"/>
    </w:lvl>
    <w:lvl w:ilvl="8" w:tplc="927E798E">
      <w:numFmt w:val="decimal"/>
      <w:lvlText w:val=""/>
      <w:lvlJc w:val="left"/>
    </w:lvl>
  </w:abstractNum>
  <w:abstractNum w:abstractNumId="1" w15:restartNumberingAfterBreak="0">
    <w:nsid w:val="33435DED"/>
    <w:multiLevelType w:val="hybridMultilevel"/>
    <w:tmpl w:val="4D58B1C8"/>
    <w:lvl w:ilvl="0" w:tplc="D96E0EB6">
      <w:start w:val="1"/>
      <w:numFmt w:val="bullet"/>
      <w:lvlText w:val="•"/>
      <w:lvlJc w:val="left"/>
      <w:pPr>
        <w:ind w:left="720" w:hanging="360"/>
      </w:pPr>
    </w:lvl>
    <w:lvl w:ilvl="1" w:tplc="AF2CDE28">
      <w:numFmt w:val="decimal"/>
      <w:lvlText w:val=""/>
      <w:lvlJc w:val="left"/>
    </w:lvl>
    <w:lvl w:ilvl="2" w:tplc="3B58035A">
      <w:numFmt w:val="decimal"/>
      <w:lvlText w:val=""/>
      <w:lvlJc w:val="left"/>
    </w:lvl>
    <w:lvl w:ilvl="3" w:tplc="DB20115C">
      <w:numFmt w:val="decimal"/>
      <w:lvlText w:val=""/>
      <w:lvlJc w:val="left"/>
    </w:lvl>
    <w:lvl w:ilvl="4" w:tplc="465802CA">
      <w:numFmt w:val="decimal"/>
      <w:lvlText w:val=""/>
      <w:lvlJc w:val="left"/>
    </w:lvl>
    <w:lvl w:ilvl="5" w:tplc="53F8A20C">
      <w:numFmt w:val="decimal"/>
      <w:lvlText w:val=""/>
      <w:lvlJc w:val="left"/>
    </w:lvl>
    <w:lvl w:ilvl="6" w:tplc="369A3576">
      <w:numFmt w:val="decimal"/>
      <w:lvlText w:val=""/>
      <w:lvlJc w:val="left"/>
    </w:lvl>
    <w:lvl w:ilvl="7" w:tplc="44A85CEE">
      <w:numFmt w:val="decimal"/>
      <w:lvlText w:val=""/>
      <w:lvlJc w:val="left"/>
    </w:lvl>
    <w:lvl w:ilvl="8" w:tplc="B2D4E9C8">
      <w:numFmt w:val="decimal"/>
      <w:lvlText w:val=""/>
      <w:lvlJc w:val="left"/>
    </w:lvl>
  </w:abstractNum>
  <w:abstractNum w:abstractNumId="2" w15:restartNumberingAfterBreak="0">
    <w:nsid w:val="3A86698C"/>
    <w:multiLevelType w:val="hybridMultilevel"/>
    <w:tmpl w:val="FD983BBA"/>
    <w:lvl w:ilvl="0" w:tplc="A0FA0804">
      <w:start w:val="1"/>
      <w:numFmt w:val="bullet"/>
      <w:lvlText w:val="●"/>
      <w:lvlJc w:val="left"/>
      <w:pPr>
        <w:ind w:left="720" w:hanging="360"/>
      </w:pPr>
    </w:lvl>
    <w:lvl w:ilvl="1" w:tplc="DE18E376">
      <w:start w:val="1"/>
      <w:numFmt w:val="bullet"/>
      <w:lvlText w:val="○"/>
      <w:lvlJc w:val="left"/>
      <w:pPr>
        <w:ind w:left="1440" w:hanging="360"/>
      </w:pPr>
    </w:lvl>
    <w:lvl w:ilvl="2" w:tplc="ABAC73BE">
      <w:start w:val="1"/>
      <w:numFmt w:val="bullet"/>
      <w:lvlText w:val="■"/>
      <w:lvlJc w:val="left"/>
      <w:pPr>
        <w:ind w:left="2160" w:hanging="360"/>
      </w:pPr>
    </w:lvl>
    <w:lvl w:ilvl="3" w:tplc="C4D0F29A">
      <w:start w:val="1"/>
      <w:numFmt w:val="bullet"/>
      <w:lvlText w:val="●"/>
      <w:lvlJc w:val="left"/>
      <w:pPr>
        <w:ind w:left="2880" w:hanging="360"/>
      </w:pPr>
    </w:lvl>
    <w:lvl w:ilvl="4" w:tplc="A128FBE4">
      <w:start w:val="1"/>
      <w:numFmt w:val="bullet"/>
      <w:lvlText w:val="○"/>
      <w:lvlJc w:val="left"/>
      <w:pPr>
        <w:ind w:left="3600" w:hanging="360"/>
      </w:pPr>
    </w:lvl>
    <w:lvl w:ilvl="5" w:tplc="0820028C">
      <w:start w:val="1"/>
      <w:numFmt w:val="bullet"/>
      <w:lvlText w:val="■"/>
      <w:lvlJc w:val="left"/>
      <w:pPr>
        <w:ind w:left="4320" w:hanging="360"/>
      </w:pPr>
    </w:lvl>
    <w:lvl w:ilvl="6" w:tplc="FD88DD2C">
      <w:start w:val="1"/>
      <w:numFmt w:val="bullet"/>
      <w:lvlText w:val="●"/>
      <w:lvlJc w:val="left"/>
      <w:pPr>
        <w:ind w:left="5040" w:hanging="360"/>
      </w:pPr>
    </w:lvl>
    <w:lvl w:ilvl="7" w:tplc="60EA8476">
      <w:start w:val="1"/>
      <w:numFmt w:val="bullet"/>
      <w:lvlText w:val="●"/>
      <w:lvlJc w:val="left"/>
      <w:pPr>
        <w:ind w:left="5760" w:hanging="360"/>
      </w:pPr>
    </w:lvl>
    <w:lvl w:ilvl="8" w:tplc="411AD392">
      <w:start w:val="1"/>
      <w:numFmt w:val="bullet"/>
      <w:lvlText w:val="●"/>
      <w:lvlJc w:val="left"/>
      <w:pPr>
        <w:ind w:left="6480" w:hanging="360"/>
      </w:pPr>
    </w:lvl>
  </w:abstractNum>
  <w:num w:numId="1" w16cid:durableId="19557943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F48"/>
    <w:rsid w:val="00102B98"/>
    <w:rsid w:val="004E1F48"/>
    <w:rsid w:val="006533C6"/>
    <w:rsid w:val="00AC4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EC5F"/>
  <w15:docId w15:val="{416B12E3-04A2-411B-9C43-40FDF045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6"/>
      <w:szCs w:val="26"/>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2432</Words>
  <Characters>14813</Characters>
  <Application>Microsoft Office Word</Application>
  <DocSecurity>0</DocSecurity>
  <Lines>673</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Alden</cp:lastModifiedBy>
  <cp:revision>2</cp:revision>
  <dcterms:created xsi:type="dcterms:W3CDTF">2026-01-25T09:57:00Z</dcterms:created>
  <dcterms:modified xsi:type="dcterms:W3CDTF">2026-01-28T10:53:00Z</dcterms:modified>
</cp:coreProperties>
</file>