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B5BA" w14:textId="77777777" w:rsidR="00915D4C" w:rsidRDefault="00000000">
      <w:pPr>
        <w:jc w:val="center"/>
      </w:pPr>
      <w:r>
        <w:pict w14:anchorId="7D93EB45">
          <v:rect id="_x0000_i1025" style="width:0;height:1.5pt" o:hralign="center" o:hrstd="t" o:hr="t" fillcolor="#a0a0a0" stroked="f"/>
        </w:pict>
      </w:r>
    </w:p>
    <w:p w14:paraId="303FA292" w14:textId="77777777" w:rsidR="00915D4C" w:rsidRDefault="00000000">
      <w:pPr>
        <w:spacing w:before="240" w:after="240"/>
        <w:rPr>
          <w:b/>
        </w:rPr>
      </w:pPr>
      <w:r>
        <w:rPr>
          <w:b/>
        </w:rPr>
        <w:t xml:space="preserve">Executive Summary: </w:t>
      </w:r>
      <w:proofErr w:type="gramStart"/>
      <w:r>
        <w:rPr>
          <w:b/>
        </w:rPr>
        <w:t>Optimizing</w:t>
      </w:r>
      <w:proofErr w:type="gramEnd"/>
      <w:r>
        <w:rPr>
          <w:b/>
        </w:rPr>
        <w:t xml:space="preserve"> Gulf Coast Tallow Price Hedging</w:t>
      </w:r>
    </w:p>
    <w:p w14:paraId="144C9A93" w14:textId="77777777" w:rsidR="00915D4C" w:rsidRDefault="00000000">
      <w:pPr>
        <w:spacing w:before="240" w:after="240"/>
      </w:pPr>
      <w:r>
        <w:t xml:space="preserve">This report outlines a robust hedging strategy for Gulf Coast Tallow, </w:t>
      </w:r>
      <w:proofErr w:type="gramStart"/>
      <w:r>
        <w:t>leveraging</w:t>
      </w:r>
      <w:proofErr w:type="gramEnd"/>
      <w:r>
        <w:t xml:space="preserve"> an advanced analytical technique to mitigate price volatility significantly. By constructing a dynamic "synthetic hedge" from a basket of highly correlated futures contracts, this approach aims to stabilize tallow costs and improve financial predictability. The method </w:t>
      </w:r>
      <w:proofErr w:type="gramStart"/>
      <w:r>
        <w:t>identifies</w:t>
      </w:r>
      <w:proofErr w:type="gramEnd"/>
      <w:r>
        <w:t xml:space="preserve"> </w:t>
      </w:r>
      <w:proofErr w:type="gramStart"/>
      <w:r>
        <w:t>optimal</w:t>
      </w:r>
      <w:proofErr w:type="gramEnd"/>
      <w:r>
        <w:t xml:space="preserve"> weights for key futures, enabling </w:t>
      </w:r>
      <w:proofErr w:type="gramStart"/>
      <w:r>
        <w:t>a proactive</w:t>
      </w:r>
      <w:proofErr w:type="gramEnd"/>
      <w:r>
        <w:t xml:space="preserve"> and effective risk management framework.</w:t>
      </w:r>
    </w:p>
    <w:p w14:paraId="59D2C395" w14:textId="77777777" w:rsidR="00915D4C" w:rsidRDefault="00000000">
      <w:pPr>
        <w:jc w:val="center"/>
      </w:pPr>
      <w:r>
        <w:pict w14:anchorId="2EB5B1B3">
          <v:rect id="_x0000_i1026" style="width:0;height:1.5pt" o:hralign="center" o:hrstd="t" o:hr="t" fillcolor="#a0a0a0" stroked="f"/>
        </w:pict>
      </w:r>
    </w:p>
    <w:p w14:paraId="05A5FE3A" w14:textId="77777777" w:rsidR="00915D4C" w:rsidRDefault="00000000">
      <w:pPr>
        <w:spacing w:before="240" w:after="240"/>
        <w:rPr>
          <w:b/>
        </w:rPr>
      </w:pPr>
      <w:r>
        <w:rPr>
          <w:b/>
        </w:rPr>
        <w:t>1. Introduction: The Need for Stable Tallow Prices</w:t>
      </w:r>
    </w:p>
    <w:p w14:paraId="4C16BB68" w14:textId="77777777" w:rsidR="00915D4C" w:rsidRDefault="00000000">
      <w:pPr>
        <w:spacing w:before="240" w:after="240"/>
      </w:pPr>
      <w:r>
        <w:t xml:space="preserve">Gulf Coast Tallow prices are subject to considerable volatility due to a complex interplay of supply and demand factors, including shifts in feedstock availability (e.g., cattle processing), energy markets (such as renewable diesel demand), and agricultural commodities (e.g., soybean oil as an alternative feedstock). This price instability poses significant financial risks for businesses reliant on tallow. Traditional hedging might focus on a single, </w:t>
      </w:r>
      <w:proofErr w:type="gramStart"/>
      <w:r>
        <w:t>directly related</w:t>
      </w:r>
      <w:proofErr w:type="gramEnd"/>
      <w:r>
        <w:t xml:space="preserve"> commodity, but a more sophisticated approach can capture a broader range of price-drivers.</w:t>
      </w:r>
    </w:p>
    <w:p w14:paraId="1F20516F" w14:textId="77777777" w:rsidR="00915D4C" w:rsidRDefault="00000000">
      <w:pPr>
        <w:jc w:val="center"/>
      </w:pPr>
      <w:r>
        <w:pict w14:anchorId="0B6EEEC8">
          <v:rect id="_x0000_i1027" style="width:0;height:1.5pt" o:hralign="center" o:hrstd="t" o:hr="t" fillcolor="#a0a0a0" stroked="f"/>
        </w:pict>
      </w:r>
    </w:p>
    <w:p w14:paraId="35E0E232" w14:textId="77777777" w:rsidR="00915D4C" w:rsidRDefault="00000000">
      <w:pPr>
        <w:spacing w:before="240" w:after="240"/>
        <w:rPr>
          <w:b/>
        </w:rPr>
      </w:pPr>
      <w:r>
        <w:rPr>
          <w:b/>
        </w:rPr>
        <w:t>2. Methodology: Multi-Linear Regression for a Synthetic Hedge</w:t>
      </w:r>
    </w:p>
    <w:p w14:paraId="0F526DF6" w14:textId="77777777" w:rsidR="00915D4C" w:rsidRDefault="00000000">
      <w:pPr>
        <w:spacing w:before="240" w:after="240"/>
      </w:pPr>
      <w:r>
        <w:t xml:space="preserve">To create an effective hedge, we employed a </w:t>
      </w:r>
      <w:r>
        <w:rPr>
          <w:b/>
        </w:rPr>
        <w:t>minimum variance hedging strategy</w:t>
      </w:r>
      <w:r>
        <w:t xml:space="preserve"> </w:t>
      </w:r>
      <w:proofErr w:type="gramStart"/>
      <w:r>
        <w:t>utilizing</w:t>
      </w:r>
      <w:proofErr w:type="gramEnd"/>
      <w:r>
        <w:t xml:space="preserve"> </w:t>
      </w:r>
      <w:r>
        <w:rPr>
          <w:b/>
        </w:rPr>
        <w:t>multiple linear regression</w:t>
      </w:r>
      <w:r>
        <w:t>. This technique involved:</w:t>
      </w:r>
    </w:p>
    <w:p w14:paraId="68512904" w14:textId="77777777" w:rsidR="00915D4C" w:rsidRDefault="00000000">
      <w:pPr>
        <w:numPr>
          <w:ilvl w:val="0"/>
          <w:numId w:val="1"/>
        </w:numPr>
      </w:pPr>
      <w:r>
        <w:rPr>
          <w:b/>
        </w:rPr>
        <w:t>Continuous Futures Contracts:</w:t>
      </w:r>
      <w:r>
        <w:t xml:space="preserve"> Instead of relying on a single futures contract, we analyzed a diverse set of continuously rolling futures contracts that </w:t>
      </w:r>
      <w:proofErr w:type="gramStart"/>
      <w:r>
        <w:t>are economically linked</w:t>
      </w:r>
      <w:proofErr w:type="gramEnd"/>
      <w:r>
        <w:t xml:space="preserve"> to tallow prices. These included Soybean Oil (SBO), Diesel (Heating Oil), Live Cattle, and Corn, among others.</w:t>
      </w:r>
    </w:p>
    <w:p w14:paraId="0C9F7691" w14:textId="77777777" w:rsidR="00915D4C" w:rsidRDefault="00000000">
      <w:pPr>
        <w:numPr>
          <w:ilvl w:val="0"/>
          <w:numId w:val="1"/>
        </w:numPr>
      </w:pPr>
      <w:r>
        <w:rPr>
          <w:b/>
        </w:rPr>
        <w:t>Multi-Linear Regression:</w:t>
      </w:r>
      <w:r>
        <w:t xml:space="preserve"> Historical monthly price data for Gulf Coast Tallow </w:t>
      </w:r>
      <w:proofErr w:type="gramStart"/>
      <w:r>
        <w:t>was regressed</w:t>
      </w:r>
      <w:proofErr w:type="gramEnd"/>
      <w:r>
        <w:t xml:space="preserve"> against the price movements of these candidate futures contracts. This statistical process </w:t>
      </w:r>
      <w:proofErr w:type="gramStart"/>
      <w:r>
        <w:t>identified</w:t>
      </w:r>
      <w:proofErr w:type="gramEnd"/>
      <w:r>
        <w:t xml:space="preserve"> which futures had the most significant explanatory power over tallow prices and, critically, calculated the </w:t>
      </w:r>
      <w:proofErr w:type="gramStart"/>
      <w:r>
        <w:rPr>
          <w:b/>
        </w:rPr>
        <w:t>optimal</w:t>
      </w:r>
      <w:proofErr w:type="gramEnd"/>
      <w:r>
        <w:rPr>
          <w:b/>
        </w:rPr>
        <w:t xml:space="preserve"> hedge weight (beta coefficient)</w:t>
      </w:r>
      <w:r>
        <w:t xml:space="preserve"> for each.</w:t>
      </w:r>
    </w:p>
    <w:p w14:paraId="5C9452AB" w14:textId="77777777" w:rsidR="00915D4C" w:rsidRDefault="00000000">
      <w:pPr>
        <w:numPr>
          <w:ilvl w:val="0"/>
          <w:numId w:val="1"/>
        </w:numPr>
        <w:spacing w:after="240"/>
      </w:pPr>
      <w:r>
        <w:rPr>
          <w:b/>
        </w:rPr>
        <w:t>Synthetic Hedge Creation:</w:t>
      </w:r>
      <w:r>
        <w:t xml:space="preserve"> The resulting </w:t>
      </w:r>
      <w:proofErr w:type="gramStart"/>
      <w:r>
        <w:t>optimal</w:t>
      </w:r>
      <w:proofErr w:type="gramEnd"/>
      <w:r>
        <w:t xml:space="preserve"> weights </w:t>
      </w:r>
      <w:proofErr w:type="gramStart"/>
      <w:r>
        <w:t>were then used</w:t>
      </w:r>
      <w:proofErr w:type="gramEnd"/>
      <w:r>
        <w:t xml:space="preserve"> to construct a "synthetic hedge portfolio,” a theoretical basket of futures whose combined price movement best mimics and offsets the price movement of physical tallow.</w:t>
      </w:r>
    </w:p>
    <w:p w14:paraId="41345A97" w14:textId="77777777" w:rsidR="00915D4C" w:rsidRDefault="00000000">
      <w:pPr>
        <w:jc w:val="center"/>
      </w:pPr>
      <w:r>
        <w:pict w14:anchorId="39CB1E76">
          <v:rect id="_x0000_i1028" style="width:0;height:1.5pt" o:hralign="center" o:hrstd="t" o:hr="t" fillcolor="#a0a0a0" stroked="f"/>
        </w:pict>
      </w:r>
    </w:p>
    <w:p w14:paraId="10841EFC" w14:textId="77777777" w:rsidR="00915D4C" w:rsidRDefault="00915D4C">
      <w:pPr>
        <w:spacing w:before="240" w:after="240"/>
        <w:rPr>
          <w:b/>
        </w:rPr>
      </w:pPr>
    </w:p>
    <w:p w14:paraId="37A57201" w14:textId="77777777" w:rsidR="00915D4C" w:rsidRDefault="00915D4C">
      <w:pPr>
        <w:spacing w:before="240" w:after="240"/>
        <w:rPr>
          <w:b/>
        </w:rPr>
      </w:pPr>
    </w:p>
    <w:p w14:paraId="61135CA3" w14:textId="77777777" w:rsidR="00915D4C" w:rsidRDefault="00915D4C">
      <w:pPr>
        <w:spacing w:before="240" w:after="240"/>
        <w:rPr>
          <w:b/>
        </w:rPr>
      </w:pPr>
    </w:p>
    <w:p w14:paraId="3ED5D5F9" w14:textId="77777777" w:rsidR="00915D4C" w:rsidRDefault="00000000">
      <w:pPr>
        <w:spacing w:before="240" w:after="240"/>
        <w:rPr>
          <w:b/>
        </w:rPr>
      </w:pPr>
      <w:r>
        <w:rPr>
          <w:b/>
        </w:rPr>
        <w:t>3. Key Results and Hedge Performance</w:t>
      </w:r>
    </w:p>
    <w:p w14:paraId="2C7E757E" w14:textId="77777777" w:rsidR="00915D4C" w:rsidRDefault="00000000">
      <w:pPr>
        <w:spacing w:before="240" w:after="240"/>
      </w:pPr>
      <w:r>
        <w:t>The analysis yielded a highly effective hedging instrument:</w:t>
      </w:r>
    </w:p>
    <w:p w14:paraId="0A6E39EB" w14:textId="77777777" w:rsidR="00915D4C" w:rsidRDefault="00000000">
      <w:pPr>
        <w:numPr>
          <w:ilvl w:val="0"/>
          <w:numId w:val="4"/>
        </w:numPr>
      </w:pPr>
      <w:r>
        <w:rPr>
          <w:b/>
        </w:rPr>
        <w:t>Overall Hedge Effectiveness (R-squared):</w:t>
      </w:r>
      <w:r>
        <w:t xml:space="preserve"> The hedge achieved an overall </w:t>
      </w:r>
      <w:r>
        <w:rPr>
          <w:b/>
        </w:rPr>
        <w:t>Adjusted R-squared of 0.865</w:t>
      </w:r>
      <w:r>
        <w:t xml:space="preserve">. This means that </w:t>
      </w:r>
      <w:r>
        <w:rPr>
          <w:b/>
        </w:rPr>
        <w:t xml:space="preserve">86.5% of the monthly price volatility in Gulf Coast Tallow can </w:t>
      </w:r>
      <w:proofErr w:type="gramStart"/>
      <w:r>
        <w:rPr>
          <w:b/>
        </w:rPr>
        <w:t>be explained</w:t>
      </w:r>
      <w:proofErr w:type="gramEnd"/>
      <w:r>
        <w:rPr>
          <w:b/>
        </w:rPr>
        <w:t xml:space="preserve"> and hedged away</w:t>
      </w:r>
      <w:r>
        <w:t xml:space="preserve"> by this futures basket over the entire period.</w:t>
      </w:r>
    </w:p>
    <w:p w14:paraId="41B0A95D" w14:textId="77777777" w:rsidR="00915D4C" w:rsidRDefault="00000000">
      <w:pPr>
        <w:numPr>
          <w:ilvl w:val="0"/>
          <w:numId w:val="4"/>
        </w:numPr>
      </w:pPr>
      <w:r>
        <w:rPr>
          <w:b/>
        </w:rPr>
        <w:t>Optimal Hedge Weights:</w:t>
      </w:r>
      <w:r>
        <w:t xml:space="preserve"> The most statistically significant contracts and their </w:t>
      </w:r>
      <w:proofErr w:type="gramStart"/>
      <w:r>
        <w:t>optimal</w:t>
      </w:r>
      <w:proofErr w:type="gramEnd"/>
      <w:r>
        <w:t xml:space="preserve"> weights are:</w:t>
      </w:r>
    </w:p>
    <w:p w14:paraId="315E2915" w14:textId="77777777" w:rsidR="00915D4C" w:rsidRDefault="00000000">
      <w:pPr>
        <w:numPr>
          <w:ilvl w:val="1"/>
          <w:numId w:val="4"/>
        </w:numPr>
      </w:pPr>
      <w:r>
        <w:rPr>
          <w:b/>
        </w:rPr>
        <w:t>Soybean Oil (SBO):</w:t>
      </w:r>
      <w:r>
        <w:t xml:space="preserve"> 0.284</w:t>
      </w:r>
    </w:p>
    <w:p w14:paraId="045ACB5F" w14:textId="77777777" w:rsidR="00915D4C" w:rsidRDefault="00000000">
      <w:pPr>
        <w:numPr>
          <w:ilvl w:val="1"/>
          <w:numId w:val="4"/>
        </w:numPr>
      </w:pPr>
      <w:r>
        <w:rPr>
          <w:b/>
        </w:rPr>
        <w:t>Diesel:</w:t>
      </w:r>
      <w:r>
        <w:t xml:space="preserve"> 0.176</w:t>
      </w:r>
    </w:p>
    <w:p w14:paraId="2A38AC97" w14:textId="77777777" w:rsidR="00915D4C" w:rsidRDefault="00000000">
      <w:pPr>
        <w:numPr>
          <w:ilvl w:val="1"/>
          <w:numId w:val="4"/>
        </w:numPr>
      </w:pPr>
      <w:r>
        <w:rPr>
          <w:b/>
        </w:rPr>
        <w:t>Live Cattle:</w:t>
      </w:r>
      <w:r>
        <w:t xml:space="preserve"> 0.125</w:t>
      </w:r>
    </w:p>
    <w:p w14:paraId="5B41F5B8" w14:textId="77777777" w:rsidR="00915D4C" w:rsidRDefault="00000000">
      <w:pPr>
        <w:numPr>
          <w:ilvl w:val="1"/>
          <w:numId w:val="4"/>
        </w:numPr>
      </w:pPr>
      <w:r>
        <w:rPr>
          <w:b/>
        </w:rPr>
        <w:t>Corn:</w:t>
      </w:r>
      <w:r>
        <w:t xml:space="preserve"> 0.054</w:t>
      </w:r>
    </w:p>
    <w:p w14:paraId="0C7C7E05" w14:textId="77777777" w:rsidR="00915D4C" w:rsidRDefault="00000000">
      <w:pPr>
        <w:numPr>
          <w:ilvl w:val="0"/>
          <w:numId w:val="4"/>
        </w:numPr>
        <w:spacing w:after="240"/>
      </w:pPr>
      <w:r>
        <w:rPr>
          <w:b/>
        </w:rPr>
        <w:t>Reduced Price Volatility:</w:t>
      </w:r>
      <w:r>
        <w:t xml:space="preserve"> Back testing showed the hedge significantly reduced portfolio price variance. The hedged portfolio had a monthly price standard deviation of approximately </w:t>
      </w:r>
      <w:r>
        <w:rPr>
          <w:b/>
        </w:rPr>
        <w:t>0.75 cents</w:t>
      </w:r>
      <w:r>
        <w:t xml:space="preserve">; a substantial reduction compared to the unhedged tallow's standard deviation of </w:t>
      </w:r>
      <w:r>
        <w:rPr>
          <w:b/>
        </w:rPr>
        <w:t>2.05 cents</w:t>
      </w:r>
      <w:r>
        <w:t>.</w:t>
      </w:r>
    </w:p>
    <w:p w14:paraId="1EFB480E" w14:textId="77777777" w:rsidR="00915D4C" w:rsidRDefault="00000000">
      <w:pPr>
        <w:spacing w:before="240" w:after="240"/>
        <w:rPr>
          <w:b/>
        </w:rPr>
      </w:pPr>
      <w:r>
        <w:rPr>
          <w:b/>
        </w:rPr>
        <w:t>3.1 Dynamic Hedge Effectiveness (Rolling Analysis)</w:t>
      </w:r>
    </w:p>
    <w:p w14:paraId="29080A71" w14:textId="77777777" w:rsidR="00915D4C" w:rsidRDefault="00000000">
      <w:pPr>
        <w:spacing w:before="240" w:after="240"/>
      </w:pPr>
      <w:r>
        <w:t xml:space="preserve">A 12-month rolling analysis </w:t>
      </w:r>
      <w:proofErr w:type="gramStart"/>
      <w:r>
        <w:t>was conducted</w:t>
      </w:r>
      <w:proofErr w:type="gramEnd"/>
      <w:r>
        <w:t xml:space="preserve"> to evaluate the hedge's effectiveness over time. This revealed that while consistently strong, the precision of the hedge did fluctuate:</w:t>
      </w:r>
    </w:p>
    <w:p w14:paraId="34856439" w14:textId="77777777" w:rsidR="00915D4C" w:rsidRDefault="00000000">
      <w:pPr>
        <w:numPr>
          <w:ilvl w:val="0"/>
          <w:numId w:val="2"/>
        </w:numPr>
      </w:pPr>
      <w:r>
        <w:t xml:space="preserve">The </w:t>
      </w:r>
      <w:r>
        <w:rPr>
          <w:b/>
        </w:rPr>
        <w:t>highest effectiveness</w:t>
      </w:r>
      <w:r>
        <w:t xml:space="preserve"> was </w:t>
      </w:r>
      <w:proofErr w:type="gramStart"/>
      <w:r>
        <w:t>observed</w:t>
      </w:r>
      <w:proofErr w:type="gramEnd"/>
      <w:r>
        <w:t xml:space="preserve"> in </w:t>
      </w:r>
      <w:r>
        <w:rPr>
          <w:b/>
        </w:rPr>
        <w:t>April 2025</w:t>
      </w:r>
      <w:r>
        <w:t xml:space="preserve">, with a rolling R-squared of </w:t>
      </w:r>
      <w:r>
        <w:rPr>
          <w:b/>
        </w:rPr>
        <w:t>0.930</w:t>
      </w:r>
      <w:r>
        <w:t xml:space="preserve">. During this period, 93% of Tallow’s price movement </w:t>
      </w:r>
      <w:proofErr w:type="gramStart"/>
      <w:r>
        <w:t>was explained</w:t>
      </w:r>
      <w:proofErr w:type="gramEnd"/>
      <w:r>
        <w:t xml:space="preserve"> by the futures basket, </w:t>
      </w:r>
      <w:proofErr w:type="gramStart"/>
      <w:r>
        <w:t>indicating</w:t>
      </w:r>
      <w:proofErr w:type="gramEnd"/>
      <w:r>
        <w:t xml:space="preserve"> an exceptionally precise hedge.</w:t>
      </w:r>
    </w:p>
    <w:p w14:paraId="7C62AA02" w14:textId="77777777" w:rsidR="00915D4C" w:rsidRDefault="00000000">
      <w:pPr>
        <w:numPr>
          <w:ilvl w:val="0"/>
          <w:numId w:val="2"/>
        </w:numPr>
        <w:spacing w:after="240"/>
      </w:pPr>
      <w:r>
        <w:t xml:space="preserve">The </w:t>
      </w:r>
      <w:r>
        <w:rPr>
          <w:b/>
        </w:rPr>
        <w:t>lowest effectiveness</w:t>
      </w:r>
      <w:r>
        <w:t xml:space="preserve"> was in </w:t>
      </w:r>
      <w:r>
        <w:rPr>
          <w:b/>
        </w:rPr>
        <w:t>October 2025</w:t>
      </w:r>
      <w:r>
        <w:t xml:space="preserve">, with a rolling R-squared of </w:t>
      </w:r>
      <w:r>
        <w:rPr>
          <w:b/>
        </w:rPr>
        <w:t>0.840</w:t>
      </w:r>
      <w:r>
        <w:t xml:space="preserve">. While still a robust result, this suggests a period when tallow prices </w:t>
      </w:r>
      <w:proofErr w:type="gramStart"/>
      <w:r>
        <w:t>were influenced</w:t>
      </w:r>
      <w:proofErr w:type="gramEnd"/>
      <w:r>
        <w:t xml:space="preserve"> by factors not fully captured by the model.</w:t>
      </w:r>
    </w:p>
    <w:p w14:paraId="7020FD9E" w14:textId="77777777" w:rsidR="00915D4C" w:rsidRDefault="00000000">
      <w:pPr>
        <w:spacing w:before="240" w:after="240"/>
        <w:rPr>
          <w:b/>
        </w:rPr>
      </w:pPr>
      <w:r>
        <w:rPr>
          <w:b/>
        </w:rPr>
        <w:t>3.2 Correlation vs. R-Squared</w:t>
      </w:r>
    </w:p>
    <w:p w14:paraId="3CAE9002" w14:textId="77777777" w:rsidR="00915D4C" w:rsidRDefault="00000000">
      <w:pPr>
        <w:spacing w:before="240" w:after="240"/>
      </w:pPr>
      <w:r>
        <w:t xml:space="preserve">The R-squared value is </w:t>
      </w:r>
      <w:proofErr w:type="gramStart"/>
      <w:r>
        <w:t>directly related</w:t>
      </w:r>
      <w:proofErr w:type="gramEnd"/>
      <w:r>
        <w:t xml:space="preserve"> to the </w:t>
      </w:r>
      <w:r>
        <w:rPr>
          <w:b/>
        </w:rPr>
        <w:t>correlation coefficient (R)</w:t>
      </w:r>
      <w:r>
        <w:t>, which measures how closely the prices move together.</w:t>
      </w:r>
    </w:p>
    <w:p w14:paraId="0FD76F13" w14:textId="77777777" w:rsidR="00915D4C" w:rsidRDefault="00000000">
      <w:pPr>
        <w:numPr>
          <w:ilvl w:val="0"/>
          <w:numId w:val="3"/>
        </w:numPr>
      </w:pPr>
      <w:r>
        <w:t xml:space="preserve">The overall R-squared of </w:t>
      </w:r>
      <w:r>
        <w:rPr>
          <w:b/>
        </w:rPr>
        <w:t>0.865</w:t>
      </w:r>
      <w:r>
        <w:t xml:space="preserve"> corresponds to a correlation of </w:t>
      </w:r>
      <w:r>
        <w:rPr>
          <w:b/>
        </w:rPr>
        <w:t>+0.93</w:t>
      </w:r>
      <w:r>
        <w:t>.</w:t>
      </w:r>
    </w:p>
    <w:p w14:paraId="56CCF747" w14:textId="77777777" w:rsidR="00915D4C" w:rsidRDefault="00000000">
      <w:pPr>
        <w:numPr>
          <w:ilvl w:val="0"/>
          <w:numId w:val="3"/>
        </w:numPr>
      </w:pPr>
      <w:r>
        <w:t xml:space="preserve">The peak R-squared of </w:t>
      </w:r>
      <w:r>
        <w:rPr>
          <w:b/>
        </w:rPr>
        <w:t>0.930</w:t>
      </w:r>
      <w:r>
        <w:t xml:space="preserve"> corresponds to a correlation of </w:t>
      </w:r>
      <w:r>
        <w:rPr>
          <w:b/>
        </w:rPr>
        <w:t>+0.96</w:t>
      </w:r>
      <w:r>
        <w:t>.</w:t>
      </w:r>
    </w:p>
    <w:p w14:paraId="103754A9" w14:textId="77777777" w:rsidR="00915D4C" w:rsidRDefault="00000000">
      <w:pPr>
        <w:numPr>
          <w:ilvl w:val="0"/>
          <w:numId w:val="3"/>
        </w:numPr>
        <w:spacing w:after="240"/>
      </w:pPr>
      <w:r>
        <w:t xml:space="preserve">The low R-squared of </w:t>
      </w:r>
      <w:r>
        <w:rPr>
          <w:b/>
        </w:rPr>
        <w:t>0.840</w:t>
      </w:r>
      <w:r>
        <w:t xml:space="preserve"> corresponds to a correlation of </w:t>
      </w:r>
      <w:r>
        <w:rPr>
          <w:b/>
        </w:rPr>
        <w:t>+0.92</w:t>
      </w:r>
      <w:r>
        <w:t>.</w:t>
      </w:r>
    </w:p>
    <w:p w14:paraId="35B78028" w14:textId="77777777" w:rsidR="00915D4C" w:rsidRDefault="00000000">
      <w:pPr>
        <w:spacing w:before="240" w:after="240"/>
      </w:pPr>
      <w:r>
        <w:t xml:space="preserve">These high correlation values confirm a tight linear relationship, while the R-squared value provides a more practical measure of how </w:t>
      </w:r>
      <w:proofErr w:type="gramStart"/>
      <w:r>
        <w:t>much</w:t>
      </w:r>
      <w:proofErr w:type="gramEnd"/>
      <w:r>
        <w:t xml:space="preserve"> risk is </w:t>
      </w:r>
      <w:proofErr w:type="gramStart"/>
      <w:r>
        <w:t>actually being</w:t>
      </w:r>
      <w:proofErr w:type="gramEnd"/>
      <w:r>
        <w:t xml:space="preserve"> eliminated.</w:t>
      </w:r>
    </w:p>
    <w:p w14:paraId="5BBC512D" w14:textId="77777777" w:rsidR="00915D4C" w:rsidRDefault="00000000">
      <w:pPr>
        <w:jc w:val="center"/>
      </w:pPr>
      <w:r>
        <w:pict w14:anchorId="405C6A5C">
          <v:rect id="_x0000_i1029" style="width:0;height:1.5pt" o:hralign="center" o:hrstd="t" o:hr="t" fillcolor="#a0a0a0" stroked="f"/>
        </w:pict>
      </w:r>
    </w:p>
    <w:p w14:paraId="62831299" w14:textId="77777777" w:rsidR="00915D4C" w:rsidRDefault="00915D4C">
      <w:pPr>
        <w:spacing w:before="240" w:after="240"/>
        <w:rPr>
          <w:b/>
        </w:rPr>
      </w:pPr>
    </w:p>
    <w:p w14:paraId="596D5CF5" w14:textId="77777777" w:rsidR="00915D4C" w:rsidRDefault="00000000">
      <w:pPr>
        <w:spacing w:before="240" w:after="240"/>
        <w:rPr>
          <w:b/>
        </w:rPr>
      </w:pPr>
      <w:r>
        <w:rPr>
          <w:b/>
        </w:rPr>
        <w:t>4. Visualizing the Hedge: Tallow Price vs. Synthetic Hedge</w:t>
      </w:r>
    </w:p>
    <w:p w14:paraId="539419FD" w14:textId="77777777" w:rsidR="00915D4C" w:rsidRDefault="00000000">
      <w:pPr>
        <w:spacing w:before="240" w:after="240"/>
        <w:rPr>
          <w:b/>
        </w:rPr>
      </w:pPr>
      <w:r>
        <w:rPr>
          <w:b/>
          <w:noProof/>
        </w:rPr>
        <w:drawing>
          <wp:inline distT="114300" distB="114300" distL="114300" distR="114300" wp14:anchorId="34692EED" wp14:editId="423A1C54">
            <wp:extent cx="5943600" cy="3683000"/>
            <wp:effectExtent l="0" t="0" r="0" b="0"/>
            <wp:docPr id="1" name="image1.png" descr="A graph with number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graph with numbers and lines&#10;&#10;AI-generated content may be incorrect."/>
                    <pic:cNvPicPr preferRelativeResize="0"/>
                  </pic:nvPicPr>
                  <pic:blipFill>
                    <a:blip r:embed="rId5"/>
                    <a:srcRect/>
                    <a:stretch>
                      <a:fillRect/>
                    </a:stretch>
                  </pic:blipFill>
                  <pic:spPr>
                    <a:xfrm>
                      <a:off x="0" y="0"/>
                      <a:ext cx="5943600" cy="3683000"/>
                    </a:xfrm>
                    <a:prstGeom prst="rect">
                      <a:avLst/>
                    </a:prstGeom>
                    <a:ln/>
                  </pic:spPr>
                </pic:pic>
              </a:graphicData>
            </a:graphic>
          </wp:inline>
        </w:drawing>
      </w:r>
    </w:p>
    <w:p w14:paraId="73B5E9D4" w14:textId="77777777" w:rsidR="00915D4C" w:rsidRDefault="00000000">
      <w:pPr>
        <w:spacing w:before="240" w:after="240"/>
      </w:pPr>
      <w:r>
        <w:t xml:space="preserve">The accompanying chart visually </w:t>
      </w:r>
      <w:proofErr w:type="gramStart"/>
      <w:r>
        <w:t>demonstrates</w:t>
      </w:r>
      <w:proofErr w:type="gramEnd"/>
      <w:r>
        <w:t xml:space="preserve"> the remarkable effectiveness of this hedging strategy. It plots the historical monthly average price of Gulf Coast Tallow against the calculated cost of the synthetic hedge portfolio. The near-perfect alignment of these two lines confirms that the diversified futures hedge successfully tracked and effectively mitigated the price fluctuations of physical tallow over the analyzed period. This visual evidence underscores the hedge's ability to provide significant price stability.</w:t>
      </w:r>
    </w:p>
    <w:p w14:paraId="24D871F0" w14:textId="77777777" w:rsidR="00915D4C" w:rsidRDefault="00000000">
      <w:pPr>
        <w:jc w:val="center"/>
      </w:pPr>
      <w:r>
        <w:pict w14:anchorId="4A5DA160">
          <v:rect id="_x0000_i1030" style="width:0;height:1.5pt" o:hralign="center" o:hrstd="t" o:hr="t" fillcolor="#a0a0a0" stroked="f"/>
        </w:pict>
      </w:r>
    </w:p>
    <w:p w14:paraId="1E97CAD9" w14:textId="77777777" w:rsidR="00915D4C" w:rsidRDefault="00000000">
      <w:pPr>
        <w:spacing w:before="240" w:after="240"/>
        <w:rPr>
          <w:b/>
        </w:rPr>
      </w:pPr>
      <w:r>
        <w:rPr>
          <w:b/>
        </w:rPr>
        <w:t>5. Forward-Looking Application and Best Practices</w:t>
      </w:r>
    </w:p>
    <w:p w14:paraId="404DA553" w14:textId="77777777" w:rsidR="00915D4C" w:rsidRDefault="00000000">
      <w:pPr>
        <w:spacing w:before="240" w:after="240"/>
      </w:pPr>
      <w:r>
        <w:t xml:space="preserve">To apply this model going forward, a clear and systematic technique is </w:t>
      </w:r>
      <w:proofErr w:type="gramStart"/>
      <w:r>
        <w:t>required</w:t>
      </w:r>
      <w:proofErr w:type="gramEnd"/>
      <w:r>
        <w:t xml:space="preserve">. Based on a historical back test comparing different forecasting methods, the best approach is to use the </w:t>
      </w:r>
      <w:r>
        <w:rPr>
          <w:b/>
        </w:rPr>
        <w:t>"Last Known Value"</w:t>
      </w:r>
      <w:r>
        <w:t xml:space="preserve"> method.</w:t>
      </w:r>
    </w:p>
    <w:p w14:paraId="7DCC275B" w14:textId="77777777" w:rsidR="00915D4C" w:rsidRDefault="00000000">
      <w:pPr>
        <w:spacing w:before="240" w:after="240"/>
      </w:pPr>
      <w:r>
        <w:rPr>
          <w:b/>
        </w:rPr>
        <w:t>How it works:</w:t>
      </w:r>
      <w:r>
        <w:t xml:space="preserve"> To </w:t>
      </w:r>
      <w:proofErr w:type="gramStart"/>
      <w:r>
        <w:t>determine</w:t>
      </w:r>
      <w:proofErr w:type="gramEnd"/>
      <w:r>
        <w:t xml:space="preserve"> the hedge weights for an upcoming month (e.g., November 2025), you use the </w:t>
      </w:r>
      <w:proofErr w:type="gramStart"/>
      <w:r>
        <w:t>optimal</w:t>
      </w:r>
      <w:proofErr w:type="gramEnd"/>
      <w:r>
        <w:t xml:space="preserve"> weights calculated from the most recent 12-month rolling window (i.e., the period ending October 2025).</w:t>
      </w:r>
    </w:p>
    <w:p w14:paraId="1C0ED5D5" w14:textId="77777777" w:rsidR="00915D4C" w:rsidRDefault="00000000">
      <w:pPr>
        <w:spacing w:before="240" w:after="240"/>
      </w:pPr>
      <w:r>
        <w:rPr>
          <w:b/>
        </w:rPr>
        <w:lastRenderedPageBreak/>
        <w:t>Why is it best:</w:t>
      </w:r>
      <w:r>
        <w:t xml:space="preserve"> This technique is simple, robust, and highly responsive to the most recent market dynamics. The back test confirmed this approach resulted in the </w:t>
      </w:r>
      <w:r>
        <w:rPr>
          <w:b/>
        </w:rPr>
        <w:t>lowest portfolio variance (0.559)</w:t>
      </w:r>
      <w:r>
        <w:t>, making it the most effective strategy for stabilizing future prices.</w:t>
      </w:r>
    </w:p>
    <w:p w14:paraId="002E04F4" w14:textId="77777777" w:rsidR="00915D4C" w:rsidRDefault="00000000">
      <w:pPr>
        <w:jc w:val="center"/>
      </w:pPr>
      <w:r>
        <w:pict w14:anchorId="0504B812">
          <v:rect id="_x0000_i1031" style="width:0;height:1.5pt" o:hralign="center" o:hrstd="t" o:hr="t" fillcolor="#a0a0a0" stroked="f"/>
        </w:pict>
      </w:r>
    </w:p>
    <w:p w14:paraId="0080BD71" w14:textId="77777777" w:rsidR="00915D4C" w:rsidRDefault="00000000">
      <w:pPr>
        <w:spacing w:before="240" w:after="240"/>
        <w:rPr>
          <w:b/>
        </w:rPr>
      </w:pPr>
      <w:r>
        <w:rPr>
          <w:b/>
        </w:rPr>
        <w:t>6. Conclusion</w:t>
      </w:r>
    </w:p>
    <w:p w14:paraId="65F03F63" w14:textId="77777777" w:rsidR="00915D4C" w:rsidRDefault="00000000">
      <w:pPr>
        <w:spacing w:before="240" w:after="240"/>
      </w:pPr>
      <w:r>
        <w:t xml:space="preserve">The multi-linear regression approach to constructing a synthetic hedge provides a powerful and practical solution for managing Gulf Coast Tallow price risk. By dynamically weighing a portfolio of correlated futures contracts, businesses can achieve substantial price stability. The recommended forward-looking technique of using the </w:t>
      </w:r>
      <w:proofErr w:type="gramStart"/>
      <w:r>
        <w:t>last</w:t>
      </w:r>
      <w:proofErr w:type="gramEnd"/>
      <w:r>
        <w:t xml:space="preserve"> known rolling weights ensures the hedge </w:t>
      </w:r>
      <w:proofErr w:type="gramStart"/>
      <w:r>
        <w:t>remains</w:t>
      </w:r>
      <w:proofErr w:type="gramEnd"/>
      <w:r>
        <w:t xml:space="preserve"> adaptive. This transforms unpredictable market exposure into more manageable and predictable costs, backed by strong statistical evidence and visual confirmation.</w:t>
      </w:r>
    </w:p>
    <w:p w14:paraId="4CBCAF0A" w14:textId="77777777" w:rsidR="00915D4C" w:rsidRDefault="00915D4C"/>
    <w:sectPr w:rsidR="00915D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501FD"/>
    <w:multiLevelType w:val="multilevel"/>
    <w:tmpl w:val="E67CA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4A7827"/>
    <w:multiLevelType w:val="multilevel"/>
    <w:tmpl w:val="676E5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9675563"/>
    <w:multiLevelType w:val="multilevel"/>
    <w:tmpl w:val="13DE7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39232F"/>
    <w:multiLevelType w:val="multilevel"/>
    <w:tmpl w:val="FC284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5621893">
    <w:abstractNumId w:val="3"/>
  </w:num>
  <w:num w:numId="2" w16cid:durableId="1300262556">
    <w:abstractNumId w:val="2"/>
  </w:num>
  <w:num w:numId="3" w16cid:durableId="181358134">
    <w:abstractNumId w:val="1"/>
  </w:num>
  <w:num w:numId="4" w16cid:durableId="1859735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4C"/>
    <w:rsid w:val="008949B9"/>
    <w:rsid w:val="008A5C2D"/>
    <w:rsid w:val="00915D4C"/>
    <w:rsid w:val="00951D8F"/>
    <w:rsid w:val="00AD4CF1"/>
    <w:rsid w:val="00E34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60C22"/>
  <w15:docId w15:val="{CC470E1E-9375-45C4-A4F3-D8676715B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1418</TotalTime>
  <Pages>4</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2</cp:revision>
  <dcterms:created xsi:type="dcterms:W3CDTF">2026-01-21T10:05:00Z</dcterms:created>
  <dcterms:modified xsi:type="dcterms:W3CDTF">2026-01-21T10:05:00Z</dcterms:modified>
</cp:coreProperties>
</file>