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DBAC" w14:textId="77777777" w:rsidR="005F1BE5" w:rsidRDefault="00000000">
      <w:pPr>
        <w:pStyle w:val="Heading1"/>
      </w:pPr>
      <w:bookmarkStart w:id="0" w:name="header"/>
      <w:bookmarkStart w:id="1" w:name="X0cb1b12a3c2a8fb0ffdf082a278fa3719f3c02a"/>
      <w:bookmarkStart w:id="2" w:name="content"/>
      <w:bookmarkEnd w:id="0"/>
      <w:r>
        <w:t>Plan for an Autonomous Commodity Market Analysis System</w:t>
      </w:r>
    </w:p>
    <w:p w14:paraId="121A444E" w14:textId="77777777" w:rsidR="005F1BE5" w:rsidRDefault="00000000">
      <w:pPr>
        <w:pStyle w:val="Heading2"/>
      </w:pPr>
      <w:bookmarkStart w:id="3" w:name="initial-commodity-coverage"/>
      <w:r>
        <w:t>Initial Commodity Coverage</w:t>
      </w:r>
    </w:p>
    <w:p w14:paraId="14BB309E" w14:textId="77777777" w:rsidR="005F1BE5" w:rsidRDefault="00000000">
      <w:pPr>
        <w:pStyle w:val="FirstParagraph"/>
      </w:pPr>
      <w:r>
        <w:t xml:space="preserve">We will begin by covering a broad range of agricultural and related commodity markets. The </w:t>
      </w:r>
      <w:proofErr w:type="gramStart"/>
      <w:r>
        <w:t>initial</w:t>
      </w:r>
      <w:proofErr w:type="gramEnd"/>
      <w:r>
        <w:t xml:space="preserve"> focus includes:</w:t>
      </w:r>
    </w:p>
    <w:p w14:paraId="6C44CD6D" w14:textId="77777777" w:rsidR="005F1BE5" w:rsidRDefault="00000000">
      <w:pPr>
        <w:pStyle w:val="Compact"/>
        <w:numPr>
          <w:ilvl w:val="0"/>
          <w:numId w:val="2"/>
        </w:numPr>
      </w:pPr>
      <w:r>
        <w:rPr>
          <w:b/>
          <w:bCs/>
        </w:rPr>
        <w:t>Feed Grains:</w:t>
      </w:r>
      <w:r>
        <w:t xml:space="preserve"> Corn, sorghum (milo), oats, and barley.</w:t>
      </w:r>
    </w:p>
    <w:p w14:paraId="2689B8FF" w14:textId="77777777" w:rsidR="005F1BE5" w:rsidRDefault="00000000">
      <w:pPr>
        <w:pStyle w:val="Compact"/>
        <w:numPr>
          <w:ilvl w:val="0"/>
          <w:numId w:val="2"/>
        </w:numPr>
      </w:pPr>
      <w:r>
        <w:rPr>
          <w:b/>
          <w:bCs/>
        </w:rPr>
        <w:t>Food Grains:</w:t>
      </w:r>
      <w:r>
        <w:t xml:space="preserve"> All wheat classes/varieties (</w:t>
      </w:r>
      <w:proofErr w:type="gramStart"/>
      <w:r>
        <w:t>e.g.</w:t>
      </w:r>
      <w:proofErr w:type="gramEnd"/>
      <w:r>
        <w:t xml:space="preserve"> hard red winter, soft red, spring wheat, </w:t>
      </w:r>
      <w:proofErr w:type="gramStart"/>
      <w:r>
        <w:t>etc.</w:t>
      </w:r>
      <w:proofErr w:type="gramEnd"/>
      <w:r>
        <w:t>).</w:t>
      </w:r>
    </w:p>
    <w:p w14:paraId="0C8AE5C8" w14:textId="77777777" w:rsidR="005F1BE5" w:rsidRDefault="00000000">
      <w:pPr>
        <w:pStyle w:val="Compact"/>
        <w:numPr>
          <w:ilvl w:val="0"/>
          <w:numId w:val="2"/>
        </w:numPr>
      </w:pPr>
      <w:r>
        <w:rPr>
          <w:b/>
          <w:bCs/>
        </w:rPr>
        <w:t>Oilseeds:</w:t>
      </w:r>
      <w:r>
        <w:t xml:space="preserve"> Soybeans, canola (rapeseed), sunflower seed, and minor oilseeds like flaxseed.</w:t>
      </w:r>
    </w:p>
    <w:p w14:paraId="479DE6A6" w14:textId="77777777" w:rsidR="005F1BE5" w:rsidRDefault="00000000">
      <w:pPr>
        <w:pStyle w:val="Compact"/>
        <w:numPr>
          <w:ilvl w:val="0"/>
          <w:numId w:val="2"/>
        </w:numPr>
      </w:pPr>
      <w:r>
        <w:rPr>
          <w:b/>
          <w:bCs/>
        </w:rPr>
        <w:t>Protein Meals:</w:t>
      </w:r>
      <w:r>
        <w:t xml:space="preserve"> Byproducts of oilseed crushing such as soybean meal, canola meal, </w:t>
      </w:r>
      <w:proofErr w:type="gramStart"/>
      <w:r>
        <w:t>etc.</w:t>
      </w:r>
      <w:proofErr w:type="gramEnd"/>
    </w:p>
    <w:p w14:paraId="0FA6429A" w14:textId="77777777" w:rsidR="005F1BE5" w:rsidRDefault="00000000">
      <w:pPr>
        <w:pStyle w:val="Compact"/>
        <w:numPr>
          <w:ilvl w:val="0"/>
          <w:numId w:val="2"/>
        </w:numPr>
      </w:pPr>
      <w:r>
        <w:rPr>
          <w:b/>
          <w:bCs/>
        </w:rPr>
        <w:t>Vegetable Oils:</w:t>
      </w:r>
      <w:r>
        <w:t xml:space="preserve"> Edible oils from the above seeds (soybean oil, canola/rapeseed oil, sunflower oil) as well as tropical oils like palm oil (from palm fruit).</w:t>
      </w:r>
    </w:p>
    <w:p w14:paraId="7855CEAE" w14:textId="77777777" w:rsidR="005F1BE5" w:rsidRDefault="00000000">
      <w:pPr>
        <w:pStyle w:val="Compact"/>
        <w:numPr>
          <w:ilvl w:val="0"/>
          <w:numId w:val="2"/>
        </w:numPr>
      </w:pPr>
      <w:r>
        <w:rPr>
          <w:b/>
          <w:bCs/>
        </w:rPr>
        <w:t>Biofuels:</w:t>
      </w:r>
      <w:r>
        <w:t xml:space="preserve"> Liquid fuels from biomass – ethanol, biodiesel, renewable diesel, and sustainable aviation fuel (SAF).</w:t>
      </w:r>
    </w:p>
    <w:p w14:paraId="0EE6E705" w14:textId="77777777" w:rsidR="005F1BE5" w:rsidRDefault="00000000">
      <w:pPr>
        <w:pStyle w:val="Compact"/>
        <w:numPr>
          <w:ilvl w:val="0"/>
          <w:numId w:val="2"/>
        </w:numPr>
      </w:pPr>
      <w:r>
        <w:rPr>
          <w:b/>
          <w:bCs/>
        </w:rPr>
        <w:t>Livestock:</w:t>
      </w:r>
      <w:r>
        <w:t xml:space="preserve"> Key animal protein markets – hogs (pork), cattle (beef), and poultry (chicken) – mainly as they relate to feed demand and prices.</w:t>
      </w:r>
    </w:p>
    <w:p w14:paraId="4B395D65" w14:textId="77777777" w:rsidR="005F1BE5" w:rsidRDefault="00000000">
      <w:pPr>
        <w:pStyle w:val="Compact"/>
        <w:numPr>
          <w:ilvl w:val="0"/>
          <w:numId w:val="2"/>
        </w:numPr>
      </w:pPr>
      <w:r>
        <w:rPr>
          <w:b/>
          <w:bCs/>
        </w:rPr>
        <w:t>Biofuel Co-products:</w:t>
      </w:r>
      <w:r>
        <w:t xml:space="preserve"> Outputs from biofuel production such as glycerin (from biodiesel), dried </w:t>
      </w:r>
      <w:proofErr w:type="gramStart"/>
      <w:r>
        <w:t>distillers</w:t>
      </w:r>
      <w:proofErr w:type="gramEnd"/>
      <w:r>
        <w:t xml:space="preserve"> grains (DDGS from ethanol), and corn-based sweeteners (</w:t>
      </w:r>
      <w:proofErr w:type="gramStart"/>
      <w:r>
        <w:t>e.g.</w:t>
      </w:r>
      <w:proofErr w:type="gramEnd"/>
      <w:r>
        <w:t xml:space="preserve"> high-fructose corn syrup from wet mills).</w:t>
      </w:r>
    </w:p>
    <w:p w14:paraId="72C0B678" w14:textId="77777777" w:rsidR="005F1BE5" w:rsidRDefault="00000000">
      <w:pPr>
        <w:pStyle w:val="Compact"/>
        <w:numPr>
          <w:ilvl w:val="0"/>
          <w:numId w:val="2"/>
        </w:numPr>
      </w:pPr>
      <w:r>
        <w:rPr>
          <w:b/>
          <w:bCs/>
        </w:rPr>
        <w:t>Related Farm Inputs:</w:t>
      </w:r>
      <w:r>
        <w:t xml:space="preserve"> Markets that influence production costs, like fertilizer (nitrogen, phosphates, potash) and other inputs (seed, feed, </w:t>
      </w:r>
      <w:proofErr w:type="gramStart"/>
      <w:r>
        <w:t>etc.</w:t>
      </w:r>
      <w:proofErr w:type="gramEnd"/>
      <w:r>
        <w:t>).</w:t>
      </w:r>
    </w:p>
    <w:p w14:paraId="6624FE12" w14:textId="77777777" w:rsidR="005F1BE5" w:rsidRDefault="00000000">
      <w:pPr>
        <w:pStyle w:val="FirstParagraph"/>
      </w:pPr>
      <w:r>
        <w:t xml:space="preserve">We may expand into </w:t>
      </w:r>
      <w:r>
        <w:rPr>
          <w:b/>
          <w:bCs/>
        </w:rPr>
        <w:t>metals and “soft” commodities</w:t>
      </w:r>
      <w:r>
        <w:t xml:space="preserve"> in the future (for example, base metals or soft commodities like orange juice or lumber) if needed. The system is </w:t>
      </w:r>
      <w:proofErr w:type="gramStart"/>
      <w:r>
        <w:t>being designed</w:t>
      </w:r>
      <w:proofErr w:type="gramEnd"/>
      <w:r>
        <w:t xml:space="preserve"> with flexibility to add new commodity sectors over time. For now, the above list covers the core agricultural supply, demand, and price drivers we want to track.</w:t>
      </w:r>
    </w:p>
    <w:p w14:paraId="3433E8B5" w14:textId="77777777" w:rsidR="005F1BE5" w:rsidRDefault="00000000">
      <w:pPr>
        <w:pStyle w:val="Heading2"/>
      </w:pPr>
      <w:bookmarkStart w:id="4" w:name="autonomous-operation-and-oversight"/>
      <w:bookmarkEnd w:id="3"/>
      <w:r>
        <w:t>Autonomous Operation and Oversight</w:t>
      </w:r>
    </w:p>
    <w:p w14:paraId="46733E5F" w14:textId="77777777" w:rsidR="005F1BE5" w:rsidRDefault="00000000">
      <w:pPr>
        <w:pStyle w:val="FirstParagraph"/>
      </w:pPr>
      <w:r>
        <w:t xml:space="preserve">Our goal is to develop a team of AI-driven agents that can </w:t>
      </w:r>
      <w:proofErr w:type="gramStart"/>
      <w:r>
        <w:t>operate</w:t>
      </w:r>
      <w:proofErr w:type="gramEnd"/>
      <w:r>
        <w:t xml:space="preserve"> </w:t>
      </w:r>
      <w:r>
        <w:rPr>
          <w:b/>
          <w:bCs/>
        </w:rPr>
        <w:t>autonomously</w:t>
      </w:r>
      <w:r>
        <w:t xml:space="preserve"> in covering these markets, eventually </w:t>
      </w:r>
      <w:proofErr w:type="gramStart"/>
      <w:r>
        <w:t>handling</w:t>
      </w:r>
      <w:proofErr w:type="gramEnd"/>
      <w:r>
        <w:t xml:space="preserve"> all aspects of data gathering, analysis, and reporting with minimal human intervention. In the beginning, however, we will </w:t>
      </w:r>
      <w:proofErr w:type="gramStart"/>
      <w:r>
        <w:t>maintain</w:t>
      </w:r>
      <w:proofErr w:type="gramEnd"/>
      <w:r>
        <w:t xml:space="preserve"> human oversight </w:t>
      </w:r>
      <w:proofErr w:type="gramStart"/>
      <w:r>
        <w:t>on</w:t>
      </w:r>
      <w:proofErr w:type="gramEnd"/>
      <w:r>
        <w:t xml:space="preserve"> all outputs. This means every report the system generates will </w:t>
      </w:r>
      <w:proofErr w:type="gramStart"/>
      <w:r>
        <w:t>be reviewed</w:t>
      </w:r>
      <w:proofErr w:type="gramEnd"/>
      <w:r>
        <w:t xml:space="preserve">, and </w:t>
      </w:r>
      <w:proofErr w:type="gramStart"/>
      <w:r>
        <w:t>we’ll</w:t>
      </w:r>
      <w:proofErr w:type="gramEnd"/>
      <w:r>
        <w:t xml:space="preserve"> spot-check data for accuracy. We will </w:t>
      </w:r>
      <w:r>
        <w:rPr>
          <w:b/>
          <w:bCs/>
        </w:rPr>
        <w:t>not</w:t>
      </w:r>
      <w:r>
        <w:t xml:space="preserve"> micromanage every data point or minor decision the agents make, but we will carefully verify the analyses and publications, especially early on. This aligns with a philosophy of </w:t>
      </w:r>
      <w:r>
        <w:rPr>
          <w:i/>
          <w:iCs/>
        </w:rPr>
        <w:t>gradual autonomy</w:t>
      </w:r>
      <w:r>
        <w:t xml:space="preserve">: </w:t>
      </w:r>
      <w:r>
        <w:lastRenderedPageBreak/>
        <w:t>starting in a “tightly controlled” mode with human review, then easing restrictions as the system proves its reliability</w:t>
      </w:r>
      <w:hyperlink r:id="rId5">
        <w:r w:rsidR="005F1BE5">
          <w:rPr>
            <w:rStyle w:val="Hyperlink"/>
          </w:rPr>
          <w:t>[1]</w:t>
        </w:r>
      </w:hyperlink>
      <w:r>
        <w:t>. For example, low-risk tasks (like routine data updates) may be fully automated early, while higher-stakes outputs (like a major market commentary or a trading recommendation) will require human approval until we build sufficient trust in the AI’s performance</w:t>
      </w:r>
      <w:hyperlink r:id="rId6">
        <w:r w:rsidR="005F1BE5">
          <w:rPr>
            <w:rStyle w:val="Hyperlink"/>
          </w:rPr>
          <w:t>[2]</w:t>
        </w:r>
      </w:hyperlink>
      <w:r>
        <w:t>.</w:t>
      </w:r>
    </w:p>
    <w:p w14:paraId="4E2C9B73" w14:textId="77777777" w:rsidR="005F1BE5" w:rsidRDefault="00000000">
      <w:pPr>
        <w:pStyle w:val="BodyText"/>
      </w:pPr>
      <w:r>
        <w:t xml:space="preserve">Over time, as the agents </w:t>
      </w:r>
      <w:proofErr w:type="gramStart"/>
      <w:r>
        <w:t>demonstrate</w:t>
      </w:r>
      <w:proofErr w:type="gramEnd"/>
      <w:r>
        <w:t xml:space="preserve"> accuracy and sound judgment, the oversight can be </w:t>
      </w:r>
      <w:proofErr w:type="gramStart"/>
      <w:r>
        <w:t>reduced</w:t>
      </w:r>
      <w:proofErr w:type="gramEnd"/>
      <w:r>
        <w:t xml:space="preserve"> and the agents will </w:t>
      </w:r>
      <w:proofErr w:type="gramStart"/>
      <w:r>
        <w:t>operate</w:t>
      </w:r>
      <w:proofErr w:type="gramEnd"/>
      <w:r>
        <w:t xml:space="preserve"> more like a </w:t>
      </w:r>
      <w:r>
        <w:rPr>
          <w:b/>
          <w:bCs/>
        </w:rPr>
        <w:t>true autonomous research team</w:t>
      </w:r>
      <w:r>
        <w:t xml:space="preserve">. The end-state vision is that these AI agents function akin to a </w:t>
      </w:r>
      <w:r>
        <w:rPr>
          <w:b/>
          <w:bCs/>
        </w:rPr>
        <w:t>senior economist or research analyst</w:t>
      </w:r>
      <w:r>
        <w:t xml:space="preserve">, handling everything from collecting market data to generating insights, conducting risk analysis, and drafting reports without needing us to intervene. We will still </w:t>
      </w:r>
      <w:proofErr w:type="gramStart"/>
      <w:r>
        <w:t>monitor</w:t>
      </w:r>
      <w:proofErr w:type="gramEnd"/>
      <w:r>
        <w:t xml:space="preserve"> outputs for sanity and have fail-safes (quality checks, alerting if anomalies occur), but </w:t>
      </w:r>
      <w:proofErr w:type="gramStart"/>
      <w:r>
        <w:t>the day-to-day work would be done by the AI</w:t>
      </w:r>
      <w:proofErr w:type="gramEnd"/>
      <w:r>
        <w:t>. This gradual approach ensures we maintain quality and build confidence in the system before giving it free rein</w:t>
      </w:r>
      <w:hyperlink r:id="rId7">
        <w:r w:rsidR="005F1BE5">
          <w:rPr>
            <w:rStyle w:val="Hyperlink"/>
          </w:rPr>
          <w:t>[3]</w:t>
        </w:r>
      </w:hyperlink>
      <w:hyperlink r:id="rId8">
        <w:r w:rsidR="005F1BE5">
          <w:rPr>
            <w:rStyle w:val="Hyperlink"/>
          </w:rPr>
          <w:t>[4]</w:t>
        </w:r>
      </w:hyperlink>
      <w:r>
        <w:t>. By the final stage, the autonomous team should replicate the responsibilities of a human senior economist, as discussed further below.</w:t>
      </w:r>
    </w:p>
    <w:p w14:paraId="20547BEC" w14:textId="77777777" w:rsidR="005F1BE5" w:rsidRDefault="00000000">
      <w:pPr>
        <w:pStyle w:val="Heading2"/>
      </w:pPr>
      <w:bookmarkStart w:id="5" w:name="integration-of-var-analysis"/>
      <w:bookmarkEnd w:id="4"/>
      <w:r>
        <w:t xml:space="preserve">Integration of </w:t>
      </w:r>
      <w:proofErr w:type="spellStart"/>
      <w:r>
        <w:t>VaR</w:t>
      </w:r>
      <w:proofErr w:type="spellEnd"/>
      <w:r>
        <w:t xml:space="preserve"> Analysis</w:t>
      </w:r>
    </w:p>
    <w:p w14:paraId="6422CAD9" w14:textId="77777777" w:rsidR="005F1BE5" w:rsidRDefault="00000000">
      <w:pPr>
        <w:pStyle w:val="FirstParagraph"/>
      </w:pPr>
      <w:r>
        <w:t xml:space="preserve">We plan to incorporate the </w:t>
      </w:r>
      <w:r>
        <w:rPr>
          <w:b/>
          <w:bCs/>
        </w:rPr>
        <w:t>Value-at-Risk (</w:t>
      </w:r>
      <w:proofErr w:type="spellStart"/>
      <w:r>
        <w:rPr>
          <w:b/>
          <w:bCs/>
        </w:rPr>
        <w:t>VaR</w:t>
      </w:r>
      <w:proofErr w:type="spellEnd"/>
      <w:r>
        <w:rPr>
          <w:b/>
          <w:bCs/>
        </w:rPr>
        <w:t>)</w:t>
      </w:r>
      <w:r>
        <w:t xml:space="preserve"> analysis provided by David Becker into the system’s toolkit. </w:t>
      </w:r>
      <w:proofErr w:type="spellStart"/>
      <w:r>
        <w:t>VaR</w:t>
      </w:r>
      <w:proofErr w:type="spellEnd"/>
      <w:r>
        <w:t xml:space="preserve"> is a risk management technique that quantifies the potential loss in a portfolio or position over a given time horizon with a certain confidence level. David’s </w:t>
      </w:r>
      <w:proofErr w:type="spellStart"/>
      <w:r>
        <w:t>VaR</w:t>
      </w:r>
      <w:proofErr w:type="spellEnd"/>
      <w:r>
        <w:t xml:space="preserve"> model will be adapted to our commodity context – for example, to measure the risk of price movements on a hedged vs. unhedged position or to quantify portfolio exposure to a particular commodity. Integrating this analysis will allow our AI team to not only describe market conditions but also provide risk metrics and stress tests for various scenarios, </w:t>
      </w:r>
      <w:proofErr w:type="gramStart"/>
      <w:r>
        <w:t>much</w:t>
      </w:r>
      <w:proofErr w:type="gramEnd"/>
      <w:r>
        <w:t xml:space="preserve"> as a risk analyst would. This addition is very much in line with our goal of providing </w:t>
      </w:r>
      <w:r>
        <w:rPr>
          <w:b/>
          <w:bCs/>
        </w:rPr>
        <w:t>hedging and risk management insights</w:t>
      </w:r>
      <w:r>
        <w:t>: it was already identified as a key tool in our advisory toolkit (a “</w:t>
      </w:r>
      <w:proofErr w:type="spellStart"/>
      <w:r>
        <w:t>VaR</w:t>
      </w:r>
      <w:proofErr w:type="spellEnd"/>
      <w:r>
        <w:t xml:space="preserve"> calculator” is part of the RLC Advisory Toolkit plans)</w:t>
      </w:r>
      <w:hyperlink r:id="rId9">
        <w:r w:rsidR="005F1BE5">
          <w:rPr>
            <w:rStyle w:val="Hyperlink"/>
          </w:rPr>
          <w:t>[5]</w:t>
        </w:r>
      </w:hyperlink>
      <w:r>
        <w:t xml:space="preserve">. We will incorporate David’s work by feeding our live market data into the </w:t>
      </w:r>
      <w:proofErr w:type="spellStart"/>
      <w:r>
        <w:t>VaR</w:t>
      </w:r>
      <w:proofErr w:type="spellEnd"/>
      <w:r>
        <w:t xml:space="preserve"> model to produce up-to-date risk metrics that can </w:t>
      </w:r>
      <w:proofErr w:type="gramStart"/>
      <w:r>
        <w:t>be included</w:t>
      </w:r>
      <w:proofErr w:type="gramEnd"/>
      <w:r>
        <w:t xml:space="preserve"> in reports or used internally to flag potential exposure issues. For instance, the system could report that </w:t>
      </w:r>
      <w:r>
        <w:rPr>
          <w:i/>
          <w:iCs/>
        </w:rPr>
        <w:t>“with current positions, there is a 5% probability of losing more than $X over the next week”</w:t>
      </w:r>
      <w:r>
        <w:t xml:space="preserve"> – information that a senior economist/risk manager would consider when advising on hedging.</w:t>
      </w:r>
    </w:p>
    <w:p w14:paraId="25CCD6ED" w14:textId="77777777" w:rsidR="005F1BE5" w:rsidRDefault="00000000">
      <w:pPr>
        <w:pStyle w:val="BodyText"/>
      </w:pPr>
      <w:r>
        <w:t xml:space="preserve">Technically, the </w:t>
      </w:r>
      <w:proofErr w:type="spellStart"/>
      <w:r>
        <w:t>VaR</w:t>
      </w:r>
      <w:proofErr w:type="spellEnd"/>
      <w:r>
        <w:t xml:space="preserve"> module will become another agent or </w:t>
      </w:r>
      <w:proofErr w:type="gramStart"/>
      <w:r>
        <w:t>component</w:t>
      </w:r>
      <w:proofErr w:type="gramEnd"/>
      <w:r>
        <w:t xml:space="preserve"> in our overall system. It will pull in necessary data (price histories, position sizes, volatility estimates) from the data pipeline and output </w:t>
      </w:r>
      <w:proofErr w:type="spellStart"/>
      <w:r>
        <w:t>VaR</w:t>
      </w:r>
      <w:proofErr w:type="spellEnd"/>
      <w:r>
        <w:t xml:space="preserve"> figures or charts. Initially, we will </w:t>
      </w:r>
      <w:proofErr w:type="gramStart"/>
      <w:r>
        <w:t>validate</w:t>
      </w:r>
      <w:proofErr w:type="gramEnd"/>
      <w:r>
        <w:t xml:space="preserve"> its </w:t>
      </w:r>
      <w:proofErr w:type="gramStart"/>
      <w:r>
        <w:t>outputs</w:t>
      </w:r>
      <w:proofErr w:type="gramEnd"/>
      <w:r>
        <w:t xml:space="preserve"> (</w:t>
      </w:r>
      <w:proofErr w:type="gramStart"/>
      <w:r>
        <w:t>comparing</w:t>
      </w:r>
      <w:proofErr w:type="gramEnd"/>
      <w:r>
        <w:t xml:space="preserve"> against David’s original results or known benchmarks) to ensure </w:t>
      </w:r>
      <w:proofErr w:type="spellStart"/>
      <w:proofErr w:type="gramStart"/>
      <w:r>
        <w:t>it’s</w:t>
      </w:r>
      <w:proofErr w:type="spellEnd"/>
      <w:proofErr w:type="gramEnd"/>
      <w:r>
        <w:t xml:space="preserve"> correctly implemented. Once verified, this </w:t>
      </w:r>
      <w:proofErr w:type="spellStart"/>
      <w:r>
        <w:t>VaR</w:t>
      </w:r>
      <w:proofErr w:type="spellEnd"/>
      <w:r>
        <w:t xml:space="preserve"> analysis will run automatically as part of our reporting process (for example, included in a weekly risk summary for biofuel margins or feed cost exposures). Integrating </w:t>
      </w:r>
      <w:proofErr w:type="spellStart"/>
      <w:r>
        <w:t>VaR</w:t>
      </w:r>
      <w:proofErr w:type="spellEnd"/>
      <w:r>
        <w:t xml:space="preserve"> strengthens the analytical rigor of our reports and mirrors what a risk-conscious economist at a bank or hedge fund would produce for decision-makers.</w:t>
      </w:r>
    </w:p>
    <w:p w14:paraId="3E5E11BF" w14:textId="77777777" w:rsidR="005F1BE5" w:rsidRDefault="00000000">
      <w:pPr>
        <w:pStyle w:val="Heading2"/>
      </w:pPr>
      <w:bookmarkStart w:id="6" w:name="Xe8300bde1503ccc9208c361c89f5a32aba14a9a"/>
      <w:bookmarkEnd w:id="5"/>
      <w:r>
        <w:lastRenderedPageBreak/>
        <w:t>Data Sources and Automated Data Ingestion</w:t>
      </w:r>
    </w:p>
    <w:p w14:paraId="39DBA973" w14:textId="77777777" w:rsidR="005F1BE5" w:rsidRDefault="00000000">
      <w:pPr>
        <w:pStyle w:val="FirstParagraph"/>
      </w:pPr>
      <w:r>
        <w:t xml:space="preserve">A critical foundation for this autonomous team is a robust </w:t>
      </w:r>
      <w:r>
        <w:rPr>
          <w:b/>
          <w:bCs/>
        </w:rPr>
        <w:t>data pipeline</w:t>
      </w:r>
      <w:r>
        <w:t xml:space="preserve"> feeding it information from all relevant sources. We are assembling a comprehensive list of data sources that we may need to use in the coming years. This includes sources we already have connected (</w:t>
      </w:r>
      <w:proofErr w:type="gramStart"/>
      <w:r>
        <w:t>some</w:t>
      </w:r>
      <w:proofErr w:type="gramEnd"/>
      <w:r>
        <w:t xml:space="preserve"> API agents are indeed set up) and potential sources we might add later – even if we </w:t>
      </w:r>
      <w:proofErr w:type="gramStart"/>
      <w:r>
        <w:t>don’t</w:t>
      </w:r>
      <w:proofErr w:type="gramEnd"/>
      <w:r>
        <w:t xml:space="preserve"> yet have API credentials or if the source </w:t>
      </w:r>
      <w:proofErr w:type="gramStart"/>
      <w:r>
        <w:t>doesn’t</w:t>
      </w:r>
      <w:proofErr w:type="gramEnd"/>
      <w:r>
        <w:t xml:space="preserve"> officially provide an API. By </w:t>
      </w:r>
      <w:proofErr w:type="gramStart"/>
      <w:r>
        <w:t>identifying</w:t>
      </w:r>
      <w:proofErr w:type="gramEnd"/>
      <w:r>
        <w:t xml:space="preserve"> this broad list now, we can prioritize and gradually integrate each one into our pipeline. Initially, </w:t>
      </w:r>
      <w:proofErr w:type="gramStart"/>
      <w:r>
        <w:t>we’ll</w:t>
      </w:r>
      <w:proofErr w:type="gramEnd"/>
      <w:r>
        <w:t xml:space="preserve"> start with </w:t>
      </w:r>
      <w:proofErr w:type="gramStart"/>
      <w:r>
        <w:t>a few</w:t>
      </w:r>
      <w:proofErr w:type="gramEnd"/>
      <w:r>
        <w:t xml:space="preserve"> key sources (like USDA market data), but over time we aim to automate ingestion from all these sources. The system’s plugin-based architecture is designed to accommodate multiple sources – for example, we have modules for USDA and plan to add others like EIA, trade data, and even California’s LCFS data</w:t>
      </w:r>
      <w:hyperlink r:id="rId10">
        <w:r w:rsidR="005F1BE5">
          <w:rPr>
            <w:rStyle w:val="Hyperlink"/>
          </w:rPr>
          <w:t>[6]</w:t>
        </w:r>
      </w:hyperlink>
      <w:r>
        <w:t>.</w:t>
      </w:r>
    </w:p>
    <w:p w14:paraId="3B006B2F" w14:textId="77777777" w:rsidR="005F1BE5" w:rsidRDefault="00000000">
      <w:pPr>
        <w:pStyle w:val="BodyText"/>
      </w:pPr>
      <w:r>
        <w:t xml:space="preserve">Below is a table of potential </w:t>
      </w:r>
      <w:r>
        <w:rPr>
          <w:b/>
          <w:bCs/>
        </w:rPr>
        <w:t>data sources</w:t>
      </w:r>
      <w:r>
        <w:t xml:space="preserve"> we foresee using, along with the information needed to set up automated data retrieval from each. The table outlines the source name, the type of data/commodities it covers, and the method of access (including any API details or alternative ingestion approach if no API is available). This will serve as a reference as we build out our data pipeline modules for each source:</w:t>
      </w:r>
    </w:p>
    <w:tbl>
      <w:tblPr>
        <w:tblStyle w:val="Table"/>
        <w:tblW w:w="0" w:type="auto"/>
        <w:tblLook w:val="0020" w:firstRow="1" w:lastRow="0" w:firstColumn="0" w:lastColumn="0" w:noHBand="0" w:noVBand="0"/>
      </w:tblPr>
      <w:tblGrid>
        <w:gridCol w:w="2044"/>
        <w:gridCol w:w="3384"/>
        <w:gridCol w:w="3932"/>
      </w:tblGrid>
      <w:tr w:rsidR="005F1BE5" w14:paraId="1A60ADAE" w14:textId="77777777" w:rsidTr="005F1BE5">
        <w:trPr>
          <w:cnfStyle w:val="100000000000" w:firstRow="1" w:lastRow="0" w:firstColumn="0" w:lastColumn="0" w:oddVBand="0" w:evenVBand="0" w:oddHBand="0" w:evenHBand="0" w:firstRowFirstColumn="0" w:firstRowLastColumn="0" w:lastRowFirstColumn="0" w:lastRowLastColumn="0"/>
          <w:tblHeader/>
        </w:trPr>
        <w:tc>
          <w:tcPr>
            <w:tcW w:w="0" w:type="auto"/>
          </w:tcPr>
          <w:p w14:paraId="1A1CABB7" w14:textId="77777777" w:rsidR="005F1BE5" w:rsidRDefault="00000000">
            <w:pPr>
              <w:pStyle w:val="Compact"/>
            </w:pPr>
            <w:r>
              <w:rPr>
                <w:b/>
                <w:bCs/>
              </w:rPr>
              <w:t>Data Source</w:t>
            </w:r>
          </w:p>
        </w:tc>
        <w:tc>
          <w:tcPr>
            <w:tcW w:w="0" w:type="auto"/>
          </w:tcPr>
          <w:p w14:paraId="58F44373" w14:textId="77777777" w:rsidR="005F1BE5" w:rsidRDefault="00000000">
            <w:pPr>
              <w:pStyle w:val="Compact"/>
            </w:pPr>
            <w:r>
              <w:rPr>
                <w:b/>
                <w:bCs/>
              </w:rPr>
              <w:t>Coverage</w:t>
            </w:r>
          </w:p>
        </w:tc>
        <w:tc>
          <w:tcPr>
            <w:tcW w:w="0" w:type="auto"/>
          </w:tcPr>
          <w:p w14:paraId="2DCC86EB" w14:textId="77777777" w:rsidR="005F1BE5" w:rsidRDefault="00000000">
            <w:pPr>
              <w:pStyle w:val="Compact"/>
            </w:pPr>
            <w:r>
              <w:rPr>
                <w:b/>
                <w:bCs/>
              </w:rPr>
              <w:t>Access &amp; Integration Details</w:t>
            </w:r>
          </w:p>
        </w:tc>
      </w:tr>
      <w:tr w:rsidR="005F1BE5" w14:paraId="18FA4771" w14:textId="77777777">
        <w:tc>
          <w:tcPr>
            <w:tcW w:w="0" w:type="auto"/>
          </w:tcPr>
          <w:p w14:paraId="09F3AA8E" w14:textId="77777777" w:rsidR="005F1BE5" w:rsidRDefault="00000000">
            <w:pPr>
              <w:pStyle w:val="Compact"/>
            </w:pPr>
            <w:r>
              <w:rPr>
                <w:b/>
                <w:bCs/>
              </w:rPr>
              <w:t>USDA AMS Market News (My Market News API)</w:t>
            </w:r>
          </w:p>
        </w:tc>
        <w:tc>
          <w:tcPr>
            <w:tcW w:w="0" w:type="auto"/>
          </w:tcPr>
          <w:p w14:paraId="63E2C1DB" w14:textId="77777777" w:rsidR="005F1BE5" w:rsidRDefault="00000000">
            <w:pPr>
              <w:pStyle w:val="Compact"/>
            </w:pPr>
            <w:r>
              <w:t xml:space="preserve">U.S. cash market prices and reports for grains, oilseeds, livestock, ethanol by-products, </w:t>
            </w:r>
            <w:proofErr w:type="gramStart"/>
            <w:r>
              <w:t>etc.</w:t>
            </w:r>
            <w:proofErr w:type="gramEnd"/>
            <w:r>
              <w:t xml:space="preserve"> (</w:t>
            </w:r>
            <w:proofErr w:type="gramStart"/>
            <w:r>
              <w:t>e.g.</w:t>
            </w:r>
            <w:proofErr w:type="gramEnd"/>
            <w:r>
              <w:t xml:space="preserve"> regional corn prices, soy basis, livestock auctions).</w:t>
            </w:r>
          </w:p>
        </w:tc>
        <w:tc>
          <w:tcPr>
            <w:tcW w:w="0" w:type="auto"/>
          </w:tcPr>
          <w:p w14:paraId="0D33D836" w14:textId="77777777" w:rsidR="005F1BE5" w:rsidRDefault="00000000">
            <w:pPr>
              <w:pStyle w:val="Compact"/>
            </w:pPr>
            <w:r>
              <w:rPr>
                <w:b/>
                <w:bCs/>
              </w:rPr>
              <w:t>REST API (JSON)</w:t>
            </w:r>
            <w:r>
              <w:t xml:space="preserve"> – The AMS Market News data can be fetched via the USDA’s public API endpoints</w:t>
            </w:r>
            <w:hyperlink r:id="rId11" w:anchor="L26-L34">
              <w:r w:rsidR="005F1BE5">
                <w:rPr>
                  <w:rStyle w:val="Hyperlink"/>
                </w:rPr>
                <w:t>[7]</w:t>
              </w:r>
            </w:hyperlink>
            <w:r>
              <w:t>. We need to register for a free API key to authenticate requests. Each report or commodity has an identifier (“slug”) used in the endpoint URL</w:t>
            </w:r>
            <w:hyperlink r:id="rId12" w:anchor="L33-L41">
              <w:r w:rsidR="005F1BE5">
                <w:rPr>
                  <w:rStyle w:val="Hyperlink"/>
                </w:rPr>
                <w:t>[8]</w:t>
              </w:r>
            </w:hyperlink>
            <w:r>
              <w:t>. We will automate daily/weekly pulls of relevant reports (e.g., national corn prices, DDGS prices) using this API.</w:t>
            </w:r>
          </w:p>
        </w:tc>
      </w:tr>
      <w:tr w:rsidR="005F1BE5" w14:paraId="651488B1" w14:textId="77777777">
        <w:tc>
          <w:tcPr>
            <w:tcW w:w="0" w:type="auto"/>
          </w:tcPr>
          <w:p w14:paraId="549379E4" w14:textId="77777777" w:rsidR="005F1BE5" w:rsidRDefault="00000000">
            <w:pPr>
              <w:pStyle w:val="Compact"/>
            </w:pPr>
            <w:r>
              <w:rPr>
                <w:b/>
                <w:bCs/>
              </w:rPr>
              <w:t xml:space="preserve">USDA NASS </w:t>
            </w:r>
            <w:proofErr w:type="spellStart"/>
            <w:r>
              <w:rPr>
                <w:b/>
                <w:bCs/>
              </w:rPr>
              <w:t>QuickStats</w:t>
            </w:r>
            <w:proofErr w:type="spellEnd"/>
          </w:p>
        </w:tc>
        <w:tc>
          <w:tcPr>
            <w:tcW w:w="0" w:type="auto"/>
          </w:tcPr>
          <w:p w14:paraId="38B7F060" w14:textId="77777777" w:rsidR="005F1BE5" w:rsidRDefault="00000000">
            <w:pPr>
              <w:pStyle w:val="Compact"/>
            </w:pPr>
            <w:r>
              <w:t>U.S. agricultural statistics: crop acreage, yields, production, stocks; livestock inventory and production figures.</w:t>
            </w:r>
          </w:p>
        </w:tc>
        <w:tc>
          <w:tcPr>
            <w:tcW w:w="0" w:type="auto"/>
          </w:tcPr>
          <w:p w14:paraId="038D76D5" w14:textId="77777777" w:rsidR="005F1BE5" w:rsidRDefault="00000000">
            <w:pPr>
              <w:pStyle w:val="Compact"/>
            </w:pPr>
            <w:r>
              <w:rPr>
                <w:b/>
                <w:bCs/>
              </w:rPr>
              <w:t>REST API (JSON)</w:t>
            </w:r>
            <w:r>
              <w:t xml:space="preserve"> – </w:t>
            </w:r>
            <w:proofErr w:type="spellStart"/>
            <w:r>
              <w:t>QuickStats</w:t>
            </w:r>
            <w:proofErr w:type="spellEnd"/>
            <w:r>
              <w:t xml:space="preserve"> offers a query API for USDA NASS data. Requires a free API key (obtained from USDA). We can programmatically query by commodity, state, year, </w:t>
            </w:r>
            <w:proofErr w:type="gramStart"/>
            <w:r>
              <w:t>etc.</w:t>
            </w:r>
            <w:proofErr w:type="gramEnd"/>
            <w:r>
              <w:t xml:space="preserve">, to get data like annual corn yields, quarterly grain stocks, hog inventory, </w:t>
            </w:r>
            <w:proofErr w:type="gramStart"/>
            <w:r>
              <w:t>etc.</w:t>
            </w:r>
            <w:proofErr w:type="gramEnd"/>
            <w:r>
              <w:t xml:space="preserve"> This will </w:t>
            </w:r>
            <w:proofErr w:type="gramStart"/>
            <w:r>
              <w:t>be used</w:t>
            </w:r>
            <w:proofErr w:type="gramEnd"/>
            <w:r>
              <w:t xml:space="preserve"> to update fundamental indicators after each USDA report (e.g., </w:t>
            </w:r>
            <w:r>
              <w:lastRenderedPageBreak/>
              <w:t>monthly Crop Production, quarterly Grain Stocks).</w:t>
            </w:r>
          </w:p>
        </w:tc>
      </w:tr>
      <w:tr w:rsidR="005F1BE5" w14:paraId="0C6F46CC" w14:textId="77777777">
        <w:tc>
          <w:tcPr>
            <w:tcW w:w="0" w:type="auto"/>
          </w:tcPr>
          <w:p w14:paraId="5FCCDACC" w14:textId="77777777" w:rsidR="005F1BE5" w:rsidRPr="00B946EE" w:rsidRDefault="00000000">
            <w:pPr>
              <w:pStyle w:val="Compact"/>
              <w:rPr>
                <w:lang w:val="pt-BR"/>
              </w:rPr>
            </w:pPr>
            <w:r w:rsidRPr="00B946EE">
              <w:rPr>
                <w:b/>
                <w:bCs/>
                <w:lang w:val="pt-BR"/>
              </w:rPr>
              <w:lastRenderedPageBreak/>
              <w:t>USDA FAS Opendata (PSD &amp; WASDE)</w:t>
            </w:r>
          </w:p>
        </w:tc>
        <w:tc>
          <w:tcPr>
            <w:tcW w:w="0" w:type="auto"/>
          </w:tcPr>
          <w:p w14:paraId="50F29E8C" w14:textId="77777777" w:rsidR="005F1BE5" w:rsidRDefault="00000000">
            <w:pPr>
              <w:pStyle w:val="Compact"/>
            </w:pPr>
            <w:r>
              <w:t xml:space="preserve">Global supply/demand data from USDA Foreign Agricultural Service: </w:t>
            </w:r>
            <w:proofErr w:type="gramStart"/>
            <w:r>
              <w:t>e.g.</w:t>
            </w:r>
            <w:proofErr w:type="gramEnd"/>
            <w:r>
              <w:t xml:space="preserve"> Production, Supply and Distribution (PSD) database which includes World Agricultural Supply/Demand Estimate (WASDE) figures for grains, oilseeds, livestock, and dairy.</w:t>
            </w:r>
          </w:p>
        </w:tc>
        <w:tc>
          <w:tcPr>
            <w:tcW w:w="0" w:type="auto"/>
          </w:tcPr>
          <w:p w14:paraId="06B943EB" w14:textId="77777777" w:rsidR="005F1BE5" w:rsidRDefault="00000000">
            <w:pPr>
              <w:pStyle w:val="Compact"/>
            </w:pPr>
            <w:r>
              <w:rPr>
                <w:b/>
                <w:bCs/>
              </w:rPr>
              <w:t>REST API (JSON)</w:t>
            </w:r>
            <w:r>
              <w:t xml:space="preserve"> – USDA FAS has an open data API portal</w:t>
            </w:r>
            <w:hyperlink r:id="rId13" w:anchor=":~:text=USDA%27s%20Foreign%20Agricultural%20Service%20data,publicly%20available%20agricultural%20commodity%20data">
              <w:r w:rsidR="005F1BE5">
                <w:rPr>
                  <w:rStyle w:val="Hyperlink"/>
                </w:rPr>
                <w:t>[9]</w:t>
              </w:r>
            </w:hyperlink>
            <w:r>
              <w:t xml:space="preserve"> for accessing PSD data. It requires an API key (login to FAS portal to obtain). Using this, we can pull country-by-country and world totals for production, consumption, exports, stocks, </w:t>
            </w:r>
            <w:proofErr w:type="gramStart"/>
            <w:r>
              <w:t>etc.</w:t>
            </w:r>
            <w:proofErr w:type="gramEnd"/>
            <w:r>
              <w:t xml:space="preserve"> (e.g., world soybean ending stocks, China corn imports). If a direct WASDE report API </w:t>
            </w:r>
            <w:proofErr w:type="gramStart"/>
            <w:r>
              <w:t>isn’t</w:t>
            </w:r>
            <w:proofErr w:type="gramEnd"/>
            <w:r>
              <w:t xml:space="preserve"> available, </w:t>
            </w:r>
            <w:proofErr w:type="gramStart"/>
            <w:r>
              <w:t>we’ll</w:t>
            </w:r>
            <w:proofErr w:type="gramEnd"/>
            <w:r>
              <w:t xml:space="preserve"> retrieve the same data through PSD queries by commodity and marketing year. The API returns structured data which </w:t>
            </w:r>
            <w:proofErr w:type="gramStart"/>
            <w:r>
              <w:t>we’ll</w:t>
            </w:r>
            <w:proofErr w:type="gramEnd"/>
            <w:r>
              <w:t xml:space="preserve"> ingest monthly when WASDE </w:t>
            </w:r>
            <w:proofErr w:type="gramStart"/>
            <w:r>
              <w:t>is released</w:t>
            </w:r>
            <w:proofErr w:type="gramEnd"/>
            <w:r>
              <w:t>.</w:t>
            </w:r>
          </w:p>
        </w:tc>
      </w:tr>
      <w:tr w:rsidR="005F1BE5" w14:paraId="3FBEE636" w14:textId="77777777">
        <w:tc>
          <w:tcPr>
            <w:tcW w:w="0" w:type="auto"/>
          </w:tcPr>
          <w:p w14:paraId="23FBAAF8" w14:textId="77777777" w:rsidR="005F1BE5" w:rsidRDefault="00000000">
            <w:pPr>
              <w:pStyle w:val="Compact"/>
            </w:pPr>
            <w:r>
              <w:rPr>
                <w:b/>
                <w:bCs/>
              </w:rPr>
              <w:t>USDA Weekly Export Sales</w:t>
            </w:r>
          </w:p>
        </w:tc>
        <w:tc>
          <w:tcPr>
            <w:tcW w:w="0" w:type="auto"/>
          </w:tcPr>
          <w:p w14:paraId="08DAC20A" w14:textId="77777777" w:rsidR="005F1BE5" w:rsidRDefault="00000000">
            <w:pPr>
              <w:pStyle w:val="Compact"/>
            </w:pPr>
            <w:r>
              <w:t>Weekly U.S. export sales and shipments for grains, oilseeds, and cotton (reported by FAS) – a key high-frequency demand indicator.</w:t>
            </w:r>
          </w:p>
        </w:tc>
        <w:tc>
          <w:tcPr>
            <w:tcW w:w="0" w:type="auto"/>
          </w:tcPr>
          <w:p w14:paraId="4B52BA38" w14:textId="77777777" w:rsidR="005F1BE5" w:rsidRDefault="00000000">
            <w:pPr>
              <w:pStyle w:val="Compact"/>
            </w:pPr>
            <w:r>
              <w:rPr>
                <w:b/>
                <w:bCs/>
              </w:rPr>
              <w:t>No official API (CSV/Excel downloads)</w:t>
            </w:r>
            <w:r>
              <w:t xml:space="preserve"> – USDA/FAS posts weekly export sales reports (text and Excel). If FAS’s API does not cover this, we will download the weekly report file and parse it. Automation will involve fetching the report each Thursday from the FAS website and extracting data (</w:t>
            </w:r>
            <w:proofErr w:type="gramStart"/>
            <w:r>
              <w:t>e.g.</w:t>
            </w:r>
            <w:proofErr w:type="gramEnd"/>
            <w:r>
              <w:t xml:space="preserve"> corn sales to each country, outstanding sales, </w:t>
            </w:r>
            <w:proofErr w:type="gramStart"/>
            <w:r>
              <w:t>etc.</w:t>
            </w:r>
            <w:proofErr w:type="gramEnd"/>
            <w:r>
              <w:t xml:space="preserve">). We will </w:t>
            </w:r>
            <w:proofErr w:type="gramStart"/>
            <w:r>
              <w:t>monitor</w:t>
            </w:r>
            <w:proofErr w:type="gramEnd"/>
            <w:r>
              <w:t xml:space="preserve"> if the FAS </w:t>
            </w:r>
            <w:proofErr w:type="spellStart"/>
            <w:r>
              <w:t>Opendata</w:t>
            </w:r>
            <w:proofErr w:type="spellEnd"/>
            <w:r>
              <w:t xml:space="preserve"> API gets an endpoint for this.</w:t>
            </w:r>
          </w:p>
        </w:tc>
      </w:tr>
      <w:tr w:rsidR="005F1BE5" w14:paraId="12F6848F" w14:textId="77777777">
        <w:tc>
          <w:tcPr>
            <w:tcW w:w="0" w:type="auto"/>
          </w:tcPr>
          <w:p w14:paraId="199286BA" w14:textId="77777777" w:rsidR="005F1BE5" w:rsidRDefault="00000000">
            <w:pPr>
              <w:pStyle w:val="Compact"/>
            </w:pPr>
            <w:r>
              <w:rPr>
                <w:b/>
                <w:bCs/>
              </w:rPr>
              <w:t>USDA Crop Progress &amp; Condition</w:t>
            </w:r>
          </w:p>
        </w:tc>
        <w:tc>
          <w:tcPr>
            <w:tcW w:w="0" w:type="auto"/>
          </w:tcPr>
          <w:p w14:paraId="254750A2" w14:textId="77777777" w:rsidR="005F1BE5" w:rsidRDefault="00000000">
            <w:pPr>
              <w:pStyle w:val="Compact"/>
            </w:pPr>
            <w:r>
              <w:t>Weekly crop planting progress, crop condition ratings, and harvest progress (during growing seasons) for U.S. crops.</w:t>
            </w:r>
          </w:p>
        </w:tc>
        <w:tc>
          <w:tcPr>
            <w:tcW w:w="0" w:type="auto"/>
          </w:tcPr>
          <w:p w14:paraId="3BED2022" w14:textId="77777777" w:rsidR="005F1BE5" w:rsidRDefault="00000000">
            <w:pPr>
              <w:pStyle w:val="Compact"/>
            </w:pPr>
            <w:r>
              <w:rPr>
                <w:b/>
                <w:bCs/>
              </w:rPr>
              <w:t>No direct API (text/CSV via USDA)</w:t>
            </w:r>
            <w:r>
              <w:t xml:space="preserve"> – These weekly reports (from NASS) can </w:t>
            </w:r>
            <w:proofErr w:type="gramStart"/>
            <w:r>
              <w:t>be accessed</w:t>
            </w:r>
            <w:proofErr w:type="gramEnd"/>
            <w:r>
              <w:t xml:space="preserve"> via USDA’s web service or via a CSV download. NASS </w:t>
            </w:r>
            <w:proofErr w:type="spellStart"/>
            <w:r>
              <w:t>QuickStats</w:t>
            </w:r>
            <w:proofErr w:type="spellEnd"/>
            <w:r>
              <w:t xml:space="preserve"> may have </w:t>
            </w:r>
            <w:proofErr w:type="gramStart"/>
            <w:r>
              <w:t>these</w:t>
            </w:r>
            <w:proofErr w:type="gramEnd"/>
            <w:r>
              <w:t xml:space="preserve"> data by week and state as well. We plan to automate pulling the national summary each week (e.g., “Corn: 70% harvested, 5-year avg 65%; 60% in Good/Excellent condition”) either by scraping the </w:t>
            </w:r>
            <w:r>
              <w:lastRenderedPageBreak/>
              <w:t>report text or using any data file NASS provides.</w:t>
            </w:r>
          </w:p>
        </w:tc>
      </w:tr>
      <w:tr w:rsidR="005F1BE5" w14:paraId="10BA428C" w14:textId="77777777">
        <w:tc>
          <w:tcPr>
            <w:tcW w:w="0" w:type="auto"/>
          </w:tcPr>
          <w:p w14:paraId="16480B03" w14:textId="77777777" w:rsidR="005F1BE5" w:rsidRDefault="00000000">
            <w:pPr>
              <w:pStyle w:val="Compact"/>
            </w:pPr>
            <w:r>
              <w:rPr>
                <w:b/>
                <w:bCs/>
              </w:rPr>
              <w:lastRenderedPageBreak/>
              <w:t>US Census Bureau Trade API</w:t>
            </w:r>
          </w:p>
        </w:tc>
        <w:tc>
          <w:tcPr>
            <w:tcW w:w="0" w:type="auto"/>
          </w:tcPr>
          <w:p w14:paraId="64DB3A3E" w14:textId="77777777" w:rsidR="005F1BE5" w:rsidRDefault="00000000">
            <w:pPr>
              <w:pStyle w:val="Compact"/>
            </w:pPr>
            <w:r>
              <w:t>U.S. international trade data – monthly imports and exports by commodity (HS codes) and country. Useful for tracking export demand (e.g., corn exports to Mexico, soybean exports to China).</w:t>
            </w:r>
          </w:p>
        </w:tc>
        <w:tc>
          <w:tcPr>
            <w:tcW w:w="0" w:type="auto"/>
          </w:tcPr>
          <w:p w14:paraId="495659A7" w14:textId="77777777" w:rsidR="005F1BE5" w:rsidRDefault="00000000">
            <w:pPr>
              <w:pStyle w:val="Compact"/>
            </w:pPr>
            <w:r>
              <w:rPr>
                <w:b/>
                <w:bCs/>
              </w:rPr>
              <w:t>REST API (JSON)</w:t>
            </w:r>
            <w:r>
              <w:t xml:space="preserve"> – The Census Bureau provides an API for trade data</w:t>
            </w:r>
            <w:hyperlink r:id="rId14" w:anchor="L36-L44">
              <w:r w:rsidR="005F1BE5">
                <w:rPr>
                  <w:rStyle w:val="Hyperlink"/>
                </w:rPr>
                <w:t>[10]</w:t>
              </w:r>
            </w:hyperlink>
            <w:r>
              <w:t xml:space="preserve">. A free API key is </w:t>
            </w:r>
            <w:proofErr w:type="gramStart"/>
            <w:r>
              <w:t>required</w:t>
            </w:r>
            <w:proofErr w:type="gramEnd"/>
            <w:r>
              <w:t xml:space="preserve">. We will use endpoints like the </w:t>
            </w:r>
            <w:r>
              <w:rPr>
                <w:i/>
                <w:iCs/>
              </w:rPr>
              <w:t>“</w:t>
            </w:r>
            <w:proofErr w:type="spellStart"/>
            <w:r>
              <w:rPr>
                <w:i/>
                <w:iCs/>
              </w:rPr>
              <w:t>intltrade</w:t>
            </w:r>
            <w:proofErr w:type="spellEnd"/>
            <w:r>
              <w:rPr>
                <w:i/>
                <w:iCs/>
              </w:rPr>
              <w:t>/exports/</w:t>
            </w:r>
            <w:proofErr w:type="spellStart"/>
            <w:r>
              <w:rPr>
                <w:i/>
                <w:iCs/>
              </w:rPr>
              <w:t>hs</w:t>
            </w:r>
            <w:proofErr w:type="spellEnd"/>
            <w:r>
              <w:rPr>
                <w:i/>
                <w:iCs/>
              </w:rPr>
              <w:t>”</w:t>
            </w:r>
            <w:r>
              <w:t xml:space="preserve"> time series, specifying HS codes for commodities (we have a list of codes for key commodities)</w:t>
            </w:r>
            <w:hyperlink r:id="rId15" w:anchor="L40-L48">
              <w:r w:rsidR="005F1BE5">
                <w:rPr>
                  <w:rStyle w:val="Hyperlink"/>
                </w:rPr>
                <w:t>[11]</w:t>
              </w:r>
            </w:hyperlink>
            <w:r>
              <w:t>. The agent will pull data monthly (or year-to-date summaries) to update export/import figures. This covers U.S. trade; for global trade flows beyond U.S., see GTT below.</w:t>
            </w:r>
          </w:p>
        </w:tc>
      </w:tr>
      <w:tr w:rsidR="005F1BE5" w14:paraId="5673AE09" w14:textId="77777777">
        <w:tc>
          <w:tcPr>
            <w:tcW w:w="0" w:type="auto"/>
          </w:tcPr>
          <w:p w14:paraId="5497B765" w14:textId="77777777" w:rsidR="005F1BE5" w:rsidRDefault="00000000">
            <w:pPr>
              <w:pStyle w:val="Compact"/>
            </w:pPr>
            <w:r>
              <w:rPr>
                <w:b/>
                <w:bCs/>
              </w:rPr>
              <w:t>Global Trade Tracker (GTT)</w:t>
            </w:r>
          </w:p>
        </w:tc>
        <w:tc>
          <w:tcPr>
            <w:tcW w:w="0" w:type="auto"/>
          </w:tcPr>
          <w:p w14:paraId="5B6382EB" w14:textId="77777777" w:rsidR="005F1BE5" w:rsidRDefault="00000000">
            <w:pPr>
              <w:pStyle w:val="Compact"/>
            </w:pPr>
            <w:r>
              <w:t>Worldwide trade flows for commodities – detailed import/export data for all countries (potential future data source for global market analysis).</w:t>
            </w:r>
          </w:p>
        </w:tc>
        <w:tc>
          <w:tcPr>
            <w:tcW w:w="0" w:type="auto"/>
          </w:tcPr>
          <w:p w14:paraId="13A25A6C" w14:textId="77777777" w:rsidR="005F1BE5" w:rsidRDefault="00000000">
            <w:pPr>
              <w:pStyle w:val="Compact"/>
            </w:pPr>
            <w:r>
              <w:rPr>
                <w:b/>
                <w:bCs/>
              </w:rPr>
              <w:t>Subscription Data Service</w:t>
            </w:r>
            <w:r>
              <w:t xml:space="preserve"> – GTT is a paid database; if we </w:t>
            </w:r>
            <w:proofErr w:type="gramStart"/>
            <w:r>
              <w:t>acquire</w:t>
            </w:r>
            <w:proofErr w:type="gramEnd"/>
            <w:r>
              <w:t xml:space="preserve"> access, it </w:t>
            </w:r>
            <w:proofErr w:type="gramStart"/>
            <w:r>
              <w:t>likely offers</w:t>
            </w:r>
            <w:proofErr w:type="gramEnd"/>
            <w:r>
              <w:t xml:space="preserve"> an API or bulk data downloads. We would need credentials from the provider. This would allow our system to automatically retrieve global trade statistics (e.g., soybean imports by China from all origins, or palm oil exports by Malaysia) </w:t>
            </w:r>
            <w:proofErr w:type="gramStart"/>
            <w:r>
              <w:t>on a monthly basis</w:t>
            </w:r>
            <w:proofErr w:type="gramEnd"/>
            <w:r>
              <w:t xml:space="preserve">. If no API </w:t>
            </w:r>
            <w:proofErr w:type="gramStart"/>
            <w:r>
              <w:t>is provided</w:t>
            </w:r>
            <w:proofErr w:type="gramEnd"/>
            <w:r>
              <w:t xml:space="preserve">, we might receive data files (CSV/Excel) which our pipeline can </w:t>
            </w:r>
            <w:proofErr w:type="gramStart"/>
            <w:r>
              <w:t>be designed</w:t>
            </w:r>
            <w:proofErr w:type="gramEnd"/>
            <w:r>
              <w:t xml:space="preserve"> to ingest on schedule.</w:t>
            </w:r>
          </w:p>
        </w:tc>
      </w:tr>
      <w:tr w:rsidR="005F1BE5" w14:paraId="77A24C00" w14:textId="77777777">
        <w:tc>
          <w:tcPr>
            <w:tcW w:w="0" w:type="auto"/>
          </w:tcPr>
          <w:p w14:paraId="2EE87014" w14:textId="77777777" w:rsidR="005F1BE5" w:rsidRDefault="00000000">
            <w:pPr>
              <w:pStyle w:val="Compact"/>
            </w:pPr>
            <w:r>
              <w:rPr>
                <w:b/>
                <w:bCs/>
              </w:rPr>
              <w:t>US EIA (Energy Information Administration) API</w:t>
            </w:r>
          </w:p>
        </w:tc>
        <w:tc>
          <w:tcPr>
            <w:tcW w:w="0" w:type="auto"/>
          </w:tcPr>
          <w:p w14:paraId="26207CD1" w14:textId="77777777" w:rsidR="005F1BE5" w:rsidRDefault="00000000">
            <w:pPr>
              <w:pStyle w:val="Compact"/>
            </w:pPr>
            <w:r>
              <w:t>U.S. energy data, particularly biofuel-related: weekly ethanol production, stocks, and wholesale prices; biodiesel production (monthly); also related series like gasoline demand, crude oil prices (for context).</w:t>
            </w:r>
          </w:p>
        </w:tc>
        <w:tc>
          <w:tcPr>
            <w:tcW w:w="0" w:type="auto"/>
          </w:tcPr>
          <w:p w14:paraId="476137B1" w14:textId="77777777" w:rsidR="005F1BE5" w:rsidRDefault="00000000">
            <w:pPr>
              <w:pStyle w:val="Compact"/>
            </w:pPr>
            <w:r>
              <w:rPr>
                <w:b/>
                <w:bCs/>
              </w:rPr>
              <w:t>REST API (JSON)</w:t>
            </w:r>
            <w:r>
              <w:t xml:space="preserve"> – EIA offers a public API for tons of energy data. We will obtain a free API key from EIA. Using series IDs, the agent will fetch data such as the weekly fuel ethanol production (barrels per day), ethanol ending stocks, </w:t>
            </w:r>
            <w:proofErr w:type="gramStart"/>
            <w:r>
              <w:t>etc.</w:t>
            </w:r>
            <w:proofErr w:type="gramEnd"/>
            <w:r>
              <w:t xml:space="preserve">, as well as monthly biodiesel output. This will </w:t>
            </w:r>
            <w:proofErr w:type="gramStart"/>
            <w:r>
              <w:t>be scheduled</w:t>
            </w:r>
            <w:proofErr w:type="gramEnd"/>
            <w:r>
              <w:t xml:space="preserve"> (e.g., every Wednesday for the weekly ethanol report). The data comes in JSON and will be parsed into our database</w:t>
            </w:r>
            <w:hyperlink r:id="rId16">
              <w:r w:rsidR="005F1BE5">
                <w:rPr>
                  <w:rStyle w:val="Hyperlink"/>
                </w:rPr>
                <w:t>[4]</w:t>
              </w:r>
            </w:hyperlink>
            <w:r>
              <w:t xml:space="preserve">. (We may also use EIA </w:t>
            </w:r>
            <w:r>
              <w:lastRenderedPageBreak/>
              <w:t>for broader energy prices that affect biofuels, like crude oil or natural gas, via the same API.)</w:t>
            </w:r>
          </w:p>
        </w:tc>
      </w:tr>
      <w:tr w:rsidR="005F1BE5" w14:paraId="3A22428D" w14:textId="77777777">
        <w:tc>
          <w:tcPr>
            <w:tcW w:w="0" w:type="auto"/>
          </w:tcPr>
          <w:p w14:paraId="284A9FE0" w14:textId="77777777" w:rsidR="005F1BE5" w:rsidRDefault="00000000">
            <w:pPr>
              <w:pStyle w:val="Compact"/>
            </w:pPr>
            <w:r>
              <w:rPr>
                <w:b/>
                <w:bCs/>
              </w:rPr>
              <w:lastRenderedPageBreak/>
              <w:t>US EPA Renewable Fuel (RFS) Data</w:t>
            </w:r>
          </w:p>
        </w:tc>
        <w:tc>
          <w:tcPr>
            <w:tcW w:w="0" w:type="auto"/>
          </w:tcPr>
          <w:p w14:paraId="51E4223A" w14:textId="77777777" w:rsidR="005F1BE5" w:rsidRDefault="00000000">
            <w:pPr>
              <w:pStyle w:val="Compact"/>
            </w:pPr>
            <w:r>
              <w:t xml:space="preserve">Data on renewable fuel volume obligations and credits in the US (RINs – Renewable Identification Numbers – generation and usage). This </w:t>
            </w:r>
            <w:proofErr w:type="gramStart"/>
            <w:r>
              <w:t>indicates</w:t>
            </w:r>
            <w:proofErr w:type="gramEnd"/>
            <w:r>
              <w:t xml:space="preserve"> biodiesel/renewable diesel usage and compliance.</w:t>
            </w:r>
          </w:p>
        </w:tc>
        <w:tc>
          <w:tcPr>
            <w:tcW w:w="0" w:type="auto"/>
          </w:tcPr>
          <w:p w14:paraId="3801DA58" w14:textId="77777777" w:rsidR="005F1BE5" w:rsidRDefault="00000000">
            <w:pPr>
              <w:pStyle w:val="Compact"/>
            </w:pPr>
            <w:r>
              <w:rPr>
                <w:b/>
                <w:bCs/>
              </w:rPr>
              <w:t>No easy API (manual data access)</w:t>
            </w:r>
            <w:r>
              <w:t xml:space="preserve"> – The EPA’s EMTS system publishes aggregated RIN generation and usage figures, but not through a simple API. Typically, EPA releases monthly or quarterly RFS reports. Our approach: regularly check EPA’s website or press releases for updates on D4 RIN (biodiesel/renewable diesel) generation, </w:t>
            </w:r>
            <w:proofErr w:type="gramStart"/>
            <w:r>
              <w:t>etc.</w:t>
            </w:r>
            <w:proofErr w:type="gramEnd"/>
            <w:r>
              <w:t xml:space="preserve"> If data is in PDF/Excel, an agent can extract the numbers. This is a more manual integration that </w:t>
            </w:r>
            <w:proofErr w:type="gramStart"/>
            <w:r>
              <w:t>we’d</w:t>
            </w:r>
            <w:proofErr w:type="gramEnd"/>
            <w:r>
              <w:t xml:space="preserve"> schedule </w:t>
            </w:r>
            <w:proofErr w:type="gramStart"/>
            <w:r>
              <w:t>perhaps monthly</w:t>
            </w:r>
            <w:proofErr w:type="gramEnd"/>
            <w:r>
              <w:t>.</w:t>
            </w:r>
          </w:p>
        </w:tc>
      </w:tr>
      <w:tr w:rsidR="005F1BE5" w14:paraId="7A4322E6" w14:textId="77777777">
        <w:tc>
          <w:tcPr>
            <w:tcW w:w="0" w:type="auto"/>
          </w:tcPr>
          <w:p w14:paraId="4F5FFA3B" w14:textId="77777777" w:rsidR="005F1BE5" w:rsidRDefault="00000000">
            <w:pPr>
              <w:pStyle w:val="Compact"/>
            </w:pPr>
            <w:r>
              <w:rPr>
                <w:b/>
                <w:bCs/>
              </w:rPr>
              <w:t>California LCFS (Low Carbon Fuel Standard)</w:t>
            </w:r>
          </w:p>
        </w:tc>
        <w:tc>
          <w:tcPr>
            <w:tcW w:w="0" w:type="auto"/>
          </w:tcPr>
          <w:p w14:paraId="300F8F90" w14:textId="77777777" w:rsidR="005F1BE5" w:rsidRDefault="00000000">
            <w:pPr>
              <w:pStyle w:val="Compact"/>
            </w:pPr>
            <w:r>
              <w:t xml:space="preserve">California’s credit trading data for low-carbon fuels – credit prices and volumes, which reflect usage of renewable diesel, electricity, </w:t>
            </w:r>
            <w:proofErr w:type="gramStart"/>
            <w:r>
              <w:t>etc.</w:t>
            </w:r>
            <w:proofErr w:type="gramEnd"/>
            <w:r>
              <w:t xml:space="preserve"> (Indicator of West Coast biofuel market dynamics).</w:t>
            </w:r>
          </w:p>
        </w:tc>
        <w:tc>
          <w:tcPr>
            <w:tcW w:w="0" w:type="auto"/>
          </w:tcPr>
          <w:p w14:paraId="600350E4" w14:textId="77777777" w:rsidR="005F1BE5" w:rsidRDefault="00000000">
            <w:pPr>
              <w:pStyle w:val="Compact"/>
            </w:pPr>
            <w:r>
              <w:rPr>
                <w:b/>
                <w:bCs/>
              </w:rPr>
              <w:t>No public API</w:t>
            </w:r>
            <w:r>
              <w:t xml:space="preserve"> – The California Air Resources Board (CARB) posts LCFS market data (average credit price, total credits traded, deficits, </w:t>
            </w:r>
            <w:proofErr w:type="gramStart"/>
            <w:r>
              <w:t>etc.</w:t>
            </w:r>
            <w:proofErr w:type="gramEnd"/>
            <w:r>
              <w:t xml:space="preserve">) periodically (quarterly summaries and weekly credit price ranges). These come as reports or spreadsheets on CARB’s site. We plan to automate downloading these reports when released. The ingestion would involve parsing the relevant figures (e.g., average credit price per </w:t>
            </w:r>
            <w:proofErr w:type="gramStart"/>
            <w:r>
              <w:t>ton</w:t>
            </w:r>
            <w:proofErr w:type="gramEnd"/>
            <w:r>
              <w:t xml:space="preserve"> CO2). This gives us insight into the economics of renewable diesel/SAF in California’s market.</w:t>
            </w:r>
          </w:p>
        </w:tc>
      </w:tr>
      <w:tr w:rsidR="005F1BE5" w14:paraId="4CABB35C" w14:textId="77777777">
        <w:tc>
          <w:tcPr>
            <w:tcW w:w="0" w:type="auto"/>
          </w:tcPr>
          <w:p w14:paraId="7C9EDD38" w14:textId="77777777" w:rsidR="005F1BE5" w:rsidRDefault="00000000">
            <w:pPr>
              <w:pStyle w:val="Compact"/>
            </w:pPr>
            <w:r>
              <w:rPr>
                <w:b/>
                <w:bCs/>
              </w:rPr>
              <w:t>NOPA Crush Report</w:t>
            </w:r>
          </w:p>
        </w:tc>
        <w:tc>
          <w:tcPr>
            <w:tcW w:w="0" w:type="auto"/>
          </w:tcPr>
          <w:p w14:paraId="75999D5C" w14:textId="77777777" w:rsidR="005F1BE5" w:rsidRDefault="00000000">
            <w:pPr>
              <w:pStyle w:val="Compact"/>
            </w:pPr>
            <w:r>
              <w:t>Monthly U.S. soybean crushing statistics from the National Oilseed Processors Association – soybean crush volume and soy oil stocks among NOPA member firms.</w:t>
            </w:r>
          </w:p>
        </w:tc>
        <w:tc>
          <w:tcPr>
            <w:tcW w:w="0" w:type="auto"/>
          </w:tcPr>
          <w:p w14:paraId="2136C18B" w14:textId="77777777" w:rsidR="005F1BE5" w:rsidRDefault="00000000">
            <w:pPr>
              <w:pStyle w:val="Compact"/>
            </w:pPr>
            <w:r>
              <w:rPr>
                <w:b/>
                <w:bCs/>
              </w:rPr>
              <w:t>No API (industry report)</w:t>
            </w:r>
            <w:r>
              <w:t xml:space="preserve"> – NOPA publishes a monthly figure (usually mid-month) via press release/news. </w:t>
            </w:r>
            <w:proofErr w:type="gramStart"/>
            <w:r>
              <w:t>There’s</w:t>
            </w:r>
            <w:proofErr w:type="gramEnd"/>
            <w:r>
              <w:t xml:space="preserve"> no API; data is available to members first, then media. We will integrate this by capturing the number from news reports each month (the agent can scrape a </w:t>
            </w:r>
            <w:r>
              <w:lastRenderedPageBreak/>
              <w:t xml:space="preserve">trusted news source or NOPA’s site after release). The data (e.g., “X million bushels crushed in September”) will </w:t>
            </w:r>
            <w:proofErr w:type="gramStart"/>
            <w:r>
              <w:t>be input</w:t>
            </w:r>
            <w:proofErr w:type="gramEnd"/>
            <w:r>
              <w:t xml:space="preserve"> into our database to update soy fundamentals.</w:t>
            </w:r>
          </w:p>
        </w:tc>
      </w:tr>
      <w:tr w:rsidR="005F1BE5" w14:paraId="341A93B4" w14:textId="77777777">
        <w:tc>
          <w:tcPr>
            <w:tcW w:w="0" w:type="auto"/>
          </w:tcPr>
          <w:p w14:paraId="720C9D4C" w14:textId="77777777" w:rsidR="005F1BE5" w:rsidRDefault="00000000">
            <w:pPr>
              <w:pStyle w:val="Compact"/>
            </w:pPr>
            <w:r>
              <w:rPr>
                <w:b/>
                <w:bCs/>
              </w:rPr>
              <w:lastRenderedPageBreak/>
              <w:t>UNICA (Brazil Sugarcane Industry Association)</w:t>
            </w:r>
          </w:p>
        </w:tc>
        <w:tc>
          <w:tcPr>
            <w:tcW w:w="0" w:type="auto"/>
          </w:tcPr>
          <w:p w14:paraId="68FB5462" w14:textId="77777777" w:rsidR="005F1BE5" w:rsidRDefault="00000000">
            <w:pPr>
              <w:pStyle w:val="Compact"/>
            </w:pPr>
            <w:r>
              <w:t>Biweekly sugarcane harvest report – sugar production, ethanol production, cane crushed in Brazil’s Center-South region. Indicates ethanol supply from Brazil.</w:t>
            </w:r>
          </w:p>
        </w:tc>
        <w:tc>
          <w:tcPr>
            <w:tcW w:w="0" w:type="auto"/>
          </w:tcPr>
          <w:p w14:paraId="0CE12379" w14:textId="77777777" w:rsidR="005F1BE5" w:rsidRDefault="00000000">
            <w:pPr>
              <w:pStyle w:val="Compact"/>
            </w:pPr>
            <w:r>
              <w:rPr>
                <w:b/>
                <w:bCs/>
              </w:rPr>
              <w:t>No API (PDF reports)</w:t>
            </w:r>
            <w:r>
              <w:t xml:space="preserve"> – UNICA issues </w:t>
            </w:r>
            <w:proofErr w:type="gramStart"/>
            <w:r>
              <w:t>reports</w:t>
            </w:r>
            <w:proofErr w:type="gramEnd"/>
            <w:r>
              <w:t xml:space="preserve"> every two weeks during harvest season on their website (often PDF or HTML press release). Our plan is to have an agent check for new reports and parse key data points (tons of cane crushed, sugar and ethanol output, ethanol export volumes, </w:t>
            </w:r>
            <w:proofErr w:type="gramStart"/>
            <w:r>
              <w:t>etc.</w:t>
            </w:r>
            <w:proofErr w:type="gramEnd"/>
            <w:r>
              <w:t>). This keeps our fundamental data global – especially important for world sugar/ethanol balance.</w:t>
            </w:r>
          </w:p>
        </w:tc>
      </w:tr>
      <w:tr w:rsidR="005F1BE5" w14:paraId="08D8F8DB" w14:textId="77777777">
        <w:tc>
          <w:tcPr>
            <w:tcW w:w="0" w:type="auto"/>
          </w:tcPr>
          <w:p w14:paraId="7AA12373" w14:textId="77777777" w:rsidR="005F1BE5" w:rsidRDefault="00000000">
            <w:pPr>
              <w:pStyle w:val="Compact"/>
            </w:pPr>
            <w:r>
              <w:rPr>
                <w:b/>
                <w:bCs/>
              </w:rPr>
              <w:t>CONAB (Brazil’s National Supply Company)</w:t>
            </w:r>
          </w:p>
        </w:tc>
        <w:tc>
          <w:tcPr>
            <w:tcW w:w="0" w:type="auto"/>
          </w:tcPr>
          <w:p w14:paraId="12D9E26C" w14:textId="77777777" w:rsidR="005F1BE5" w:rsidRDefault="00000000">
            <w:pPr>
              <w:pStyle w:val="Compact"/>
            </w:pPr>
            <w:r>
              <w:t xml:space="preserve">Brazilian crop forecasts and estimates – monthly updates on production, yield, area for soybeans, corn, </w:t>
            </w:r>
            <w:proofErr w:type="gramStart"/>
            <w:r>
              <w:t>etc.</w:t>
            </w:r>
            <w:proofErr w:type="gramEnd"/>
            <w:r>
              <w:t>, plus stocks and export forecasts.</w:t>
            </w:r>
          </w:p>
        </w:tc>
        <w:tc>
          <w:tcPr>
            <w:tcW w:w="0" w:type="auto"/>
          </w:tcPr>
          <w:p w14:paraId="4BD01596" w14:textId="77777777" w:rsidR="005F1BE5" w:rsidRDefault="00000000">
            <w:pPr>
              <w:pStyle w:val="Compact"/>
            </w:pPr>
            <w:r>
              <w:rPr>
                <w:b/>
                <w:bCs/>
              </w:rPr>
              <w:t>No API (reports/website)</w:t>
            </w:r>
            <w:r>
              <w:t xml:space="preserve"> – CONAB releases a monthly report (in Portuguese, with tables in PDF/Excel) on crop prospects. We will retrieve these reports and extract the data (e.g., CONAB’s latest soybean production estimate for Brazil). This can be semi-automated using PDF parsing or by leveraging any data portal CONAB might have (if an English or CSV version exists). The agent will update our database with each new forecast release.</w:t>
            </w:r>
          </w:p>
        </w:tc>
      </w:tr>
      <w:tr w:rsidR="005F1BE5" w14:paraId="28D15670" w14:textId="77777777">
        <w:tc>
          <w:tcPr>
            <w:tcW w:w="0" w:type="auto"/>
          </w:tcPr>
          <w:p w14:paraId="06CFA97A" w14:textId="77777777" w:rsidR="005F1BE5" w:rsidRDefault="00000000">
            <w:pPr>
              <w:pStyle w:val="Compact"/>
            </w:pPr>
            <w:r>
              <w:rPr>
                <w:b/>
                <w:bCs/>
              </w:rPr>
              <w:t>ANP (Brazil National Petroleum Agency)</w:t>
            </w:r>
          </w:p>
        </w:tc>
        <w:tc>
          <w:tcPr>
            <w:tcW w:w="0" w:type="auto"/>
          </w:tcPr>
          <w:p w14:paraId="67A55E79" w14:textId="77777777" w:rsidR="005F1BE5" w:rsidRDefault="00000000">
            <w:pPr>
              <w:pStyle w:val="Compact"/>
            </w:pPr>
            <w:r>
              <w:t xml:space="preserve">Brazilian fuel production and consumption – particularly ethanol and biodiesel volumes produced, and </w:t>
            </w:r>
            <w:proofErr w:type="gramStart"/>
            <w:r>
              <w:t>possibly usage</w:t>
            </w:r>
            <w:proofErr w:type="gramEnd"/>
            <w:r>
              <w:t xml:space="preserve"> data. Complements UNICA by covering all of Brazil and other biofuels.</w:t>
            </w:r>
          </w:p>
        </w:tc>
        <w:tc>
          <w:tcPr>
            <w:tcW w:w="0" w:type="auto"/>
          </w:tcPr>
          <w:p w14:paraId="4E2627CA" w14:textId="77777777" w:rsidR="005F1BE5" w:rsidRDefault="00000000">
            <w:pPr>
              <w:pStyle w:val="Compact"/>
            </w:pPr>
            <w:r>
              <w:rPr>
                <w:b/>
                <w:bCs/>
              </w:rPr>
              <w:t>No easily accessible API</w:t>
            </w:r>
            <w:r>
              <w:t xml:space="preserve"> – ANP provides data via an online portal or reports (sometimes Excel files for production/consumption by month). </w:t>
            </w:r>
            <w:proofErr w:type="gramStart"/>
            <w:r>
              <w:t>We’ll</w:t>
            </w:r>
            <w:proofErr w:type="gramEnd"/>
            <w:r>
              <w:t xml:space="preserve"> aim to download their published datasets on a regular schedule (monthly). If they offer an open data portal, </w:t>
            </w:r>
            <w:proofErr w:type="gramStart"/>
            <w:r>
              <w:t>we’ll</w:t>
            </w:r>
            <w:proofErr w:type="gramEnd"/>
            <w:r>
              <w:t xml:space="preserve"> script API calls; otherwise, we use a scraping/downloading approach for </w:t>
            </w:r>
            <w:r>
              <w:lastRenderedPageBreak/>
              <w:t>their posted spreadsheets on fuel volumes.</w:t>
            </w:r>
          </w:p>
        </w:tc>
      </w:tr>
      <w:tr w:rsidR="005F1BE5" w14:paraId="1C180E63" w14:textId="77777777">
        <w:tc>
          <w:tcPr>
            <w:tcW w:w="0" w:type="auto"/>
          </w:tcPr>
          <w:p w14:paraId="01EDC94E" w14:textId="77777777" w:rsidR="005F1BE5" w:rsidRDefault="00000000">
            <w:pPr>
              <w:pStyle w:val="Compact"/>
            </w:pPr>
            <w:r>
              <w:rPr>
                <w:b/>
                <w:bCs/>
              </w:rPr>
              <w:lastRenderedPageBreak/>
              <w:t>Malaysian Palm Oil Board (MPOB)</w:t>
            </w:r>
          </w:p>
        </w:tc>
        <w:tc>
          <w:tcPr>
            <w:tcW w:w="0" w:type="auto"/>
          </w:tcPr>
          <w:p w14:paraId="1A5054CF" w14:textId="77777777" w:rsidR="005F1BE5" w:rsidRDefault="00000000">
            <w:pPr>
              <w:pStyle w:val="Compact"/>
            </w:pPr>
            <w:r>
              <w:t xml:space="preserve">Malaysia’s palm oil statistics – monthly production, end stocks, exports, </w:t>
            </w:r>
            <w:proofErr w:type="gramStart"/>
            <w:r>
              <w:t>etc.</w:t>
            </w:r>
            <w:proofErr w:type="gramEnd"/>
            <w:r>
              <w:t>, which are critical for world vegetable oil supply.</w:t>
            </w:r>
          </w:p>
        </w:tc>
        <w:tc>
          <w:tcPr>
            <w:tcW w:w="0" w:type="auto"/>
          </w:tcPr>
          <w:p w14:paraId="16D247C5" w14:textId="77777777" w:rsidR="005F1BE5" w:rsidRDefault="00000000">
            <w:pPr>
              <w:pStyle w:val="Compact"/>
            </w:pPr>
            <w:r>
              <w:rPr>
                <w:b/>
                <w:bCs/>
              </w:rPr>
              <w:t>No API (website bulletin)</w:t>
            </w:r>
            <w:r>
              <w:t xml:space="preserve"> – MPOB publishes monthly palm oil stats on their website (usually as a bulletin or PDF). The agent will retrieve the latest report each month and parse out figures like production, exports, and stock levels. We can either parse the PDF or see if MPOB provides data in a CSV. This ensures we cover palm oil (a major veg oil) in our fundamental analysis.</w:t>
            </w:r>
          </w:p>
        </w:tc>
      </w:tr>
      <w:tr w:rsidR="005F1BE5" w14:paraId="5B242199" w14:textId="77777777">
        <w:tc>
          <w:tcPr>
            <w:tcW w:w="0" w:type="auto"/>
          </w:tcPr>
          <w:p w14:paraId="61EC99D2" w14:textId="77777777" w:rsidR="005F1BE5" w:rsidRDefault="00000000">
            <w:pPr>
              <w:pStyle w:val="Compact"/>
            </w:pPr>
            <w:r>
              <w:rPr>
                <w:b/>
                <w:bCs/>
              </w:rPr>
              <w:t>Statistics Canada</w:t>
            </w:r>
          </w:p>
        </w:tc>
        <w:tc>
          <w:tcPr>
            <w:tcW w:w="0" w:type="auto"/>
          </w:tcPr>
          <w:p w14:paraId="4CD5ED6C" w14:textId="77777777" w:rsidR="005F1BE5" w:rsidRDefault="00000000">
            <w:pPr>
              <w:pStyle w:val="Compact"/>
            </w:pPr>
            <w:r>
              <w:t xml:space="preserve">Canadian crop data – production, stocks, acreage for canola, wheat, </w:t>
            </w:r>
            <w:proofErr w:type="gramStart"/>
            <w:r>
              <w:t>etc.</w:t>
            </w:r>
            <w:proofErr w:type="gramEnd"/>
            <w:r>
              <w:t>, and possibly crop trade.</w:t>
            </w:r>
          </w:p>
        </w:tc>
        <w:tc>
          <w:tcPr>
            <w:tcW w:w="0" w:type="auto"/>
          </w:tcPr>
          <w:p w14:paraId="460223CC" w14:textId="77777777" w:rsidR="005F1BE5" w:rsidRDefault="00000000">
            <w:pPr>
              <w:pStyle w:val="Compact"/>
            </w:pPr>
            <w:r>
              <w:rPr>
                <w:b/>
                <w:bCs/>
              </w:rPr>
              <w:t>REST API / CSV</w:t>
            </w:r>
            <w:r>
              <w:t xml:space="preserve"> – StatsCan has an open data API for </w:t>
            </w:r>
            <w:proofErr w:type="gramStart"/>
            <w:r>
              <w:t>many</w:t>
            </w:r>
            <w:proofErr w:type="gramEnd"/>
            <w:r>
              <w:t xml:space="preserve"> of their datasets (with JSON/CSV responses). We would </w:t>
            </w:r>
            <w:proofErr w:type="gramStart"/>
            <w:r>
              <w:t>identify</w:t>
            </w:r>
            <w:proofErr w:type="gramEnd"/>
            <w:r>
              <w:t xml:space="preserve"> the relevant table IDs (for crop production, quarterly grain stocks, </w:t>
            </w:r>
            <w:proofErr w:type="gramStart"/>
            <w:r>
              <w:t>etc.</w:t>
            </w:r>
            <w:proofErr w:type="gramEnd"/>
            <w:r>
              <w:t xml:space="preserve">) and use their API (no auth required for most data) to pull updates after each report. Alternatively, StatsCan data can </w:t>
            </w:r>
            <w:proofErr w:type="gramStart"/>
            <w:r>
              <w:t>be downloaded</w:t>
            </w:r>
            <w:proofErr w:type="gramEnd"/>
            <w:r>
              <w:t xml:space="preserve"> as CSV from their site. This covers Canadian fundamentals (important given Canada’s key role in canola and spring wheat).</w:t>
            </w:r>
          </w:p>
        </w:tc>
      </w:tr>
      <w:tr w:rsidR="005F1BE5" w14:paraId="3B757771" w14:textId="77777777">
        <w:tc>
          <w:tcPr>
            <w:tcW w:w="0" w:type="auto"/>
          </w:tcPr>
          <w:p w14:paraId="1429D848" w14:textId="77777777" w:rsidR="005F1BE5" w:rsidRDefault="00000000">
            <w:pPr>
              <w:pStyle w:val="Compact"/>
            </w:pPr>
            <w:r>
              <w:rPr>
                <w:b/>
                <w:bCs/>
              </w:rPr>
              <w:t>Fertilizer Price Indexes</w:t>
            </w:r>
          </w:p>
        </w:tc>
        <w:tc>
          <w:tcPr>
            <w:tcW w:w="0" w:type="auto"/>
          </w:tcPr>
          <w:p w14:paraId="245AF2A3" w14:textId="77777777" w:rsidR="005F1BE5" w:rsidRDefault="00000000">
            <w:pPr>
              <w:pStyle w:val="Compact"/>
            </w:pPr>
            <w:r>
              <w:t xml:space="preserve">Fertilizer and input prices – </w:t>
            </w:r>
            <w:proofErr w:type="gramStart"/>
            <w:r>
              <w:t>e.g.</w:t>
            </w:r>
            <w:proofErr w:type="gramEnd"/>
            <w:r>
              <w:t xml:space="preserve"> ammonia, urea, DAP, potash prices which affect crop production costs.</w:t>
            </w:r>
          </w:p>
        </w:tc>
        <w:tc>
          <w:tcPr>
            <w:tcW w:w="0" w:type="auto"/>
          </w:tcPr>
          <w:p w14:paraId="501B1EB2" w14:textId="77777777" w:rsidR="005F1BE5" w:rsidRDefault="00000000">
            <w:pPr>
              <w:pStyle w:val="Compact"/>
            </w:pPr>
            <w:r>
              <w:rPr>
                <w:b/>
                <w:bCs/>
              </w:rPr>
              <w:t>No unified API</w:t>
            </w:r>
            <w:r>
              <w:t xml:space="preserve"> – There is no public USDA API for fertilizer prices. We would rely on industry sources: for instance, </w:t>
            </w:r>
            <w:r>
              <w:rPr>
                <w:b/>
                <w:bCs/>
              </w:rPr>
              <w:t>Green Markets</w:t>
            </w:r>
            <w:r>
              <w:t xml:space="preserve"> (Bloomberg) or </w:t>
            </w:r>
            <w:r>
              <w:rPr>
                <w:b/>
                <w:bCs/>
              </w:rPr>
              <w:t>DTN</w:t>
            </w:r>
            <w:r>
              <w:t xml:space="preserve"> publish weekly fertilizer price indexes (subscription services). In absence of an API, we could manually input those prices or find a source that provides them in a report. Another approach is using World Bank commodity data which includes monthly fertilizer prices (e.g., Urea (Black Sea), DAP, </w:t>
            </w:r>
            <w:proofErr w:type="gramStart"/>
            <w:r>
              <w:t>etc.</w:t>
            </w:r>
            <w:proofErr w:type="gramEnd"/>
            <w:r>
              <w:t xml:space="preserve">). </w:t>
            </w:r>
            <w:proofErr w:type="gramStart"/>
            <w:r>
              <w:t>We’ll</w:t>
            </w:r>
            <w:proofErr w:type="gramEnd"/>
            <w:r>
              <w:t xml:space="preserve"> plan to either subscribe to a data feed in the future or use </w:t>
            </w:r>
            <w:r>
              <w:lastRenderedPageBreak/>
              <w:t>publicly available proxies (and update these monthly/weekly as available).</w:t>
            </w:r>
          </w:p>
        </w:tc>
      </w:tr>
      <w:tr w:rsidR="005F1BE5" w14:paraId="1A349EE4" w14:textId="77777777">
        <w:tc>
          <w:tcPr>
            <w:tcW w:w="0" w:type="auto"/>
          </w:tcPr>
          <w:p w14:paraId="24740FA8" w14:textId="77777777" w:rsidR="005F1BE5" w:rsidRDefault="00000000">
            <w:pPr>
              <w:pStyle w:val="Compact"/>
            </w:pPr>
            <w:r>
              <w:rPr>
                <w:b/>
                <w:bCs/>
              </w:rPr>
              <w:lastRenderedPageBreak/>
              <w:t xml:space="preserve">Futures and Market Prices (CME, ICE, </w:t>
            </w:r>
            <w:proofErr w:type="gramStart"/>
            <w:r>
              <w:rPr>
                <w:b/>
                <w:bCs/>
              </w:rPr>
              <w:t>etc.</w:t>
            </w:r>
            <w:proofErr w:type="gramEnd"/>
            <w:r>
              <w:rPr>
                <w:b/>
                <w:bCs/>
              </w:rPr>
              <w:t>)</w:t>
            </w:r>
          </w:p>
        </w:tc>
        <w:tc>
          <w:tcPr>
            <w:tcW w:w="0" w:type="auto"/>
          </w:tcPr>
          <w:p w14:paraId="13895F33" w14:textId="77777777" w:rsidR="005F1BE5" w:rsidRDefault="00000000">
            <w:pPr>
              <w:pStyle w:val="Compact"/>
            </w:pPr>
            <w:r>
              <w:t xml:space="preserve">Exchange-traded prices for futures and options – corn, wheat, soy complex, livestock, energy (crude oil, gas), softs, metals, </w:t>
            </w:r>
            <w:proofErr w:type="gramStart"/>
            <w:r>
              <w:t>etc.</w:t>
            </w:r>
            <w:proofErr w:type="gramEnd"/>
            <w:r>
              <w:t xml:space="preserve"> These are crucial for current market pricing and benchmarks.</w:t>
            </w:r>
          </w:p>
        </w:tc>
        <w:tc>
          <w:tcPr>
            <w:tcW w:w="0" w:type="auto"/>
          </w:tcPr>
          <w:p w14:paraId="1815DFBA" w14:textId="77777777" w:rsidR="005F1BE5" w:rsidRDefault="00000000">
            <w:pPr>
              <w:pStyle w:val="Compact"/>
            </w:pPr>
            <w:r>
              <w:rPr>
                <w:b/>
                <w:bCs/>
              </w:rPr>
              <w:t>Data vendor API or public market data</w:t>
            </w:r>
            <w:r>
              <w:t xml:space="preserve"> – Real-time futures data typically requires a subscription (e.g., via a provider like </w:t>
            </w:r>
            <w:r>
              <w:rPr>
                <w:b/>
                <w:bCs/>
              </w:rPr>
              <w:t>Refinitiv Eikon</w:t>
            </w:r>
            <w:r>
              <w:t xml:space="preserve">, </w:t>
            </w:r>
            <w:r>
              <w:rPr>
                <w:b/>
                <w:bCs/>
              </w:rPr>
              <w:t>Bloomberg</w:t>
            </w:r>
            <w:r>
              <w:t xml:space="preserve">, or CME’s data services). For our purposes, we may start with end-of-day prices from a free or low-cost source: for example, </w:t>
            </w:r>
            <w:r>
              <w:rPr>
                <w:b/>
                <w:bCs/>
              </w:rPr>
              <w:t>Nasdaq Data Link (</w:t>
            </w:r>
            <w:proofErr w:type="spellStart"/>
            <w:r>
              <w:rPr>
                <w:b/>
                <w:bCs/>
              </w:rPr>
              <w:t>Quandl</w:t>
            </w:r>
            <w:proofErr w:type="spellEnd"/>
            <w:r>
              <w:rPr>
                <w:b/>
                <w:bCs/>
              </w:rPr>
              <w:t>)</w:t>
            </w:r>
            <w:r>
              <w:t xml:space="preserve"> provides </w:t>
            </w:r>
            <w:proofErr w:type="gramStart"/>
            <w:r>
              <w:t>some</w:t>
            </w:r>
            <w:proofErr w:type="gramEnd"/>
            <w:r>
              <w:t xml:space="preserve"> continuous futures series and </w:t>
            </w:r>
            <w:r>
              <w:rPr>
                <w:b/>
                <w:bCs/>
              </w:rPr>
              <w:t>Yahoo Finance</w:t>
            </w:r>
            <w:r>
              <w:t xml:space="preserve"> can provide historical daily prices for certain commodity contracts. We will integrate a solution where an agent fetches daily settlement prices (and </w:t>
            </w:r>
            <w:proofErr w:type="gramStart"/>
            <w:r>
              <w:t>possibly current</w:t>
            </w:r>
            <w:proofErr w:type="gramEnd"/>
            <w:r>
              <w:t xml:space="preserve"> quotes) for key contracts. If using a free source, an API key might be needed (</w:t>
            </w:r>
            <w:proofErr w:type="gramStart"/>
            <w:r>
              <w:t>e.g.</w:t>
            </w:r>
            <w:proofErr w:type="gramEnd"/>
            <w:r>
              <w:t xml:space="preserve"> a Nasdaq Data Link key). Longer-term, if high fidelity data </w:t>
            </w:r>
            <w:proofErr w:type="gramStart"/>
            <w:r>
              <w:t>is needed</w:t>
            </w:r>
            <w:proofErr w:type="gramEnd"/>
            <w:r>
              <w:t>, we could integrate a premium API feed from a market data provider.</w:t>
            </w:r>
          </w:p>
        </w:tc>
      </w:tr>
      <w:tr w:rsidR="005F1BE5" w14:paraId="2347C7E9" w14:textId="77777777">
        <w:tc>
          <w:tcPr>
            <w:tcW w:w="0" w:type="auto"/>
          </w:tcPr>
          <w:p w14:paraId="6FC04CC5" w14:textId="77777777" w:rsidR="005F1BE5" w:rsidRDefault="00000000">
            <w:pPr>
              <w:pStyle w:val="Compact"/>
            </w:pPr>
            <w:r>
              <w:rPr>
                <w:b/>
                <w:bCs/>
              </w:rPr>
              <w:t>CFTC Commitment of Traders</w:t>
            </w:r>
          </w:p>
        </w:tc>
        <w:tc>
          <w:tcPr>
            <w:tcW w:w="0" w:type="auto"/>
          </w:tcPr>
          <w:p w14:paraId="3F4E0765" w14:textId="77777777" w:rsidR="005F1BE5" w:rsidRDefault="00000000">
            <w:pPr>
              <w:pStyle w:val="Compact"/>
            </w:pPr>
            <w:r>
              <w:t>Weekly positions held by trader categories in U.S. futures markets (e.g., commercial vs speculators in corn, wheat, soy, cattle). This helps infer money flow and market sentiment.</w:t>
            </w:r>
          </w:p>
        </w:tc>
        <w:tc>
          <w:tcPr>
            <w:tcW w:w="0" w:type="auto"/>
          </w:tcPr>
          <w:p w14:paraId="2F7E81D6" w14:textId="77777777" w:rsidR="005F1BE5" w:rsidRDefault="00000000">
            <w:pPr>
              <w:pStyle w:val="Compact"/>
            </w:pPr>
            <w:r>
              <w:rPr>
                <w:b/>
                <w:bCs/>
              </w:rPr>
              <w:t>No formal API (file download)</w:t>
            </w:r>
            <w:r>
              <w:t xml:space="preserve"> – The CFTC publishes the Commitment of Traders reports each week on their website in CSV format. We will automate downloading the relevant CSV for each commodity every Friday. The data will </w:t>
            </w:r>
            <w:proofErr w:type="gramStart"/>
            <w:r>
              <w:t>be parsed</w:t>
            </w:r>
            <w:proofErr w:type="gramEnd"/>
            <w:r>
              <w:t xml:space="preserve"> (e.g., total longs/shorts by managed money, </w:t>
            </w:r>
            <w:proofErr w:type="gramStart"/>
            <w:r>
              <w:t>etc.</w:t>
            </w:r>
            <w:proofErr w:type="gramEnd"/>
            <w:r>
              <w:t xml:space="preserve">) and stored. This adds an analytical layer for our reports (e.g., pointing out if speculators are extremely net long/short </w:t>
            </w:r>
            <w:proofErr w:type="gramStart"/>
            <w:r>
              <w:t>relative</w:t>
            </w:r>
            <w:proofErr w:type="gramEnd"/>
            <w:r>
              <w:t xml:space="preserve"> to history).</w:t>
            </w:r>
          </w:p>
        </w:tc>
      </w:tr>
      <w:tr w:rsidR="005F1BE5" w14:paraId="691B7105" w14:textId="77777777">
        <w:tc>
          <w:tcPr>
            <w:tcW w:w="0" w:type="auto"/>
          </w:tcPr>
          <w:p w14:paraId="13CCEEF8" w14:textId="77777777" w:rsidR="005F1BE5" w:rsidRDefault="00000000">
            <w:pPr>
              <w:pStyle w:val="Compact"/>
            </w:pPr>
            <w:r>
              <w:rPr>
                <w:b/>
                <w:bCs/>
              </w:rPr>
              <w:lastRenderedPageBreak/>
              <w:t>World Bank / IMF Commodity Prices</w:t>
            </w:r>
          </w:p>
        </w:tc>
        <w:tc>
          <w:tcPr>
            <w:tcW w:w="0" w:type="auto"/>
          </w:tcPr>
          <w:p w14:paraId="37F851D9" w14:textId="77777777" w:rsidR="005F1BE5" w:rsidRDefault="00000000">
            <w:pPr>
              <w:pStyle w:val="Compact"/>
            </w:pPr>
            <w:r>
              <w:t xml:space="preserve">International commodity price benchmarks – the World Bank’s monthly commodity price indices (covering a broad range from energy to agriculture to metals) and IMF commodity prices. These provide context on global price levels (e.g., world palm oil $/ton, crude oil price indices, </w:t>
            </w:r>
            <w:proofErr w:type="gramStart"/>
            <w:r>
              <w:t>etc.</w:t>
            </w:r>
            <w:proofErr w:type="gramEnd"/>
            <w:r>
              <w:t>).</w:t>
            </w:r>
          </w:p>
        </w:tc>
        <w:tc>
          <w:tcPr>
            <w:tcW w:w="0" w:type="auto"/>
          </w:tcPr>
          <w:p w14:paraId="4C68BCAF" w14:textId="77777777" w:rsidR="005F1BE5" w:rsidRDefault="00000000">
            <w:pPr>
              <w:pStyle w:val="Compact"/>
            </w:pPr>
            <w:r>
              <w:rPr>
                <w:b/>
                <w:bCs/>
              </w:rPr>
              <w:t>REST API and Downloads</w:t>
            </w:r>
            <w:r>
              <w:t xml:space="preserve"> – The World Bank has an accessible database (and API) for their </w:t>
            </w:r>
            <w:r>
              <w:rPr>
                <w:b/>
                <w:bCs/>
              </w:rPr>
              <w:t>Commodity Price Data</w:t>
            </w:r>
            <w:r>
              <w:t xml:space="preserve"> (“Pink Sheet”). We can use this to pull monthly average prices for things like Malaysian palm oil, international urea fertilizer, </w:t>
            </w:r>
            <w:proofErr w:type="gramStart"/>
            <w:r>
              <w:t>etc.</w:t>
            </w:r>
            <w:proofErr w:type="gramEnd"/>
            <w:r>
              <w:t xml:space="preserve"> (no auth needed for most). Additionally, </w:t>
            </w:r>
            <w:proofErr w:type="gramStart"/>
            <w:r>
              <w:t>many</w:t>
            </w:r>
            <w:proofErr w:type="gramEnd"/>
            <w:r>
              <w:t xml:space="preserve"> of these series are available via the St. Louis Fed’s FRED API, which we can use with a free key. We will </w:t>
            </w:r>
            <w:proofErr w:type="gramStart"/>
            <w:r>
              <w:t>likely incorporate</w:t>
            </w:r>
            <w:proofErr w:type="gramEnd"/>
            <w:r>
              <w:t xml:space="preserve"> these for historical context and for any gaps in our other data (e.g., a quick way to get a long-run price series of a commodity).</w:t>
            </w:r>
          </w:p>
        </w:tc>
      </w:tr>
      <w:tr w:rsidR="005F1BE5" w14:paraId="1AF68DF4" w14:textId="77777777">
        <w:tc>
          <w:tcPr>
            <w:tcW w:w="0" w:type="auto"/>
          </w:tcPr>
          <w:p w14:paraId="5CCBB8C9" w14:textId="77777777" w:rsidR="005F1BE5" w:rsidRDefault="00000000">
            <w:pPr>
              <w:pStyle w:val="Compact"/>
            </w:pPr>
            <w:r>
              <w:rPr>
                <w:b/>
                <w:bCs/>
              </w:rPr>
              <w:t>Bloomberg / Refinitiv (Future Consideration)</w:t>
            </w:r>
          </w:p>
        </w:tc>
        <w:tc>
          <w:tcPr>
            <w:tcW w:w="0" w:type="auto"/>
          </w:tcPr>
          <w:p w14:paraId="0E7CED69" w14:textId="77777777" w:rsidR="005F1BE5" w:rsidRDefault="00000000">
            <w:pPr>
              <w:pStyle w:val="Compact"/>
            </w:pPr>
            <w:r>
              <w:t>Comprehensive financial data platforms covering all commodities, currencies, and macro data, with powerful APIs for automated data retrieval.</w:t>
            </w:r>
          </w:p>
        </w:tc>
        <w:tc>
          <w:tcPr>
            <w:tcW w:w="0" w:type="auto"/>
          </w:tcPr>
          <w:p w14:paraId="69AC8851" w14:textId="77777777" w:rsidR="005F1BE5" w:rsidRDefault="00000000">
            <w:pPr>
              <w:pStyle w:val="Compact"/>
            </w:pPr>
            <w:r>
              <w:rPr>
                <w:b/>
                <w:bCs/>
              </w:rPr>
              <w:t>Proprietary APIs (enterprise)</w:t>
            </w:r>
            <w:r>
              <w:t xml:space="preserve"> – In the future, if RLC grows to require a </w:t>
            </w:r>
            <w:r>
              <w:rPr>
                <w:i/>
                <w:iCs/>
              </w:rPr>
              <w:t>fully</w:t>
            </w:r>
            <w:r>
              <w:t xml:space="preserve"> comprehensive data feed, we might integrate with Bloomberg’s API or Refinitiv Eikon’s API. These would give us access to </w:t>
            </w:r>
            <w:proofErr w:type="gramStart"/>
            <w:r>
              <w:t>nearly any</w:t>
            </w:r>
            <w:proofErr w:type="gramEnd"/>
            <w:r>
              <w:t xml:space="preserve"> data series (from live futures quotes to global economic indicators). However, they </w:t>
            </w:r>
            <w:proofErr w:type="gramStart"/>
            <w:r>
              <w:t>require</w:t>
            </w:r>
            <w:proofErr w:type="gramEnd"/>
            <w:r>
              <w:t xml:space="preserve"> significant subscription fees and credentials. This </w:t>
            </w:r>
            <w:proofErr w:type="gramStart"/>
            <w:r>
              <w:t>is noted</w:t>
            </w:r>
            <w:proofErr w:type="gramEnd"/>
            <w:r>
              <w:t xml:space="preserve"> as a potential long-term source if needed, but not in the </w:t>
            </w:r>
            <w:proofErr w:type="gramStart"/>
            <w:r>
              <w:t>initial</w:t>
            </w:r>
            <w:proofErr w:type="gramEnd"/>
            <w:r>
              <w:t xml:space="preserve"> build.</w:t>
            </w:r>
          </w:p>
        </w:tc>
      </w:tr>
    </w:tbl>
    <w:p w14:paraId="7FB08D26" w14:textId="77777777" w:rsidR="005F1BE5" w:rsidRDefault="00000000">
      <w:pPr>
        <w:pStyle w:val="BodyText"/>
      </w:pPr>
      <w:r>
        <w:rPr>
          <w:b/>
          <w:bCs/>
        </w:rPr>
        <w:t>Note:</w:t>
      </w:r>
      <w:r>
        <w:t xml:space="preserve"> The above list is intentionally exhaustive. We will narrow down to the most critical sources as we implement the system, focusing on free and readily accessible data first. For example, initially we are already working with the USDA AMS API and planning the EIA and trade data integration</w:t>
      </w:r>
      <w:hyperlink r:id="rId17">
        <w:r w:rsidR="005F1BE5">
          <w:rPr>
            <w:rStyle w:val="Hyperlink"/>
          </w:rPr>
          <w:t>[4]</w:t>
        </w:r>
      </w:hyperlink>
      <w:r>
        <w:t>. Others like GTT or Bloomberg would come later if justified. Each source we add will have a configured “plugin” in our agent framework to handle that source’s authentication and data fetching, per our modular design</w:t>
      </w:r>
      <w:hyperlink r:id="rId18">
        <w:r w:rsidR="005F1BE5">
          <w:rPr>
            <w:rStyle w:val="Hyperlink"/>
          </w:rPr>
          <w:t>[6]</w:t>
        </w:r>
      </w:hyperlink>
      <w:r>
        <w:t xml:space="preserve">. Where no API exists, </w:t>
      </w:r>
      <w:proofErr w:type="gramStart"/>
      <w:r>
        <w:t>we’ll</w:t>
      </w:r>
      <w:proofErr w:type="gramEnd"/>
      <w:r>
        <w:t xml:space="preserve"> automate downloads or web scraping as </w:t>
      </w:r>
      <w:proofErr w:type="gramStart"/>
      <w:r>
        <w:t>indicated</w:t>
      </w:r>
      <w:proofErr w:type="gramEnd"/>
      <w:r>
        <w:t xml:space="preserve">, so that </w:t>
      </w:r>
      <w:proofErr w:type="gramStart"/>
      <w:r>
        <w:t>ultimately all</w:t>
      </w:r>
      <w:proofErr w:type="gramEnd"/>
      <w:r>
        <w:t xml:space="preserve"> these datasets feed into our central database without manual effort. This comprehensive data coverage will empower our AI agents to </w:t>
      </w:r>
      <w:proofErr w:type="gramStart"/>
      <w:r>
        <w:t xml:space="preserve">have the </w:t>
      </w:r>
      <w:r>
        <w:rPr>
          <w:b/>
          <w:bCs/>
        </w:rPr>
        <w:t>full picture</w:t>
      </w:r>
      <w:r>
        <w:t xml:space="preserve"> of the commodity markets at all times</w:t>
      </w:r>
      <w:proofErr w:type="gramEnd"/>
      <w:r>
        <w:t>.</w:t>
      </w:r>
    </w:p>
    <w:p w14:paraId="3323DDE5" w14:textId="77777777" w:rsidR="005F1BE5" w:rsidRDefault="00000000">
      <w:pPr>
        <w:pStyle w:val="Heading2"/>
      </w:pPr>
      <w:bookmarkStart w:id="7" w:name="Xcd64edf9634424c06c53e761aafd339d05071be"/>
      <w:bookmarkEnd w:id="6"/>
      <w:r>
        <w:lastRenderedPageBreak/>
        <w:t>Path to Full Autonomy – Replicating a Senior Economist’s Role</w:t>
      </w:r>
    </w:p>
    <w:p w14:paraId="02047409" w14:textId="77777777" w:rsidR="005F1BE5" w:rsidRDefault="00000000">
      <w:pPr>
        <w:pStyle w:val="FirstParagraph"/>
      </w:pPr>
      <w:r>
        <w:t xml:space="preserve">By combining the extensive data feeds, analytical modules (like the </w:t>
      </w:r>
      <w:proofErr w:type="spellStart"/>
      <w:r>
        <w:t>VaR</w:t>
      </w:r>
      <w:proofErr w:type="spellEnd"/>
      <w:r>
        <w:t xml:space="preserve"> risk analysis), and automated report generation, this AI-powered team will step-by-step assume all the key responsibilities of a senior economist in a commodity-focused role. Our aim is for the system to perform the following functions autonomously, at a level comparable to a human expert at a bank or hedge fund:</w:t>
      </w:r>
    </w:p>
    <w:p w14:paraId="7FE42893" w14:textId="77777777" w:rsidR="005F1BE5" w:rsidRDefault="00000000">
      <w:pPr>
        <w:pStyle w:val="Compact"/>
        <w:numPr>
          <w:ilvl w:val="0"/>
          <w:numId w:val="3"/>
        </w:numPr>
      </w:pPr>
      <w:r>
        <w:rPr>
          <w:b/>
          <w:bCs/>
        </w:rPr>
        <w:t>Market Monitoring and Data Updates:</w:t>
      </w:r>
      <w:r>
        <w:t xml:space="preserve"> Continuously gather market data (prices, supply/demand stats, news indicators) and update internal databases and models. The agent will </w:t>
      </w:r>
      <w:proofErr w:type="gramStart"/>
      <w:r>
        <w:t>maintain</w:t>
      </w:r>
      <w:proofErr w:type="gramEnd"/>
      <w:r>
        <w:t xml:space="preserve"> up-to-date balance sheets for each commodity and track high-frequency indicators (exports, production pace, </w:t>
      </w:r>
      <w:proofErr w:type="gramStart"/>
      <w:r>
        <w:t>etc.</w:t>
      </w:r>
      <w:proofErr w:type="gramEnd"/>
      <w:r>
        <w:t xml:space="preserve">) so nothing falls through the cracks – </w:t>
      </w:r>
      <w:proofErr w:type="gramStart"/>
      <w:r>
        <w:t>much</w:t>
      </w:r>
      <w:proofErr w:type="gramEnd"/>
      <w:r>
        <w:t xml:space="preserve"> like an economist keeps their spreadsheets current.</w:t>
      </w:r>
    </w:p>
    <w:p w14:paraId="6EF58F28" w14:textId="77777777" w:rsidR="005F1BE5" w:rsidRDefault="00000000">
      <w:pPr>
        <w:pStyle w:val="Compact"/>
        <w:numPr>
          <w:ilvl w:val="0"/>
          <w:numId w:val="3"/>
        </w:numPr>
      </w:pPr>
      <w:r>
        <w:rPr>
          <w:b/>
          <w:bCs/>
        </w:rPr>
        <w:t>Analysis and Insight Generation:</w:t>
      </w:r>
      <w:r>
        <w:t xml:space="preserve"> Analyze the incoming data for trends, anomalies, and market implications. For example, the system will detect if corn stocks are tightening or if a drought is worsening crop conditions and then infer the price impact. It will use tools like comparative analysis (vs. historical averages), correlations, </w:t>
      </w:r>
      <w:proofErr w:type="gramStart"/>
      <w:r>
        <w:t>possibly even</w:t>
      </w:r>
      <w:proofErr w:type="gramEnd"/>
      <w:r>
        <w:t xml:space="preserve"> machine learning for pattern recognition, to generate insights a human analyst would note.</w:t>
      </w:r>
    </w:p>
    <w:p w14:paraId="5D81D6C2" w14:textId="77777777" w:rsidR="005F1BE5" w:rsidRDefault="00000000">
      <w:pPr>
        <w:pStyle w:val="Compact"/>
        <w:numPr>
          <w:ilvl w:val="0"/>
          <w:numId w:val="3"/>
        </w:numPr>
      </w:pPr>
      <w:r>
        <w:rPr>
          <w:b/>
          <w:bCs/>
        </w:rPr>
        <w:t>Reporting and Communication:</w:t>
      </w:r>
      <w:r>
        <w:t xml:space="preserve"> Produce written reports, charts, and summaries of </w:t>
      </w:r>
      <w:proofErr w:type="gramStart"/>
      <w:r>
        <w:t>the market</w:t>
      </w:r>
      <w:proofErr w:type="gramEnd"/>
      <w:r>
        <w:t xml:space="preserve"> developments. This includes weekly market reports (like a **“World Biofuels &amp; Feedstocks” report or a corn market outlook) complete with narrative analysis, tables, and charts. Initially, we will review and edit these, but over time the AI will </w:t>
      </w:r>
      <w:proofErr w:type="gramStart"/>
      <w:r>
        <w:t>handle</w:t>
      </w:r>
      <w:proofErr w:type="gramEnd"/>
      <w:r>
        <w:t xml:space="preserve"> more of the writing. The style and depth will match what a senior economist delivers to clients or decision-makers – </w:t>
      </w:r>
      <w:proofErr w:type="gramStart"/>
      <w:r>
        <w:t>i.e.</w:t>
      </w:r>
      <w:proofErr w:type="gramEnd"/>
      <w:r>
        <w:t xml:space="preserve"> clear explanations, backed by data, highlighting risks and opportunities. (We have mechanisms for the AI to draft and even self-check content via a reviewer agent to ensure clarity and accuracy</w:t>
      </w:r>
      <w:hyperlink r:id="rId19">
        <w:r w:rsidR="005F1BE5">
          <w:rPr>
            <w:rStyle w:val="Hyperlink"/>
          </w:rPr>
          <w:t>[5]</w:t>
        </w:r>
      </w:hyperlink>
      <w:r>
        <w:t>.)</w:t>
      </w:r>
    </w:p>
    <w:p w14:paraId="5918B99A" w14:textId="77777777" w:rsidR="005F1BE5" w:rsidRDefault="00000000">
      <w:pPr>
        <w:pStyle w:val="Compact"/>
        <w:numPr>
          <w:ilvl w:val="0"/>
          <w:numId w:val="3"/>
        </w:numPr>
      </w:pPr>
      <w:r>
        <w:rPr>
          <w:b/>
          <w:bCs/>
        </w:rPr>
        <w:t>Risk Management and Strategy Advice:</w:t>
      </w:r>
      <w:r>
        <w:t xml:space="preserve"> Using the integrated </w:t>
      </w:r>
      <w:proofErr w:type="spellStart"/>
      <w:r>
        <w:t>VaR</w:t>
      </w:r>
      <w:proofErr w:type="spellEnd"/>
      <w:r>
        <w:t xml:space="preserve"> and other risk tools, the system will evaluate the risk in commodity positions or a portfolio. For instance, it can quantify how a 10% drop in soybean prices would affect an ethanol plant’s margin. Based on such analysis, it can suggest hedging strategies or caution on exposures, effectively providing the kind of risk oversight a senior economist or risk manager would.</w:t>
      </w:r>
    </w:p>
    <w:p w14:paraId="24951CB8" w14:textId="77777777" w:rsidR="005F1BE5" w:rsidRDefault="00000000">
      <w:pPr>
        <w:pStyle w:val="Compact"/>
        <w:numPr>
          <w:ilvl w:val="0"/>
          <w:numId w:val="3"/>
        </w:numPr>
      </w:pPr>
      <w:r>
        <w:rPr>
          <w:b/>
          <w:bCs/>
        </w:rPr>
        <w:t>Decision Support and Alerts:</w:t>
      </w:r>
      <w:r>
        <w:t xml:space="preserve"> The autonomous team will not just passively report data; it will actively flag </w:t>
      </w:r>
      <w:proofErr w:type="gramStart"/>
      <w:r>
        <w:t>important events</w:t>
      </w:r>
      <w:proofErr w:type="gramEnd"/>
      <w:r>
        <w:t xml:space="preserve"> or thresholds. If a key market indicator crosses a critical level (say, fertilizer prices surge to record highs or speculative positions hit extreme levels), the system would alert us and include analysis of potential consequences. This ensures that, like a vigilant economist, </w:t>
      </w:r>
      <w:proofErr w:type="gramStart"/>
      <w:r>
        <w:t>the AI</w:t>
      </w:r>
      <w:proofErr w:type="gramEnd"/>
      <w:r>
        <w:t xml:space="preserve"> is helping drive decisions and not just compiling information.</w:t>
      </w:r>
    </w:p>
    <w:p w14:paraId="077B752C" w14:textId="77777777" w:rsidR="005F1BE5" w:rsidRDefault="00000000">
      <w:pPr>
        <w:pStyle w:val="Compact"/>
        <w:numPr>
          <w:ilvl w:val="0"/>
          <w:numId w:val="3"/>
        </w:numPr>
      </w:pPr>
      <w:r>
        <w:rPr>
          <w:b/>
          <w:bCs/>
        </w:rPr>
        <w:t>Multi-Market Synthesis:</w:t>
      </w:r>
      <w:r>
        <w:t xml:space="preserve"> A human economist often synthesizes information across markets (e.g., linking how energy market moves affect corn via ethanol, or how a disease outbreak in livestock could affect feed demand). Our agent system, with </w:t>
      </w:r>
      <w:r>
        <w:lastRenderedPageBreak/>
        <w:t>access to all the data sources above, will be capable of similar cross-market reasoning. The Master Agent can combine inputs from various sub-agents (data, email, calendar, etc.) to form a holistic view</w:t>
      </w:r>
      <w:hyperlink r:id="rId20">
        <w:r w:rsidR="005F1BE5">
          <w:rPr>
            <w:rStyle w:val="Hyperlink"/>
          </w:rPr>
          <w:t>[12]</w:t>
        </w:r>
      </w:hyperlink>
      <w:hyperlink r:id="rId21">
        <w:r w:rsidR="005F1BE5">
          <w:rPr>
            <w:rStyle w:val="Hyperlink"/>
          </w:rPr>
          <w:t>[4]</w:t>
        </w:r>
      </w:hyperlink>
      <w:r>
        <w:t>. For example, it might correlate a spike in corn prices with a report of a Midwest drought and warn of feed cost pressures for livestock producers.</w:t>
      </w:r>
    </w:p>
    <w:p w14:paraId="264AC08C" w14:textId="77777777" w:rsidR="005F1BE5" w:rsidRDefault="00000000">
      <w:pPr>
        <w:pStyle w:val="Compact"/>
        <w:numPr>
          <w:ilvl w:val="0"/>
          <w:numId w:val="3"/>
        </w:numPr>
      </w:pPr>
      <w:r>
        <w:rPr>
          <w:b/>
          <w:bCs/>
        </w:rPr>
        <w:t>Accuracy and Quality Control:</w:t>
      </w:r>
      <w:r>
        <w:t xml:space="preserve"> A senior economist’s work must be </w:t>
      </w:r>
      <w:proofErr w:type="gramStart"/>
      <w:r>
        <w:t>reliable</w:t>
      </w:r>
      <w:proofErr w:type="gramEnd"/>
      <w:r>
        <w:t>. Our system will have built-in checks – for data integrity (verification agents comparing source vs. database entries) and for output quality (having one agent cross-verify the report content drafted by another). These processes mimic a peer-review or a second pair of eyes on analysis</w:t>
      </w:r>
      <w:hyperlink r:id="rId22">
        <w:r w:rsidR="005F1BE5">
          <w:rPr>
            <w:rStyle w:val="Hyperlink"/>
          </w:rPr>
          <w:t>[13]</w:t>
        </w:r>
      </w:hyperlink>
      <w:r>
        <w:t>. Over time, this should minimize errors and ensure the AI’s work is trustworthy enough to require only light-touch oversight.</w:t>
      </w:r>
    </w:p>
    <w:p w14:paraId="1CC9911B" w14:textId="77777777" w:rsidR="005F1BE5" w:rsidRDefault="00000000">
      <w:pPr>
        <w:pStyle w:val="FirstParagraph"/>
      </w:pPr>
      <w:r>
        <w:t xml:space="preserve">By progressively implementing the above capabilities, we expect that the AI team will indeed cover </w:t>
      </w:r>
      <w:r>
        <w:rPr>
          <w:i/>
          <w:iCs/>
        </w:rPr>
        <w:t>all the responsibilities</w:t>
      </w:r>
      <w:r>
        <w:t xml:space="preserve"> a human economist would </w:t>
      </w:r>
      <w:proofErr w:type="gramStart"/>
      <w:r>
        <w:t>handle</w:t>
      </w:r>
      <w:proofErr w:type="gramEnd"/>
      <w:r>
        <w:t xml:space="preserve"> in this domain. From routine tasks like data updating to complex tasks like interpreting market dynamics and advising on risk, the system is </w:t>
      </w:r>
      <w:proofErr w:type="gramStart"/>
      <w:r>
        <w:t>being built</w:t>
      </w:r>
      <w:proofErr w:type="gramEnd"/>
      <w:r>
        <w:t xml:space="preserve"> to </w:t>
      </w:r>
      <w:proofErr w:type="gramStart"/>
      <w:r>
        <w:t>handle</w:t>
      </w:r>
      <w:proofErr w:type="gramEnd"/>
      <w:r>
        <w:t xml:space="preserve"> them autonomously. </w:t>
      </w:r>
      <w:proofErr w:type="gramStart"/>
      <w:r>
        <w:t>In essence, we</w:t>
      </w:r>
      <w:proofErr w:type="gramEnd"/>
      <w:r>
        <w:t xml:space="preserve"> are training and equipping these agents to become a full-fledged </w:t>
      </w:r>
      <w:r>
        <w:rPr>
          <w:b/>
          <w:bCs/>
        </w:rPr>
        <w:t>“virtual commodity research analyst”</w:t>
      </w:r>
      <w:r>
        <w:t xml:space="preserve"> for RLC. We will continue to refine the system with that end goal in mind – that it </w:t>
      </w:r>
      <w:proofErr w:type="gramStart"/>
      <w:r>
        <w:t>operates</w:t>
      </w:r>
      <w:proofErr w:type="gramEnd"/>
      <w:r>
        <w:t xml:space="preserve"> with the competence and diligence of a senior economist, allowing us to scale our research output and insights efficiently while we supervise at </w:t>
      </w:r>
      <w:proofErr w:type="gramStart"/>
      <w:r>
        <w:t>a high level</w:t>
      </w:r>
      <w:proofErr w:type="gramEnd"/>
      <w:r>
        <w:t>.</w:t>
      </w:r>
    </w:p>
    <w:bookmarkEnd w:id="1"/>
    <w:bookmarkEnd w:id="2"/>
    <w:bookmarkEnd w:id="7"/>
    <w:p w14:paraId="7BD06EE7" w14:textId="77777777" w:rsidR="005F1BE5" w:rsidRDefault="00000000">
      <w:r>
        <w:pict w14:anchorId="22C8517E">
          <v:rect id="_x0000_i1025" style="width:0;height:1.5pt" o:hralign="center" o:hrstd="t" o:hr="t"/>
        </w:pict>
      </w:r>
    </w:p>
    <w:bookmarkStart w:id="8" w:name="citations"/>
    <w:p w14:paraId="063B99AB" w14:textId="77777777" w:rsidR="005F1BE5" w:rsidRDefault="00000000">
      <w:pPr>
        <w:pStyle w:val="FirstParagraph"/>
      </w:pPr>
      <w:r>
        <w:fldChar w:fldCharType="begin"/>
      </w:r>
      <w:r>
        <w:instrText>HYPERLINK "https://www.dropbox.com/preview/rlc%20documents/llm%20model%20and%20documents/projects/planning/master%20agent%20overview%20with%20api%20error%20ugrade%20and%20asynch%20i-o.docx" \h</w:instrText>
      </w:r>
      <w:r>
        <w:fldChar w:fldCharType="separate"/>
      </w:r>
      <w:r>
        <w:rPr>
          <w:rStyle w:val="Hyperlink"/>
        </w:rPr>
        <w:t>[1]</w:t>
      </w:r>
      <w:r>
        <w:fldChar w:fldCharType="end"/>
      </w:r>
      <w:r>
        <w:t xml:space="preserve"> </w:t>
      </w:r>
      <w:hyperlink r:id="rId23">
        <w:r w:rsidR="005F1BE5">
          <w:rPr>
            <w:rStyle w:val="Hyperlink"/>
          </w:rPr>
          <w:t>[2]</w:t>
        </w:r>
      </w:hyperlink>
      <w:r>
        <w:t xml:space="preserve"> </w:t>
      </w:r>
      <w:hyperlink r:id="rId24">
        <w:r w:rsidR="005F1BE5">
          <w:rPr>
            <w:rStyle w:val="Hyperlink"/>
          </w:rPr>
          <w:t>[3]</w:t>
        </w:r>
      </w:hyperlink>
      <w:r>
        <w:t xml:space="preserve"> </w:t>
      </w:r>
      <w:hyperlink r:id="rId25">
        <w:r w:rsidR="005F1BE5">
          <w:rPr>
            <w:rStyle w:val="Hyperlink"/>
          </w:rPr>
          <w:t>[4]</w:t>
        </w:r>
      </w:hyperlink>
      <w:r>
        <w:t xml:space="preserve"> </w:t>
      </w:r>
      <w:hyperlink r:id="rId26">
        <w:r w:rsidR="005F1BE5">
          <w:rPr>
            <w:rStyle w:val="Hyperlink"/>
          </w:rPr>
          <w:t>[12]</w:t>
        </w:r>
      </w:hyperlink>
      <w:r>
        <w:t xml:space="preserve"> </w:t>
      </w:r>
      <w:hyperlink r:id="rId27">
        <w:r w:rsidR="005F1BE5">
          <w:rPr>
            <w:rStyle w:val="Hyperlink"/>
          </w:rPr>
          <w:t>[13]</w:t>
        </w:r>
      </w:hyperlink>
      <w:r>
        <w:t xml:space="preserve"> master agent overview with </w:t>
      </w:r>
      <w:proofErr w:type="spellStart"/>
      <w:r>
        <w:t>api</w:t>
      </w:r>
      <w:proofErr w:type="spellEnd"/>
      <w:r>
        <w:t xml:space="preserve"> error </w:t>
      </w:r>
      <w:proofErr w:type="spellStart"/>
      <w:r>
        <w:t>ugrade</w:t>
      </w:r>
      <w:proofErr w:type="spellEnd"/>
      <w:r>
        <w:t xml:space="preserve"> and </w:t>
      </w:r>
      <w:proofErr w:type="spellStart"/>
      <w:r>
        <w:t>asynch</w:t>
      </w:r>
      <w:proofErr w:type="spellEnd"/>
      <w:r>
        <w:t xml:space="preserve"> i-o.docx</w:t>
      </w:r>
    </w:p>
    <w:p w14:paraId="3782F170" w14:textId="77777777" w:rsidR="005F1BE5" w:rsidRDefault="005F1BE5">
      <w:pPr>
        <w:pStyle w:val="BodyText"/>
      </w:pPr>
      <w:hyperlink r:id="rId28">
        <w:r>
          <w:rPr>
            <w:rStyle w:val="Hyperlink"/>
          </w:rPr>
          <w:t>https://www.dropbox.com/preview/rlc%20documents/llm%20model%20and%20documents/projects/planning/master%20agent%20overview%20with%20api%20error%20ugrade%20and%20asynch%20i-o.docx</w:t>
        </w:r>
      </w:hyperlink>
    </w:p>
    <w:p w14:paraId="357537FF" w14:textId="77777777" w:rsidR="005F1BE5" w:rsidRDefault="005F1BE5">
      <w:pPr>
        <w:pStyle w:val="BodyText"/>
      </w:pPr>
      <w:hyperlink r:id="rId29">
        <w:r>
          <w:rPr>
            <w:rStyle w:val="Hyperlink"/>
          </w:rPr>
          <w:t>[5]</w:t>
        </w:r>
      </w:hyperlink>
      <w:r w:rsidR="00000000">
        <w:t xml:space="preserve"> round lakes commodities projects overview.docx</w:t>
      </w:r>
    </w:p>
    <w:p w14:paraId="6CF1F119" w14:textId="77777777" w:rsidR="005F1BE5" w:rsidRDefault="005F1BE5">
      <w:pPr>
        <w:pStyle w:val="BodyText"/>
      </w:pPr>
      <w:hyperlink r:id="rId30">
        <w:r>
          <w:rPr>
            <w:rStyle w:val="Hyperlink"/>
          </w:rPr>
          <w:t>https://www.dropbox.com/preview/rlc%20documents/rlc%20set%20up%20checklists/round%20lakes%20commodities%20projects%20overview.docx</w:t>
        </w:r>
      </w:hyperlink>
    </w:p>
    <w:p w14:paraId="18BB4685" w14:textId="77777777" w:rsidR="005F1BE5" w:rsidRDefault="005F1BE5">
      <w:pPr>
        <w:pStyle w:val="BodyText"/>
      </w:pPr>
      <w:hyperlink r:id="rId31">
        <w:r>
          <w:rPr>
            <w:rStyle w:val="Hyperlink"/>
          </w:rPr>
          <w:t>[6]</w:t>
        </w:r>
      </w:hyperlink>
      <w:r w:rsidR="00000000">
        <w:t xml:space="preserve"> outline and structure of </w:t>
      </w:r>
      <w:proofErr w:type="spellStart"/>
      <w:r w:rsidR="00000000">
        <w:t>api</w:t>
      </w:r>
      <w:proofErr w:type="spellEnd"/>
      <w:r w:rsidR="00000000">
        <w:t xml:space="preserve"> manager.docx</w:t>
      </w:r>
    </w:p>
    <w:p w14:paraId="638D084C" w14:textId="77777777" w:rsidR="005F1BE5" w:rsidRDefault="005F1BE5">
      <w:pPr>
        <w:pStyle w:val="BodyText"/>
      </w:pPr>
      <w:hyperlink r:id="rId32">
        <w:r>
          <w:rPr>
            <w:rStyle w:val="Hyperlink"/>
          </w:rPr>
          <w:t>https://www.dropbox.com/preview/rlc%20documents/llm%20model%20and%20documents/projects/rlc-agent/api%20manager/outline%20and%20structure%20of%20api%20manager.docx</w:t>
        </w:r>
      </w:hyperlink>
    </w:p>
    <w:p w14:paraId="34843D5A" w14:textId="77777777" w:rsidR="005F1BE5" w:rsidRDefault="005F1BE5">
      <w:pPr>
        <w:pStyle w:val="BodyText"/>
      </w:pPr>
      <w:hyperlink r:id="rId33" w:anchor="L26-L34">
        <w:r>
          <w:rPr>
            <w:rStyle w:val="Hyperlink"/>
          </w:rPr>
          <w:t>[7]</w:t>
        </w:r>
      </w:hyperlink>
      <w:r w:rsidR="00000000">
        <w:t xml:space="preserve"> </w:t>
      </w:r>
      <w:hyperlink r:id="rId34" w:anchor="L33-L41">
        <w:r>
          <w:rPr>
            <w:rStyle w:val="Hyperlink"/>
          </w:rPr>
          <w:t>[8]</w:t>
        </w:r>
      </w:hyperlink>
      <w:r w:rsidR="00000000">
        <w:t xml:space="preserve"> usda_api.py</w:t>
      </w:r>
    </w:p>
    <w:p w14:paraId="50327532" w14:textId="77777777" w:rsidR="005F1BE5" w:rsidRDefault="005F1BE5">
      <w:pPr>
        <w:pStyle w:val="BodyText"/>
      </w:pPr>
      <w:hyperlink r:id="rId35">
        <w:r>
          <w:rPr>
            <w:rStyle w:val="Hyperlink"/>
          </w:rPr>
          <w:t>https://github.com/torealden/RLC-Agent/blob/8b1d34951816847c492c322888de1dd7c3150c83/rlc_master_agent/services/usda_api.py</w:t>
        </w:r>
      </w:hyperlink>
    </w:p>
    <w:p w14:paraId="3AC6CE4A" w14:textId="77777777" w:rsidR="005F1BE5" w:rsidRDefault="005F1BE5">
      <w:pPr>
        <w:pStyle w:val="BodyText"/>
      </w:pPr>
      <w:hyperlink r:id="rId36" w:anchor=":~:text=USDA%27s%20Foreign%20Agricultural%20Service%20data,publicly%20available%20agricultural%20commodity%20data">
        <w:r>
          <w:rPr>
            <w:rStyle w:val="Hyperlink"/>
          </w:rPr>
          <w:t>[9]</w:t>
        </w:r>
      </w:hyperlink>
      <w:r w:rsidR="00000000">
        <w:t xml:space="preserve"> </w:t>
      </w:r>
      <w:proofErr w:type="spellStart"/>
      <w:r w:rsidR="00000000">
        <w:t>OpendataWeb</w:t>
      </w:r>
      <w:proofErr w:type="spellEnd"/>
      <w:r w:rsidR="00000000">
        <w:t xml:space="preserve"> - USDA Foreign Agricultural Service</w:t>
      </w:r>
    </w:p>
    <w:p w14:paraId="77E4BF87" w14:textId="77777777" w:rsidR="005F1BE5" w:rsidRDefault="005F1BE5">
      <w:pPr>
        <w:pStyle w:val="BodyText"/>
      </w:pPr>
      <w:hyperlink r:id="rId37">
        <w:r>
          <w:rPr>
            <w:rStyle w:val="Hyperlink"/>
          </w:rPr>
          <w:t>https://apps.fas.usda.gov/opendataweb/home</w:t>
        </w:r>
      </w:hyperlink>
    </w:p>
    <w:p w14:paraId="1D94854C" w14:textId="77777777" w:rsidR="005F1BE5" w:rsidRDefault="005F1BE5">
      <w:pPr>
        <w:pStyle w:val="BodyText"/>
      </w:pPr>
      <w:hyperlink r:id="rId38" w:anchor="L36-L44">
        <w:r>
          <w:rPr>
            <w:rStyle w:val="Hyperlink"/>
          </w:rPr>
          <w:t>[10]</w:t>
        </w:r>
      </w:hyperlink>
      <w:r w:rsidR="00000000">
        <w:t xml:space="preserve"> </w:t>
      </w:r>
      <w:hyperlink r:id="rId39" w:anchor="L40-L48">
        <w:r>
          <w:rPr>
            <w:rStyle w:val="Hyperlink"/>
          </w:rPr>
          <w:t>[11]</w:t>
        </w:r>
      </w:hyperlink>
      <w:r w:rsidR="00000000">
        <w:t xml:space="preserve"> census_api.py</w:t>
      </w:r>
    </w:p>
    <w:p w14:paraId="65CA73C6" w14:textId="77777777" w:rsidR="005F1BE5" w:rsidRDefault="005F1BE5">
      <w:pPr>
        <w:pStyle w:val="BodyText"/>
      </w:pPr>
      <w:hyperlink r:id="rId40">
        <w:r>
          <w:rPr>
            <w:rStyle w:val="Hyperlink"/>
          </w:rPr>
          <w:t>https://github.com/torealden/RLC-Agent/blob/8b1d34951816847c492c322888de1dd7c3150c83/rlc_master_agent/services/census_api.py</w:t>
        </w:r>
      </w:hyperlink>
      <w:bookmarkEnd w:id="8"/>
    </w:p>
    <w:sectPr w:rsidR="005F1B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88E1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F62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78215905">
    <w:abstractNumId w:val="0"/>
  </w:num>
  <w:num w:numId="2" w16cid:durableId="880551549">
    <w:abstractNumId w:val="1"/>
  </w:num>
  <w:num w:numId="3" w16cid:durableId="1844321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E5"/>
    <w:rsid w:val="005F1BE5"/>
    <w:rsid w:val="00677A97"/>
    <w:rsid w:val="007B12F3"/>
    <w:rsid w:val="00B946EE"/>
    <w:rsid w:val="00F84382"/>
    <w:rsid w:val="00FA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3EC7"/>
  <w15:docId w15:val="{7BAC2D5A-2EBD-4C28-802C-22EE0A0F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fas.usda.gov/opendataweb/home" TargetMode="External"/><Relationship Id="rId18" Type="http://schemas.openxmlformats.org/officeDocument/2006/relationships/hyperlink" Target="https://www.dropbox.com/preview/rlc%20documents/llm%20model%20and%20documents/projects/rlc-agent/api%20manager/outline%20and%20structure%20of%20api%20manager.docx" TargetMode="External"/><Relationship Id="rId26" Type="http://schemas.openxmlformats.org/officeDocument/2006/relationships/hyperlink" Target="https://www.dropbox.com/preview/rlc%20documents/llm%20model%20and%20documents/projects/planning/master%20agent%20overview%20with%20api%20error%20ugrade%20and%20asynch%20i-o.docx" TargetMode="External"/><Relationship Id="rId39" Type="http://schemas.openxmlformats.org/officeDocument/2006/relationships/hyperlink" Target="https://github.com/torealden/RLC-Agent/blob/8b1d34951816847c492c322888de1dd7c3150c83/rlc_master_agent/services/census_api.py" TargetMode="External"/><Relationship Id="rId21" Type="http://schemas.openxmlformats.org/officeDocument/2006/relationships/hyperlink" Target="https://www.dropbox.com/preview/rlc%20documents/llm%20model%20and%20documents/projects/planning/master%20agent%20overview%20with%20api%20error%20ugrade%20and%20asynch%20i-o.docx" TargetMode="External"/><Relationship Id="rId34" Type="http://schemas.openxmlformats.org/officeDocument/2006/relationships/hyperlink" Target="https://github.com/torealden/RLC-Agent/blob/8b1d34951816847c492c322888de1dd7c3150c83/rlc_master_agent/services/usda_api.py" TargetMode="External"/><Relationship Id="rId42" Type="http://schemas.openxmlformats.org/officeDocument/2006/relationships/theme" Target="theme/theme1.xml"/><Relationship Id="rId7" Type="http://schemas.openxmlformats.org/officeDocument/2006/relationships/hyperlink" Target="https://www.dropbox.com/preview/rlc%20documents/llm%20model%20and%20documents/projects/planning/master%20agent%20overview%20with%20api%20error%20ugrade%20and%20asynch%20i-o.docx" TargetMode="External"/><Relationship Id="rId2" Type="http://schemas.openxmlformats.org/officeDocument/2006/relationships/styles" Target="styles.xml"/><Relationship Id="rId16" Type="http://schemas.openxmlformats.org/officeDocument/2006/relationships/hyperlink" Target="https://www.dropbox.com/preview/rlc%20documents/llm%20model%20and%20documents/projects/planning/master%20agent%20overview%20with%20api%20error%20ugrade%20and%20asynch%20i-o.docx" TargetMode="External"/><Relationship Id="rId20" Type="http://schemas.openxmlformats.org/officeDocument/2006/relationships/hyperlink" Target="https://www.dropbox.com/preview/rlc%20documents/llm%20model%20and%20documents/projects/planning/master%20agent%20overview%20with%20api%20error%20ugrade%20and%20asynch%20i-o.docx" TargetMode="External"/><Relationship Id="rId29" Type="http://schemas.openxmlformats.org/officeDocument/2006/relationships/hyperlink" Target="https://www.dropbox.com/preview/rlc%20documents/rlc%20set%20up%20checklists/round%20lakes%20commodities%20projects%20overview.docx"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master%20agent%20overview%20with%20api%20error%20ugrade%20and%20asynch%20i-o.docx" TargetMode="External"/><Relationship Id="rId11" Type="http://schemas.openxmlformats.org/officeDocument/2006/relationships/hyperlink" Target="https://github.com/torealden/RLC-Agent/blob/8b1d34951816847c492c322888de1dd7c3150c83/rlc_master_agent/services/usda_api.py" TargetMode="External"/><Relationship Id="rId24" Type="http://schemas.openxmlformats.org/officeDocument/2006/relationships/hyperlink" Target="https://www.dropbox.com/preview/rlc%20documents/llm%20model%20and%20documents/projects/planning/master%20agent%20overview%20with%20api%20error%20ugrade%20and%20asynch%20i-o.docx" TargetMode="External"/><Relationship Id="rId32" Type="http://schemas.openxmlformats.org/officeDocument/2006/relationships/hyperlink" Target="https://www.dropbox.com/preview/rlc%20documents/llm%20model%20and%20documents/projects/rlc-agent/api%20manager/outline%20and%20structure%20of%20api%20manager.docx" TargetMode="External"/><Relationship Id="rId37" Type="http://schemas.openxmlformats.org/officeDocument/2006/relationships/hyperlink" Target="https://apps.fas.usda.gov/opendataweb/home" TargetMode="External"/><Relationship Id="rId40" Type="http://schemas.openxmlformats.org/officeDocument/2006/relationships/hyperlink" Target="https://github.com/torealden/RLC-Agent/blob/8b1d34951816847c492c322888de1dd7c3150c83/rlc_master_agent/services/census_api.py" TargetMode="External"/><Relationship Id="rId5" Type="http://schemas.openxmlformats.org/officeDocument/2006/relationships/hyperlink" Target="https://www.dropbox.com/preview/rlc%20documents/llm%20model%20and%20documents/projects/planning/master%20agent%20overview%20with%20api%20error%20ugrade%20and%20asynch%20i-o.docx" TargetMode="External"/><Relationship Id="rId15" Type="http://schemas.openxmlformats.org/officeDocument/2006/relationships/hyperlink" Target="https://github.com/torealden/RLC-Agent/blob/8b1d34951816847c492c322888de1dd7c3150c83/rlc_master_agent/services/census_api.py" TargetMode="External"/><Relationship Id="rId23" Type="http://schemas.openxmlformats.org/officeDocument/2006/relationships/hyperlink" Target="https://www.dropbox.com/preview/rlc%20documents/llm%20model%20and%20documents/projects/planning/master%20agent%20overview%20with%20api%20error%20ugrade%20and%20asynch%20i-o.docx" TargetMode="External"/><Relationship Id="rId28" Type="http://schemas.openxmlformats.org/officeDocument/2006/relationships/hyperlink" Target="https://www.dropbox.com/preview/rlc%20documents/llm%20model%20and%20documents/projects/planning/master%20agent%20overview%20with%20api%20error%20ugrade%20and%20asynch%20i-o.docx" TargetMode="External"/><Relationship Id="rId36" Type="http://schemas.openxmlformats.org/officeDocument/2006/relationships/hyperlink" Target="https://apps.fas.usda.gov/opendataweb/home" TargetMode="External"/><Relationship Id="rId10" Type="http://schemas.openxmlformats.org/officeDocument/2006/relationships/hyperlink" Target="https://www.dropbox.com/preview/rlc%20documents/llm%20model%20and%20documents/projects/rlc-agent/api%20manager/outline%20and%20structure%20of%20api%20manager.docx" TargetMode="External"/><Relationship Id="rId19" Type="http://schemas.openxmlformats.org/officeDocument/2006/relationships/hyperlink" Target="https://www.dropbox.com/preview/rlc%20documents/rlc%20set%20up%20checklists/round%20lakes%20commodities%20projects%20overview.docx" TargetMode="External"/><Relationship Id="rId31" Type="http://schemas.openxmlformats.org/officeDocument/2006/relationships/hyperlink" Target="https://www.dropbox.com/preview/rlc%20documents/llm%20model%20and%20documents/projects/rlc-agent/api%20manager/outline%20and%20structure%20of%20api%20manager.docx" TargetMode="External"/><Relationship Id="rId4" Type="http://schemas.openxmlformats.org/officeDocument/2006/relationships/webSettings" Target="webSettings.xml"/><Relationship Id="rId9" Type="http://schemas.openxmlformats.org/officeDocument/2006/relationships/hyperlink" Target="https://www.dropbox.com/preview/rlc%20documents/rlc%20set%20up%20checklists/round%20lakes%20commodities%20projects%20overview.docx" TargetMode="External"/><Relationship Id="rId14" Type="http://schemas.openxmlformats.org/officeDocument/2006/relationships/hyperlink" Target="https://github.com/torealden/RLC-Agent/blob/8b1d34951816847c492c322888de1dd7c3150c83/rlc_master_agent/services/census_api.py" TargetMode="External"/><Relationship Id="rId22" Type="http://schemas.openxmlformats.org/officeDocument/2006/relationships/hyperlink" Target="https://www.dropbox.com/preview/rlc%20documents/llm%20model%20and%20documents/projects/planning/master%20agent%20overview%20with%20api%20error%20ugrade%20and%20asynch%20i-o.docx" TargetMode="External"/><Relationship Id="rId27" Type="http://schemas.openxmlformats.org/officeDocument/2006/relationships/hyperlink" Target="https://www.dropbox.com/preview/rlc%20documents/llm%20model%20and%20documents/projects/planning/master%20agent%20overview%20with%20api%20error%20ugrade%20and%20asynch%20i-o.docx" TargetMode="External"/><Relationship Id="rId30" Type="http://schemas.openxmlformats.org/officeDocument/2006/relationships/hyperlink" Target="https://www.dropbox.com/preview/rlc%20documents/rlc%20set%20up%20checklists/round%20lakes%20commodities%20projects%20overview.docx" TargetMode="External"/><Relationship Id="rId35" Type="http://schemas.openxmlformats.org/officeDocument/2006/relationships/hyperlink" Target="https://github.com/torealden/RLC-Agent/blob/8b1d34951816847c492c322888de1dd7c3150c83/rlc_master_agent/services/usda_api.py" TargetMode="External"/><Relationship Id="rId8" Type="http://schemas.openxmlformats.org/officeDocument/2006/relationships/hyperlink" Target="https://www.dropbox.com/preview/rlc%20documents/llm%20model%20and%20documents/projects/planning/master%20agent%20overview%20with%20api%20error%20ugrade%20and%20asynch%20i-o.docx" TargetMode="External"/><Relationship Id="rId3" Type="http://schemas.openxmlformats.org/officeDocument/2006/relationships/settings" Target="settings.xml"/><Relationship Id="rId12" Type="http://schemas.openxmlformats.org/officeDocument/2006/relationships/hyperlink" Target="https://github.com/torealden/RLC-Agent/blob/8b1d34951816847c492c322888de1dd7c3150c83/rlc_master_agent/services/usda_api.py" TargetMode="External"/><Relationship Id="rId17" Type="http://schemas.openxmlformats.org/officeDocument/2006/relationships/hyperlink" Target="https://www.dropbox.com/preview/rlc%20documents/llm%20model%20and%20documents/projects/planning/master%20agent%20overview%20with%20api%20error%20ugrade%20and%20asynch%20i-o.docx" TargetMode="External"/><Relationship Id="rId25" Type="http://schemas.openxmlformats.org/officeDocument/2006/relationships/hyperlink" Target="https://www.dropbox.com/preview/rlc%20documents/llm%20model%20and%20documents/projects/planning/master%20agent%20overview%20with%20api%20error%20ugrade%20and%20asynch%20i-o.docx" TargetMode="External"/><Relationship Id="rId33" Type="http://schemas.openxmlformats.org/officeDocument/2006/relationships/hyperlink" Target="https://github.com/torealden/RLC-Agent/blob/8b1d34951816847c492c322888de1dd7c3150c83/rlc_master_agent/services/usda_api.py" TargetMode="External"/><Relationship Id="rId38" Type="http://schemas.openxmlformats.org/officeDocument/2006/relationships/hyperlink" Target="https://github.com/torealden/RLC-Agent/blob/8b1d34951816847c492c322888de1dd7c3150c83/rlc_master_agent/services/census_api.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1756</TotalTime>
  <Pages>1</Pages>
  <Words>4740</Words>
  <Characters>29009</Characters>
  <Application>Microsoft Office Word</Application>
  <DocSecurity>0</DocSecurity>
  <Lines>1115</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4</cp:revision>
  <dcterms:created xsi:type="dcterms:W3CDTF">2025-12-06T12:26:00Z</dcterms:created>
  <dcterms:modified xsi:type="dcterms:W3CDTF">2025-12-08T10:20:00Z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