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a365d"/>
          <w:sz w:val="48"/>
          <w:szCs w:val="48"/>
        </w:rPr>
        <w:t xml:space="preserve">Agricultural Econometric Models</w:t>
      </w:r>
    </w:p>
    <w:p>
      <w:pPr>
        <w:spacing w:after="200"/>
        <w:jc w:val="center"/>
      </w:pPr>
      <w:r>
        <w:rPr>
          <w:i/>
          <w:iCs/>
          <w:sz w:val="24"/>
          <w:szCs w:val="24"/>
        </w:rPr>
        <w:t xml:space="preserve">Comprehensive Reference Guide for Supply, Demand, Trade, and Price Forecasting</w:t>
      </w:r>
    </w:p>
    <w:p>
      <w:pPr>
        <w:spacing w:after="400"/>
        <w:jc w:val="center"/>
      </w:pPr>
      <w:r>
        <w:rPr>
          <w:sz w:val="22"/>
          <w:szCs w:val="22"/>
        </w:rPr>
        <w:t xml:space="preserve">Implementation Manual for LLM-Based Forecasting Systems</w:t>
      </w:r>
    </w:p>
    <w:p>
      <w:pPr>
        <w:spacing w:after="600"/>
        <w:jc w:val="center"/>
      </w:pPr>
      <w:r>
        <w:rPr>
          <w:color w:val="666666"/>
          <w:sz w:val="20"/>
          <w:szCs w:val="20"/>
        </w:rPr>
        <w:t xml:space="preserve">RLC Consulting — January 2026 — Version 2.0</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 and Purpose</w:t>
      </w:r>
    </w:p>
    <w:p>
      <w:pPr>
        <w:pStyle w:val="Heading2"/>
      </w:pPr>
      <w:r>
        <w:t xml:space="preserve">1.1 Document Purpose</w:t>
      </w:r>
    </w:p>
    <w:p>
      <w:pPr>
        <w:spacing w:after="120" w:line="276"/>
      </w:pPr>
      <w:r>
        <w:t xml:space="preserve">This reference guide provides comprehensive documentation for econometric models applicable to forecasting agricultural commodities. It is designed to serve three primary functions:</w:t>
      </w:r>
    </w:p>
    <w:p>
      <w:pPr>
        <w:pStyle w:val="ListParagraph"/>
        <w:numPr>
          <w:ilvl w:val="0"/>
          <w:numId w:val="2"/>
        </w:numPr>
        <w:spacing w:after="80" w:line="276"/>
      </w:pPr>
      <w:r>
        <w:t xml:space="preserve">Technical reference for human analysts building quantitative models</w:t>
      </w:r>
    </w:p>
    <w:p>
      <w:pPr>
        <w:pStyle w:val="ListParagraph"/>
        <w:numPr>
          <w:ilvl w:val="0"/>
          <w:numId w:val="2"/>
        </w:numPr>
        <w:spacing w:after="80" w:line="276"/>
      </w:pPr>
      <w:r>
        <w:t xml:space="preserve">Implementation guide for LLM-based automated forecasting systems</w:t>
      </w:r>
    </w:p>
    <w:p>
      <w:pPr>
        <w:pStyle w:val="ListParagraph"/>
        <w:numPr>
          <w:ilvl w:val="0"/>
          <w:numId w:val="2"/>
        </w:numPr>
        <w:spacing w:after="80" w:line="276"/>
      </w:pPr>
      <w:r>
        <w:t xml:space="preserve">Data dictionary linking model inputs to the rlc_commodities database schema</w:t>
      </w:r>
    </w:p>
    <w:p>
      <w:pPr>
        <w:spacing w:after="120" w:line="276"/>
      </w:pPr>
      <w:r>
        <w:t xml:space="preserve">The guide covers major row crops (corn, wheat, soybeans), oilseed products (vegetable oils, protein meals), biofuels (ethanol, biodiesel, renewable diesel, sustainable aviation fuel), and related markets. Each model section includes theoretical foundations, key equations, parameter estimates from empirical literature, implementation considerations, and database field mappings.</w:t>
      </w:r>
    </w:p>
    <w:p>
      <w:pPr>
        <w:pStyle w:val="Heading2"/>
      </w:pPr>
      <w:r>
        <w:t xml:space="preserve">1.2 LLM Implementation Guidelines</w:t>
      </w:r>
    </w:p>
    <w:p>
      <w:pPr>
        <w:spacing w:after="120" w:line="276"/>
      </w:pPr>
      <w:r>
        <w:t xml:space="preserve">When an LLM agent is tasked with building a bespoke forecasting model or generating supply-demand projections, it should follow this decision framework:</w:t>
      </w:r>
    </w:p>
    <w:p>
      <w:pPr>
        <w:pStyle w:val="ListParagraph"/>
        <w:numPr>
          <w:ilvl w:val="0"/>
          <w:numId w:val="2"/>
        </w:numPr>
        <w:spacing w:after="80" w:line="276"/>
      </w:pPr>
      <w:r>
        <w:t xml:space="preserve">Identify the forecasting objective: balance sheet projection, price forecast, trade flow analysis, or scenario evaluation</w:t>
      </w:r>
    </w:p>
    <w:p>
      <w:pPr>
        <w:pStyle w:val="ListParagraph"/>
        <w:numPr>
          <w:ilvl w:val="0"/>
          <w:numId w:val="2"/>
        </w:numPr>
        <w:spacing w:after="80" w:line="276"/>
      </w:pPr>
      <w:r>
        <w:t xml:space="preserve">Determine the appropriate time horizon: short-term (days to weeks), medium-term (marketing year), or long-term (multi-year scenarios)</w:t>
      </w:r>
    </w:p>
    <w:p>
      <w:pPr>
        <w:pStyle w:val="ListParagraph"/>
        <w:numPr>
          <w:ilvl w:val="0"/>
          <w:numId w:val="2"/>
        </w:numPr>
        <w:spacing w:after="80" w:line="276"/>
      </w:pPr>
      <w:r>
        <w:t xml:space="preserve">Select model class based on data availability and analytical requirements</w:t>
      </w:r>
    </w:p>
    <w:p>
      <w:pPr>
        <w:pStyle w:val="ListParagraph"/>
        <w:numPr>
          <w:ilvl w:val="0"/>
          <w:numId w:val="2"/>
        </w:numPr>
        <w:spacing w:after="80" w:line="276"/>
      </w:pPr>
      <w:r>
        <w:t xml:space="preserve">Query rlc_commodities database for required inputs</w:t>
      </w:r>
    </w:p>
    <w:p>
      <w:pPr>
        <w:pStyle w:val="ListParagraph"/>
        <w:numPr>
          <w:ilvl w:val="0"/>
          <w:numId w:val="2"/>
        </w:numPr>
        <w:spacing w:after="80" w:line="276"/>
      </w:pPr>
      <w:r>
        <w:t xml:space="preserve">Apply model equations with appropriate parameter values from this guide</w:t>
      </w:r>
    </w:p>
    <w:p>
      <w:pPr>
        <w:pStyle w:val="ListParagraph"/>
        <w:numPr>
          <w:ilvl w:val="0"/>
          <w:numId w:val="2"/>
        </w:numPr>
        <w:spacing w:after="80" w:line="276"/>
      </w:pPr>
      <w:r>
        <w:t xml:space="preserve">Generate uncertainty bounds using Monte Carlo or ensemble methods</w:t>
      </w:r>
    </w:p>
    <w:p>
      <w:pPr>
        <w:pStyle w:val="ListParagraph"/>
        <w:numPr>
          <w:ilvl w:val="0"/>
          <w:numId w:val="2"/>
        </w:numPr>
        <w:spacing w:after="80" w:line="276"/>
      </w:pPr>
      <w:r>
        <w:t xml:space="preserve">Validate outputs against recent WASDE or comparable benchmarks</w:t>
      </w:r>
    </w:p>
    <w:p>
      <w:pPr>
        <w:pStyle w:val="Heading2"/>
      </w:pPr>
      <w:r>
        <w:t xml:space="preserve">1.3 Database Integration</w:t>
      </w:r>
    </w:p>
    <w:p>
      <w:pPr>
        <w:spacing w:after="120" w:line="276"/>
      </w:pPr>
      <w:r>
        <w:t xml:space="preserve">All models in this guide are designed to interface with the rlc_commodities database. Key schema references:</w:t>
      </w:r>
    </w:p>
    <w:p>
      <w:pPr>
        <w:shd w:fill="f5f5f5" w:val="clear"/>
        <w:spacing w:before="80" w:after="80"/>
        <w:ind w:left="360" w:right="360"/>
      </w:pPr>
      <w:r>
        <w:rPr>
          <w:rFonts w:ascii="Consolas" w:cs="Consolas" w:eastAsia="Consolas" w:hAnsi="Consolas"/>
          <w:sz w:val="18"/>
          <w:szCs w:val="18"/>
        </w:rPr>
        <w:t xml:space="preserve">-- Core tables for model inputs</w:t>
      </w:r>
    </w:p>
    <w:p>
      <w:pPr>
        <w:shd w:fill="f5f5f5" w:val="clear"/>
        <w:spacing w:before="80" w:after="80"/>
        <w:ind w:left="360" w:right="360"/>
      </w:pPr>
      <w:r>
        <w:rPr>
          <w:rFonts w:ascii="Consolas" w:cs="Consolas" w:eastAsia="Consolas" w:hAnsi="Consolas"/>
          <w:sz w:val="18"/>
          <w:szCs w:val="18"/>
        </w:rPr>
        <w:t xml:space="preserve">usda_wasde          -- Monthly balance sheet data (production, use, stocks, prices)</w:t>
      </w:r>
    </w:p>
    <w:p>
      <w:pPr>
        <w:shd w:fill="f5f5f5" w:val="clear"/>
        <w:spacing w:before="80" w:after="80"/>
        <w:ind w:left="360" w:right="360"/>
      </w:pPr>
      <w:r>
        <w:rPr>
          <w:rFonts w:ascii="Consolas" w:cs="Consolas" w:eastAsia="Consolas" w:hAnsi="Consolas"/>
          <w:sz w:val="18"/>
          <w:szCs w:val="18"/>
        </w:rPr>
        <w:t xml:space="preserve">usda_psd            -- Production, Supply, and Distribution (country-level)</w:t>
      </w:r>
    </w:p>
    <w:p>
      <w:pPr>
        <w:shd w:fill="f5f5f5" w:val="clear"/>
        <w:spacing w:before="80" w:after="80"/>
        <w:ind w:left="360" w:right="360"/>
      </w:pPr>
      <w:r>
        <w:rPr>
          <w:rFonts w:ascii="Consolas" w:cs="Consolas" w:eastAsia="Consolas" w:hAnsi="Consolas"/>
          <w:sz w:val="18"/>
          <w:szCs w:val="18"/>
        </w:rPr>
        <w:t xml:space="preserve">census_trade        -- US trade flows with Schedule B/HS codes</w:t>
      </w:r>
    </w:p>
    <w:p>
      <w:pPr>
        <w:shd w:fill="f5f5f5" w:val="clear"/>
        <w:spacing w:before="80" w:after="80"/>
        <w:ind w:left="360" w:right="360"/>
      </w:pPr>
      <w:r>
        <w:rPr>
          <w:rFonts w:ascii="Consolas" w:cs="Consolas" w:eastAsia="Consolas" w:hAnsi="Consolas"/>
          <w:sz w:val="18"/>
          <w:szCs w:val="18"/>
        </w:rPr>
        <w:t xml:space="preserve">cme_futures         -- Daily settlement prices for corn, soybeans, wheat, etc.</w:t>
      </w:r>
    </w:p>
    <w:p>
      <w:pPr>
        <w:shd w:fill="f5f5f5" w:val="clear"/>
        <w:spacing w:before="80" w:after="80"/>
        <w:ind w:left="360" w:right="360"/>
      </w:pPr>
      <w:r>
        <w:rPr>
          <w:rFonts w:ascii="Consolas" w:cs="Consolas" w:eastAsia="Consolas" w:hAnsi="Consolas"/>
          <w:sz w:val="18"/>
          <w:szCs w:val="18"/>
        </w:rPr>
        <w:t xml:space="preserve">usda_ams_prices     -- Cash market prices from Agricultural Marketing Service</w:t>
      </w:r>
    </w:p>
    <w:p>
      <w:pPr>
        <w:shd w:fill="f5f5f5" w:val="clear"/>
        <w:spacing w:before="80" w:after="80"/>
        <w:ind w:left="360" w:right="360"/>
      </w:pPr>
      <w:r>
        <w:rPr>
          <w:rFonts w:ascii="Consolas" w:cs="Consolas" w:eastAsia="Consolas" w:hAnsi="Consolas"/>
          <w:sz w:val="18"/>
          <w:szCs w:val="18"/>
        </w:rPr>
        <w:t xml:space="preserve">eia_biofuels        -- Ethanol/biodiesel production, stocks, margins</w:t>
      </w:r>
    </w:p>
    <w:p>
      <w:pPr>
        <w:shd w:fill="f5f5f5" w:val="clear"/>
        <w:spacing w:before="80" w:after="80"/>
        <w:ind w:left="360" w:right="360"/>
      </w:pPr>
      <w:r>
        <w:rPr>
          <w:rFonts w:ascii="Consolas" w:cs="Consolas" w:eastAsia="Consolas" w:hAnsi="Consolas"/>
          <w:sz w:val="18"/>
          <w:szCs w:val="18"/>
        </w:rPr>
        <w:t xml:space="preserve">noaa_weather        -- Temperature, precipitation for yield modeling</w:t>
      </w:r>
    </w:p>
    <w:p>
      <w:pPr>
        <w:shd w:fill="f5f5f5" w:val="clear"/>
        <w:spacing w:before="80" w:after="80"/>
        <w:ind w:left="360" w:right="360"/>
      </w:pPr>
      <w:r>
        <w:rPr>
          <w:rFonts w:ascii="Consolas" w:cs="Consolas" w:eastAsia="Consolas" w:hAnsi="Consolas"/>
          <w:sz w:val="18"/>
          <w:szCs w:val="18"/>
        </w:rPr>
        <w:t xml:space="preserve">usda_crop_progress  -- Weekly planting/harvest progress and crop conditions</w:t>
      </w:r>
    </w:p>
    <w:p>
      <w:r>
        <w:br w:type="page"/>
      </w:r>
    </w:p>
    <w:p>
      <w:pPr>
        <w:pStyle w:val="Heading1"/>
      </w:pPr>
      <w:r>
        <w:t xml:space="preserve">2. Model Classification Framework</w:t>
      </w:r>
    </w:p>
    <w:p>
      <w:pPr>
        <w:pStyle w:val="Heading2"/>
      </w:pPr>
      <w:r>
        <w:t xml:space="preserve">2.1 By Analytical Paradigm</w:t>
      </w:r>
    </w:p>
    <w:p>
      <w:pPr>
        <w:spacing w:after="120" w:line="276"/>
      </w:pPr>
      <w:r>
        <w:t xml:space="preserve">Agricultural econometric models fall into three fundamental paradigms, each suited to different analytical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Paradigm</w:t>
            </w:r>
          </w:p>
        </w:tc>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Best Applications</w:t>
            </w:r>
          </w:p>
        </w:tc>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Key Assumptions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Partial Equilibrium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Single commodity or linked sector focus; prices clear within modeled markets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Balance sheet projections, commodity-specific policy analysis, short-to-medium term forecasting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Other markets exogenous; supply/demand elasticities stable</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General Equilibrium (CGE)</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Economy-wide; all markets clear simultaneously with factor constraints</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Trade policy analysis, economy-wide resource reallocation, long-term structural change</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Full employment; perfect competition; constant returns to scale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Time-Series / ML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Statistical patterns in historical data; minimal structural assumptions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Price forecasting, volatility modeling, basis prediction, pattern recognition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Stationarity (or transformation to achieve); patterns persist</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Hybrid / Ensemble</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Combines structural and statistical approaches; residual correction</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Complex forecasting tasks; regime-switching markets; volatile conditions</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Different models capture different signal components</w:t>
            </w:r>
          </w:p>
        </w:tc>
      </w:tr>
    </w:tbl>
    <w:p>
      <w:pPr>
        <w:pStyle w:val="Heading2"/>
      </w:pPr>
      <w:r>
        <w:t xml:space="preserve">2.2 By Forecasting Horizon</w:t>
      </w:r>
    </w:p>
    <w:p>
      <w:pPr>
        <w:spacing w:after="120" w:line="276"/>
      </w:pPr>
      <w:r>
        <w:t xml:space="preserve">Model selection should align with the forecasting horizon: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Horizon</w:t>
            </w:r>
          </w:p>
        </w:tc>
        <w:tc>
          <w:tcPr>
            <w:tcW w:type="dxa" w:w="2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Typical Range</w:t>
            </w:r>
          </w:p>
        </w:tc>
        <w:tc>
          <w:tcPr>
            <w:tcW w:type="dxa" w:w="27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Recommended Models</w:t>
            </w:r>
          </w:p>
        </w:tc>
        <w:tc>
          <w:tcPr>
            <w:tcW w:type="dxa" w:w="266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Primary Data Sources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Intraday/Daily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Hours to 5 days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LSTM, GRU, Transformer, technical indicators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cme_futures, order flow, sentiment</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Short-term</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1 week to 3 months</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ARIMA-LSTM hybrid, VAR, basis models</w:t>
            </w:r>
          </w:p>
        </w:tc>
        <w:tc>
          <w:tcPr>
            <w:tcW w:type="dxa" w:w="2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cme_futures, usda_ams_prices, export_inspections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Medium-term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Marketing year (12 mo)</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WASDE-style balance sheets, FAPRI structure</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usda_wasde, usda_psd, eia_biofuels</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Long-term</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2-30 years</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SIMPLE-G, GTAP, IMPACT</w:t>
            </w:r>
          </w:p>
        </w:tc>
        <w:tc>
          <w:tcPr>
            <w:tcW w:type="dxa" w:w="2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FAO projections, land use data, population forecasts</w:t>
            </w:r>
          </w:p>
        </w:tc>
      </w:tr>
    </w:tbl>
    <w:p>
      <w:pPr>
        <w:pStyle w:val="Heading2"/>
      </w:pPr>
      <w:r>
        <w:t xml:space="preserve">2.3 Model Selection Decision Tree</w:t>
      </w:r>
    </w:p>
    <w:p>
      <w:pPr>
        <w:spacing w:after="120" w:line="276"/>
      </w:pPr>
      <w:r>
        <w:t xml:space="preserve">LLM agents should use this decision logic when selecting models:</w:t>
      </w:r>
    </w:p>
    <w:p>
      <w:pPr>
        <w:pStyle w:val="ListParagraph"/>
        <w:numPr>
          <w:ilvl w:val="0"/>
          <w:numId w:val="2"/>
        </w:numPr>
        <w:spacing w:after="80" w:line="276"/>
      </w:pPr>
      <w:r>
        <w:t xml:space="preserve">IF forecasting horizon &lt; 30 days AND price-only forecast needed:</w:t>
      </w:r>
    </w:p>
    <w:p>
      <w:pPr>
        <w:pStyle w:val="ListParagraph"/>
        <w:numPr>
          <w:ilvl w:val="1"/>
          <w:numId w:val="2"/>
        </w:numPr>
        <w:spacing w:after="80" w:line="276"/>
      </w:pPr>
      <w:r>
        <w:t xml:space="preserve">Use time-series methods (ARIMA, LSTM, or hybrid)</w:t>
      </w:r>
    </w:p>
    <w:p>
      <w:pPr>
        <w:pStyle w:val="ListParagraph"/>
        <w:numPr>
          <w:ilvl w:val="0"/>
          <w:numId w:val="2"/>
        </w:numPr>
        <w:spacing w:after="80" w:line="276"/>
      </w:pPr>
      <w:r>
        <w:t xml:space="preserve">IF balance sheet projection for current marketing year:</w:t>
      </w:r>
    </w:p>
    <w:p>
      <w:pPr>
        <w:pStyle w:val="ListParagraph"/>
        <w:numPr>
          <w:ilvl w:val="1"/>
          <w:numId w:val="2"/>
        </w:numPr>
        <w:spacing w:after="80" w:line="276"/>
      </w:pPr>
      <w:r>
        <w:t xml:space="preserve">Use WASDE-style accounting with elasticity adjustments</w:t>
      </w:r>
    </w:p>
    <w:p>
      <w:pPr>
        <w:pStyle w:val="ListParagraph"/>
        <w:numPr>
          <w:ilvl w:val="0"/>
          <w:numId w:val="2"/>
        </w:numPr>
        <w:spacing w:after="80" w:line="276"/>
      </w:pPr>
      <w:r>
        <w:t xml:space="preserve">IF policy scenario analysis required:</w:t>
      </w:r>
    </w:p>
    <w:p>
      <w:pPr>
        <w:pStyle w:val="ListParagraph"/>
        <w:numPr>
          <w:ilvl w:val="1"/>
          <w:numId w:val="2"/>
        </w:numPr>
        <w:spacing w:after="80" w:line="276"/>
      </w:pPr>
      <w:r>
        <w:t xml:space="preserve">Use partial equilibrium (FAPRI-style) for single-commodity</w:t>
      </w:r>
    </w:p>
    <w:p>
      <w:pPr>
        <w:pStyle w:val="ListParagraph"/>
        <w:numPr>
          <w:ilvl w:val="1"/>
          <w:numId w:val="2"/>
        </w:numPr>
        <w:spacing w:after="80" w:line="276"/>
      </w:pPr>
      <w:r>
        <w:t xml:space="preserve">Use CGE (GTAP) for cross-sector or trade policy effects</w:t>
      </w:r>
    </w:p>
    <w:p>
      <w:pPr>
        <w:pStyle w:val="ListParagraph"/>
        <w:numPr>
          <w:ilvl w:val="0"/>
          <w:numId w:val="2"/>
        </w:numPr>
        <w:spacing w:after="80" w:line="276"/>
      </w:pPr>
      <w:r>
        <w:t xml:space="preserve">IF biofuel market linkages important:</w:t>
      </w:r>
    </w:p>
    <w:p>
      <w:pPr>
        <w:pStyle w:val="ListParagraph"/>
        <w:numPr>
          <w:ilvl w:val="1"/>
          <w:numId w:val="2"/>
        </w:numPr>
        <w:spacing w:after="80" w:line="276"/>
      </w:pPr>
      <w:r>
        <w:t xml:space="preserve">Include corn-ethanol and soy-biodiesel sub-models</w:t>
      </w:r>
    </w:p>
    <w:p>
      <w:pPr>
        <w:pStyle w:val="ListParagraph"/>
        <w:numPr>
          <w:ilvl w:val="1"/>
          <w:numId w:val="2"/>
        </w:numPr>
        <w:spacing w:after="80" w:line="276"/>
      </w:pPr>
      <w:r>
        <w:t xml:space="preserve">Link crush economics for oilseed complex</w:t>
      </w:r>
    </w:p>
    <w:p>
      <w:pPr>
        <w:pStyle w:val="ListParagraph"/>
        <w:numPr>
          <w:ilvl w:val="0"/>
          <w:numId w:val="2"/>
        </w:numPr>
        <w:spacing w:after="80" w:line="276"/>
      </w:pPr>
      <w:r>
        <w:t xml:space="preserve">IF uncertainty quantification required:</w:t>
      </w:r>
    </w:p>
    <w:p>
      <w:pPr>
        <w:pStyle w:val="ListParagraph"/>
        <w:numPr>
          <w:ilvl w:val="1"/>
          <w:numId w:val="2"/>
        </w:numPr>
        <w:spacing w:after="80" w:line="276"/>
      </w:pPr>
      <w:r>
        <w:t xml:space="preserve">Apply Monte Carlo simulation over parameter distributions</w:t>
      </w:r>
    </w:p>
    <w:p>
      <w:pPr>
        <w:pStyle w:val="ListParagraph"/>
        <w:numPr>
          <w:ilvl w:val="1"/>
          <w:numId w:val="2"/>
        </w:numPr>
        <w:spacing w:after="80" w:line="276"/>
      </w:pPr>
      <w:r>
        <w:t xml:space="preserve">Use ensemble combination across model classes</w:t>
      </w:r>
    </w:p>
    <w:p>
      <w:r>
        <w:br w:type="page"/>
      </w:r>
    </w:p>
    <w:p>
      <w:pPr>
        <w:pStyle w:val="Heading1"/>
      </w:pPr>
      <w:r>
        <w:t xml:space="preserve">3. Supply-Demand Balance Sheet Models</w:t>
      </w:r>
    </w:p>
    <w:p>
      <w:pPr>
        <w:pStyle w:val="Heading2"/>
      </w:pPr>
      <w:r>
        <w:t xml:space="preserve">3.1 Fundamental Balance Sheet Identity</w:t>
      </w:r>
    </w:p>
    <w:p>
      <w:pPr>
        <w:spacing w:after="120" w:line="276"/>
      </w:pPr>
      <w:r>
        <w:t xml:space="preserve">The core accounting identity that must hold for every commodity in every time period:</w:t>
      </w:r>
    </w:p>
    <w:p>
      <w:pPr>
        <w:spacing w:before="120" w:after="120"/>
        <w:ind w:left="720"/>
      </w:pPr>
      <w:r>
        <w:rPr>
          <w:i/>
          <w:iCs/>
          <w:sz w:val="20"/>
          <w:szCs w:val="20"/>
        </w:rPr>
        <w:t xml:space="preserve">Beginning_Stocks + Production + Imports = Domestic_Use + Exports + Ending_Stocks</w:t>
      </w:r>
    </w:p>
    <w:p>
      <w:pPr>
        <w:spacing w:after="120" w:line="276"/>
      </w:pPr>
      <w:r>
        <w:t xml:space="preserve">This identity serves as both a constraint and a forecasting framework. Each component is modeled separately, and the system is solved for market-clearing prices and quantities.</w:t>
      </w:r>
    </w:p>
    <w:p>
      <w:pPr>
        <w:pStyle w:val="Heading3"/>
      </w:pPr>
      <w:r>
        <w:t xml:space="preserve">3.1.1 Database Mapping</w:t>
      </w:r>
    </w:p>
    <w:p>
      <w:pPr>
        <w:shd w:fill="f5f5f5" w:val="clear"/>
        <w:spacing w:before="80" w:after="80"/>
        <w:ind w:left="360" w:right="360"/>
      </w:pPr>
      <w:r>
        <w:rPr>
          <w:rFonts w:ascii="Consolas" w:cs="Consolas" w:eastAsia="Consolas" w:hAnsi="Consolas"/>
          <w:sz w:val="18"/>
          <w:szCs w:val="18"/>
        </w:rPr>
        <w:t xml:space="preserve">-- Balance sheet components from usda_wasde</w:t>
      </w:r>
    </w:p>
    <w:p>
      <w:pPr>
        <w:shd w:fill="f5f5f5" w:val="clear"/>
        <w:spacing w:before="80" w:after="80"/>
        <w:ind w:left="360" w:right="360"/>
      </w:pPr>
      <w:r>
        <w:rPr>
          <w:rFonts w:ascii="Consolas" w:cs="Consolas" w:eastAsia="Consolas" w:hAnsi="Consolas"/>
          <w:sz w:val="18"/>
          <w:szCs w:val="18"/>
        </w:rPr>
        <w:t xml:space="preserve">SELECT commodity, marketing_year, beginning_stocks, production,</w:t>
      </w:r>
    </w:p>
    <w:p>
      <w:pPr>
        <w:shd w:fill="f5f5f5" w:val="clear"/>
        <w:spacing w:before="80" w:after="80"/>
        <w:ind w:left="360" w:right="360"/>
      </w:pPr>
      <w:r>
        <w:rPr>
          <w:rFonts w:ascii="Consolas" w:cs="Consolas" w:eastAsia="Consolas" w:hAnsi="Consolas"/>
          <w:sz w:val="18"/>
          <w:szCs w:val="18"/>
        </w:rPr>
        <w:t xml:space="preserve">       imports, domestic_use, exports, ending_stocks, price</w:t>
      </w:r>
    </w:p>
    <w:p>
      <w:pPr>
        <w:shd w:fill="f5f5f5" w:val="clear"/>
        <w:spacing w:before="80" w:after="80"/>
        <w:ind w:left="360" w:right="360"/>
      </w:pPr>
      <w:r>
        <w:rPr>
          <w:rFonts w:ascii="Consolas" w:cs="Consolas" w:eastAsia="Consolas" w:hAnsi="Consolas"/>
          <w:sz w:val="18"/>
          <w:szCs w:val="18"/>
        </w:rPr>
        <w:t xml:space="preserve">FROM usda_wasde WHERE commodity IN ('corn', 'soybeans', 'wheat')</w:t>
      </w:r>
    </w:p>
    <w:p>
      <w:pPr>
        <w:pStyle w:val="Heading2"/>
      </w:pPr>
      <w:r>
        <w:t xml:space="preserve">3.2 WASDE Forecasting Methodology</w:t>
      </w:r>
    </w:p>
    <w:p>
      <w:pPr>
        <w:spacing w:after="120" w:line="276"/>
      </w:pPr>
      <w:r>
        <w:t xml:space="preserve">USDA's World Agricultural Supply and Demand Estimates combines econometric sub-models with expert judgment through the Interagency Commodity Estimates Committee (ICEC) process.</w:t>
      </w:r>
    </w:p>
    <w:p>
      <w:pPr>
        <w:pStyle w:val="Heading3"/>
      </w:pPr>
      <w:r>
        <w:t xml:space="preserve">3.2.1 Production Forecasting</w:t>
      </w:r>
    </w:p>
    <w:p>
      <w:pPr>
        <w:spacing w:after="120" w:line="276"/>
      </w:pPr>
      <w:r>
        <w:t xml:space="preserve">Production = Harvested_Area × Yield</w:t>
      </w:r>
    </w:p>
    <w:p>
      <w:pPr>
        <w:spacing w:after="120" w:line="276"/>
      </w:pPr>
      <w:r>
        <w:t xml:space="preserve">Area response to lagged prices (Nerlove partial adjustment):</w:t>
      </w:r>
    </w:p>
    <w:p>
      <w:pPr>
        <w:spacing w:before="120" w:after="120"/>
        <w:ind w:left="720"/>
      </w:pPr>
      <w:r>
        <w:rPr>
          <w:i/>
          <w:iCs/>
          <w:sz w:val="20"/>
          <w:szCs w:val="20"/>
        </w:rPr>
        <w:t xml:space="preserve">A_t = α + β₁P_{t-1} + β₂A_{t-1} + β₃Costs_t + β₄Policy_t + ε_t</w:t>
      </w:r>
    </w:p>
    <w:p>
      <w:pPr>
        <w:spacing w:after="120" w:line="276"/>
      </w:pPr>
      <w:r>
        <w:t xml:space="preserve">Yield trend with weather adjustment:</w:t>
      </w:r>
    </w:p>
    <w:p>
      <w:pPr>
        <w:spacing w:before="120" w:after="120"/>
        <w:ind w:left="720"/>
      </w:pPr>
      <w:r>
        <w:rPr>
          <w:i/>
          <w:iCs/>
          <w:sz w:val="20"/>
          <w:szCs w:val="20"/>
        </w:rPr>
        <w:t xml:space="preserve">Y_t = γ₀ + γ₁·trend + γ₂·weather_t + γ₃·technology_t + u_t</w:t>
      </w:r>
    </w:p>
    <w:p>
      <w:pPr>
        <w:spacing w:after="120" w:line="276"/>
      </w:pPr>
      <w:r>
        <w:t xml:space="preserve">Key parameter estimates from literature: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Commodity</w:t>
            </w:r>
          </w:p>
        </w:tc>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Acreage Elasticity</w:t>
            </w:r>
          </w:p>
        </w:tc>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Yield Trend (bu/ac/yr)</w:t>
            </w:r>
          </w:p>
        </w:tc>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Weather Sensitivity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Corn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0.33 (±0.05)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1.8-2.0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 (July-Aug critical)</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Soybeans</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0.54 (±0.08)</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0.4-0.5</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Moderate (Aug critical)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Wheat (winter)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0.28 (±0.04)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0.5-0.6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Moderate (May-June)</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Wheat (spring)</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0.32 (±0.06)</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0.4-0.5</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High (June-July)</w:t>
            </w:r>
          </w:p>
        </w:tc>
      </w:tr>
    </w:tbl>
    <w:p>
      <w:pPr>
        <w:pStyle w:val="Heading3"/>
      </w:pPr>
      <w:r>
        <w:t xml:space="preserve">3.2.2 Demand Components</w:t>
      </w:r>
    </w:p>
    <w:p>
      <w:pPr>
        <w:spacing w:after="120" w:line="276"/>
      </w:pPr>
      <w:r>
        <w:t xml:space="preserve">Domestic use is decomposed into feed, food, seed, and industrial (including biofuels):</w:t>
      </w:r>
    </w:p>
    <w:p>
      <w:pPr>
        <w:spacing w:before="120" w:after="120"/>
        <w:ind w:left="720"/>
      </w:pPr>
      <w:r>
        <w:rPr>
          <w:i/>
          <w:iCs/>
          <w:sz w:val="20"/>
          <w:szCs w:val="20"/>
        </w:rPr>
        <w:t xml:space="preserve">Feed_t = δ₀ + δ₁·livestock_inventory_t + δ₂·feed_price_ratio_t + δ₃·DDGS_availability_t</w:t>
      </w:r>
    </w:p>
    <w:p>
      <w:pPr>
        <w:spacing w:before="120" w:after="120"/>
        <w:ind w:left="720"/>
      </w:pPr>
      <w:r>
        <w:rPr>
          <w:i/>
          <w:iCs/>
          <w:sz w:val="20"/>
          <w:szCs w:val="20"/>
        </w:rPr>
        <w:t xml:space="preserve">Food_t = φ₀ + φ₁·population_t + φ₂·income_t + φ₃·relative_price_t</w:t>
      </w:r>
    </w:p>
    <w:p>
      <w:pPr>
        <w:spacing w:before="120" w:after="120"/>
        <w:ind w:left="720"/>
      </w:pPr>
      <w:r>
        <w:rPr>
          <w:i/>
          <w:iCs/>
          <w:sz w:val="20"/>
          <w:szCs w:val="20"/>
        </w:rPr>
        <w:t xml:space="preserve">Ethanol_t = min(plant_capacity_t, f(corn_price_t, ethanol_price_t, RFS_mandate_t))</w:t>
      </w:r>
    </w:p>
    <w:p>
      <w:pPr>
        <w:spacing w:after="120" w:line="276"/>
      </w:pPr>
      <w:r>
        <w:t xml:space="preserve">Demand elasticity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000"/>
        <w:gridCol w:w="2400"/>
        <w:gridCol w:w="3088"/>
      </w:tblGrid>
      <w:tr>
        <w:tc>
          <w:tcPr>
            <w:tcW w:type="dxa" w:w="1872"/>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Use Category</w:t>
            </w:r>
          </w:p>
        </w:tc>
        <w:tc>
          <w:tcPr>
            <w:tcW w:type="dxa" w:w="2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Own-Price Elasticity</w:t>
            </w:r>
          </w:p>
        </w:tc>
        <w:tc>
          <w:tcPr>
            <w:tcW w:type="dxa" w:w="24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Cross-Price Effects</w:t>
            </w:r>
          </w:p>
        </w:tc>
        <w:tc>
          <w:tcPr>
            <w:tcW w:type="dxa" w:w="3088"/>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Notes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Feed (corn)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-0.10 to -0.15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DDGS substitution 0.15-0.25</w:t>
            </w:r>
          </w:p>
        </w:tc>
        <w:tc>
          <w:tcPr>
            <w:tcW w:type="dxa" w:w="308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Highly inelastic</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Feed (soy meal)</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-0.15 to -0.20</w:t>
            </w:r>
          </w:p>
        </w:tc>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Canola meal sub. 0.10-0.15</w:t>
            </w:r>
          </w:p>
        </w:tc>
        <w:tc>
          <w:tcPr>
            <w:tcW w:type="dxa" w:w="3088"/>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Quality premium limits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Food (corn)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-0.05 to -0.08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Negligible</w:t>
            </w:r>
          </w:p>
        </w:tc>
        <w:tc>
          <w:tcPr>
            <w:tcW w:type="dxa" w:w="308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Very inelastic</w:t>
            </w:r>
          </w:p>
        </w:tc>
      </w:tr>
      <w:tr>
        <w:tc>
          <w:tcPr>
            <w:tcW w:type="dxa" w:w="1872"/>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Ethanol</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-0.25 to -0.40</w:t>
            </w:r>
          </w:p>
        </w:tc>
        <w:tc>
          <w:tcPr>
            <w:tcW w:type="dxa" w:w="2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Gasoline price: 0.3-0.5</w:t>
            </w:r>
          </w:p>
        </w:tc>
        <w:tc>
          <w:tcPr>
            <w:tcW w:type="dxa" w:w="3088"/>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Policy-constrained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Export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-0.50 to -1.50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Competitor supply: 0.3-0.8</w:t>
            </w:r>
          </w:p>
        </w:tc>
        <w:tc>
          <w:tcPr>
            <w:tcW w:type="dxa" w:w="308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Varies by destination</w:t>
            </w:r>
          </w:p>
        </w:tc>
      </w:tr>
    </w:tbl>
    <w:p>
      <w:pPr>
        <w:pStyle w:val="Heading3"/>
      </w:pPr>
      <w:r>
        <w:t xml:space="preserve">3.2.3 Price Determination</w:t>
      </w:r>
    </w:p>
    <w:p>
      <w:pPr>
        <w:spacing w:after="120" w:line="276"/>
      </w:pPr>
      <w:r>
        <w:t xml:space="preserve">The stocks-to-use ratio serves as the primary price indicator:</w:t>
      </w:r>
    </w:p>
    <w:p>
      <w:pPr>
        <w:spacing w:before="120" w:after="120"/>
        <w:ind w:left="720"/>
      </w:pPr>
      <w:r>
        <w:rPr>
          <w:i/>
          <w:iCs/>
          <w:sz w:val="20"/>
          <w:szCs w:val="20"/>
        </w:rPr>
        <w:t xml:space="preserve">ln(P_t) = α - β·ln(Stocks_t / Use_t) + ε_t</w:t>
      </w:r>
    </w:p>
    <w:p>
      <w:pPr>
        <w:spacing w:after="120" w:line="276"/>
      </w:pPr>
      <w:r>
        <w:t xml:space="preserve">Empirical price-stocks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Commodity</w:t>
            </w:r>
          </w:p>
        </w:tc>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β Coefficient</w:t>
            </w:r>
          </w:p>
        </w:tc>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Tight Balance Threshold</w:t>
            </w:r>
          </w:p>
        </w:tc>
        <w:tc>
          <w:tcPr>
            <w:tcW w:type="dxa" w:w="23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Price Sensitivity Zone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Corn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0.20-0.25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&lt; 10% S/U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5-12% S/U</w:t>
            </w:r>
          </w:p>
        </w:tc>
      </w:tr>
      <w:tr>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Soybeans</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0.35-0.45</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&lt; 5% S/U</w:t>
            </w:r>
          </w:p>
        </w:tc>
        <w:tc>
          <w:tcPr>
            <w:tcW w:type="dxa" w:w="234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3-8% S/U</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Wheat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0.15-0.20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&lt; 15% S/U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12-20% S/U</w:t>
            </w:r>
          </w:p>
        </w:tc>
      </w:tr>
    </w:tbl>
    <w:p>
      <w:pPr>
        <w:spacing w:after="120" w:line="276"/>
      </w:pPr>
      <w:r>
        <w:t xml:space="preserve">Implementation note: Price forecasts should use futures market information when available (CME corn, soybean, wheat contracts) combined with basis estimates for cash prices.</w:t>
      </w:r>
    </w:p>
    <w:p>
      <w:pPr>
        <w:pStyle w:val="Heading2"/>
      </w:pPr>
      <w:r>
        <w:t xml:space="preserve">3.3 Supply Elasticity Estimation (Roberts-Schlenker Framework)</w:t>
      </w:r>
    </w:p>
    <w:p>
      <w:pPr>
        <w:spacing w:after="120" w:line="276"/>
      </w:pPr>
      <w:r>
        <w:t xml:space="preserve">Roberts and Schlenker (2013) developed an instrumental variables approach using historical yield shocks to identify supply elasticities:</w:t>
      </w:r>
    </w:p>
    <w:p>
      <w:pPr>
        <w:spacing w:before="120" w:after="120"/>
        <w:ind w:left="720"/>
      </w:pPr>
      <w:r>
        <w:rPr>
          <w:i/>
          <w:iCs/>
          <w:sz w:val="20"/>
          <w:szCs w:val="20"/>
        </w:rPr>
        <w:t xml:space="preserve">Δln(Q) = ε_s · Δln(P) + u</w:t>
      </w:r>
    </w:p>
    <w:p>
      <w:pPr>
        <w:spacing w:before="120" w:after="120"/>
        <w:ind w:left="720"/>
      </w:pPr>
      <w:r>
        <w:rPr>
          <w:i/>
          <w:iCs/>
          <w:sz w:val="20"/>
          <w:szCs w:val="20"/>
        </w:rPr>
        <w:t xml:space="preserve">Instrument: yield_shock_t = (actual_yield_t - expected_yield_t) / expected_yield_t</w:t>
      </w:r>
    </w:p>
    <w:p>
      <w:pPr>
        <w:spacing w:after="120" w:line="276"/>
      </w:pPr>
      <w:r>
        <w:t xml:space="preserve">This methodology addresses endogeneity by using weather-driven yield shocks as price shifters. Key findings:</w:t>
      </w:r>
    </w:p>
    <w:p>
      <w:pPr>
        <w:pStyle w:val="ListParagraph"/>
        <w:numPr>
          <w:ilvl w:val="0"/>
          <w:numId w:val="2"/>
        </w:numPr>
        <w:spacing w:after="80" w:line="276"/>
      </w:pPr>
      <w:r>
        <w:t xml:space="preserve">Corn supply elasticity: 0.30 (0.05 SE) — highly inelastic</w:t>
      </w:r>
    </w:p>
    <w:p>
      <w:pPr>
        <w:pStyle w:val="ListParagraph"/>
        <w:numPr>
          <w:ilvl w:val="0"/>
          <w:numId w:val="2"/>
        </w:numPr>
        <w:spacing w:after="80" w:line="276"/>
      </w:pPr>
      <w:r>
        <w:t xml:space="preserve">Soybean supply elasticity: 0.40 (0.08 SE) — somewhat more responsive</w:t>
      </w:r>
    </w:p>
    <w:p>
      <w:pPr>
        <w:pStyle w:val="ListParagraph"/>
        <w:numPr>
          <w:ilvl w:val="0"/>
          <w:numId w:val="2"/>
        </w:numPr>
        <w:spacing w:after="80" w:line="276"/>
      </w:pPr>
      <w:r>
        <w:t xml:space="preserve">Wheat supply elasticity: 0.25 (0.04 SE) — most inelastic</w:t>
      </w:r>
    </w:p>
    <w:p>
      <w:pPr>
        <w:spacing w:after="120" w:line="276"/>
      </w:pPr>
      <w:r>
        <w:t xml:space="preserve">Policy implication: These low elasticities explain why supply shocks propagate strongly to prices. The RFS ethanol mandate analysis shows corn's inelastic supply raises prices approximately 30% under increased biofuel demand (EPA NCEE meta-analysis: 2-3% price increase per billion gallons mandated).</w:t>
      </w:r>
    </w:p>
    <w:p>
      <w:r>
        <w:br w:type="page"/>
      </w:r>
    </w:p>
    <w:p>
      <w:pPr>
        <w:pStyle w:val="Heading1"/>
      </w:pPr>
      <w:r>
        <w:t xml:space="preserve">4. Biofuel and Processing Models</w:t>
      </w:r>
    </w:p>
    <w:p>
      <w:pPr>
        <w:pStyle w:val="Heading2"/>
      </w:pPr>
      <w:r>
        <w:t xml:space="preserve">4.1 Corn Ethanol Economics</w:t>
      </w:r>
    </w:p>
    <w:p>
      <w:pPr>
        <w:spacing w:after="120" w:line="276"/>
      </w:pPr>
      <w:r>
        <w:t xml:space="preserve">The corn-ethanol linkage is central to US corn demand analysis, with approximately 36% of US corn production directed to ethanol.</w:t>
      </w:r>
    </w:p>
    <w:p>
      <w:pPr>
        <w:pStyle w:val="Heading3"/>
      </w:pPr>
      <w:r>
        <w:t xml:space="preserve">4.1.1 Ethanol Production Function</w:t>
      </w:r>
    </w:p>
    <w:p>
      <w:pPr>
        <w:spacing w:before="120" w:after="120"/>
        <w:ind w:left="720"/>
      </w:pPr>
      <w:r>
        <w:rPr>
          <w:i/>
          <w:iCs/>
          <w:sz w:val="20"/>
          <w:szCs w:val="20"/>
        </w:rPr>
        <w:t xml:space="preserve">Ethanol_gallons = Corn_bushels × 2.8 (yield factor)</w:t>
      </w:r>
    </w:p>
    <w:p>
      <w:pPr>
        <w:spacing w:before="120" w:after="120"/>
        <w:ind w:left="720"/>
      </w:pPr>
      <w:r>
        <w:rPr>
          <w:i/>
          <w:iCs/>
          <w:sz w:val="20"/>
          <w:szCs w:val="20"/>
        </w:rPr>
        <w:t xml:space="preserve">DDGS_tons = Corn_bushels × 0.0085 (co-product)</w:t>
      </w:r>
    </w:p>
    <w:p>
      <w:pPr>
        <w:spacing w:after="120" w:line="276"/>
      </w:pPr>
      <w:r>
        <w:t xml:space="preserve">Crush margin calculation:</w:t>
      </w:r>
    </w:p>
    <w:p>
      <w:pPr>
        <w:spacing w:before="120" w:after="120"/>
        <w:ind w:left="720"/>
      </w:pPr>
      <w:r>
        <w:rPr>
          <w:i/>
          <w:iCs/>
          <w:sz w:val="20"/>
          <w:szCs w:val="20"/>
        </w:rPr>
        <w:t xml:space="preserve">Margin = (Ethanol_price × 2.8) + (DDGS_price × 17) - Corn_price - Operating_costs</w:t>
      </w:r>
    </w:p>
    <w:p>
      <w:pPr>
        <w:shd w:fill="f5f5f5" w:val="clear"/>
        <w:spacing w:before="80" w:after="80"/>
        <w:ind w:left="360" w:right="360"/>
      </w:pPr>
      <w:r>
        <w:rPr>
          <w:rFonts w:ascii="Consolas" w:cs="Consolas" w:eastAsia="Consolas" w:hAnsi="Consolas"/>
          <w:sz w:val="18"/>
          <w:szCs w:val="18"/>
        </w:rPr>
        <w:t xml:space="preserve">-- Database query for ethanol margin calculation</w:t>
      </w:r>
    </w:p>
    <w:p>
      <w:pPr>
        <w:shd w:fill="f5f5f5" w:val="clear"/>
        <w:spacing w:before="80" w:after="80"/>
        <w:ind w:left="360" w:right="360"/>
      </w:pPr>
      <w:r>
        <w:rPr>
          <w:rFonts w:ascii="Consolas" w:cs="Consolas" w:eastAsia="Consolas" w:hAnsi="Consolas"/>
          <w:sz w:val="18"/>
          <w:szCs w:val="18"/>
        </w:rPr>
        <w:t xml:space="preserve">SELECT date, </w:t>
      </w:r>
    </w:p>
    <w:p>
      <w:pPr>
        <w:shd w:fill="f5f5f5" w:val="clear"/>
        <w:spacing w:before="80" w:after="80"/>
        <w:ind w:left="360" w:right="360"/>
      </w:pPr>
      <w:r>
        <w:rPr>
          <w:rFonts w:ascii="Consolas" w:cs="Consolas" w:eastAsia="Consolas" w:hAnsi="Consolas"/>
          <w:sz w:val="18"/>
          <w:szCs w:val="18"/>
        </w:rPr>
        <w:t xml:space="preserve">  (ethanol_price * 2.8 + ddgs_price * 17 - corn_price - 0.35) as crush_margin</w:t>
      </w:r>
    </w:p>
    <w:p>
      <w:pPr>
        <w:shd w:fill="f5f5f5" w:val="clear"/>
        <w:spacing w:before="80" w:after="80"/>
        <w:ind w:left="360" w:right="360"/>
      </w:pPr>
      <w:r>
        <w:rPr>
          <w:rFonts w:ascii="Consolas" w:cs="Consolas" w:eastAsia="Consolas" w:hAnsi="Consolas"/>
          <w:sz w:val="18"/>
          <w:szCs w:val="18"/>
        </w:rPr>
        <w:t xml:space="preserve">FROM eia_biofuels eb JOIN cme_futures cf ON eb.date = cf.date</w:t>
      </w:r>
    </w:p>
    <w:p>
      <w:pPr>
        <w:pStyle w:val="Heading3"/>
      </w:pPr>
      <w:r>
        <w:t xml:space="preserve">4.1.2 RFS Policy Integration</w:t>
      </w:r>
    </w:p>
    <w:p>
      <w:pPr>
        <w:spacing w:after="120" w:line="276"/>
      </w:pPr>
      <w:r>
        <w:t xml:space="preserve">The Renewable Fuel Standard (RFS) creates a floor on ethanol demand through blending mandates: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750"/>
        <w:gridCol w:w="1750"/>
        <w:gridCol w:w="23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Fuel Category</w:t>
            </w:r>
          </w:p>
        </w:tc>
        <w:tc>
          <w:tcPr>
            <w:tcW w:type="dxa" w:w="175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2024 Volume (B gal)</w:t>
            </w:r>
          </w:p>
        </w:tc>
        <w:tc>
          <w:tcPr>
            <w:tcW w:type="dxa" w:w="175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2025 Volume (B gal)</w:t>
            </w:r>
          </w:p>
        </w:tc>
        <w:tc>
          <w:tcPr>
            <w:tcW w:type="dxa" w:w="236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2026 Proposed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Total Renewable Fuel</w:t>
            </w:r>
          </w:p>
        </w:tc>
        <w:tc>
          <w:tcPr>
            <w:tcW w:type="dxa" w:w="17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21.54</w:t>
            </w:r>
          </w:p>
        </w:tc>
        <w:tc>
          <w:tcPr>
            <w:tcW w:type="dxa" w:w="17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22.33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23.25</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Conventional (corn ethanol cap)</w:t>
            </w:r>
          </w:p>
        </w:tc>
        <w:tc>
          <w:tcPr>
            <w:tcW w:type="dxa" w:w="175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15.00</w:t>
            </w:r>
          </w:p>
        </w:tc>
        <w:tc>
          <w:tcPr>
            <w:tcW w:type="dxa" w:w="175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15.00</w:t>
            </w:r>
          </w:p>
        </w:tc>
        <w:tc>
          <w:tcPr>
            <w:tcW w:type="dxa" w:w="2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15.00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Advanced Biofuel</w:t>
            </w:r>
          </w:p>
        </w:tc>
        <w:tc>
          <w:tcPr>
            <w:tcW w:type="dxa" w:w="17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6.54</w:t>
            </w:r>
          </w:p>
        </w:tc>
        <w:tc>
          <w:tcPr>
            <w:tcW w:type="dxa" w:w="17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7.33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8.25</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Biomass-Based Diesel</w:t>
            </w:r>
          </w:p>
        </w:tc>
        <w:tc>
          <w:tcPr>
            <w:tcW w:type="dxa" w:w="175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2.82</w:t>
            </w:r>
          </w:p>
        </w:tc>
        <w:tc>
          <w:tcPr>
            <w:tcW w:type="dxa" w:w="175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3.04</w:t>
            </w:r>
          </w:p>
        </w:tc>
        <w:tc>
          <w:tcPr>
            <w:tcW w:type="dxa" w:w="2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7.12 RINs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Cellulosic Biofuel</w:t>
            </w:r>
          </w:p>
        </w:tc>
        <w:tc>
          <w:tcPr>
            <w:tcW w:type="dxa" w:w="17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0.34</w:t>
            </w:r>
          </w:p>
        </w:tc>
        <w:tc>
          <w:tcPr>
            <w:tcW w:type="dxa" w:w="175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0.44</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TBD</w:t>
            </w:r>
          </w:p>
        </w:tc>
      </w:tr>
    </w:tbl>
    <w:p>
      <w:pPr>
        <w:spacing w:after="120" w:line="276"/>
      </w:pPr>
      <w:r>
        <w:t xml:space="preserve">Modeling consideration: Corn ethanol is effectively capped at ~15 billion gallons due to the E10 blend wall and RFS conventional fuel limits. Growth in biofuels now comes primarily from biodiesel and renewable diesel (biomass-based diesel category).</w:t>
      </w:r>
    </w:p>
    <w:p>
      <w:pPr>
        <w:pStyle w:val="Heading2"/>
      </w:pPr>
      <w:r>
        <w:t xml:space="preserve">4.2 Oilseed Crush Economics</w:t>
      </w:r>
    </w:p>
    <w:p>
      <w:pPr>
        <w:spacing w:after="120" w:line="276"/>
      </w:pPr>
      <w:r>
        <w:t xml:space="preserve">Soybean and canola crushing links raw oilseeds to oil and meal products:</w:t>
      </w:r>
    </w:p>
    <w:p>
      <w:pPr>
        <w:pStyle w:val="Heading3"/>
      </w:pPr>
      <w:r>
        <w:t xml:space="preserve">4.2.1 Crush Yield Relationships</w:t>
      </w:r>
    </w:p>
    <w:p>
      <w:pPr>
        <w:spacing w:before="120" w:after="120"/>
        <w:ind w:left="720"/>
      </w:pPr>
      <w:r>
        <w:rPr>
          <w:i/>
          <w:iCs/>
          <w:sz w:val="20"/>
          <w:szCs w:val="20"/>
        </w:rPr>
        <w:t xml:space="preserve">Soybean: 1 bushel (60 lbs) → 11 lbs oil (18.3%) + 48 lbs meal (80%) + losses</w:t>
      </w:r>
    </w:p>
    <w:p>
      <w:pPr>
        <w:spacing w:before="120" w:after="120"/>
        <w:ind w:left="720"/>
      </w:pPr>
      <w:r>
        <w:rPr>
          <w:i/>
          <w:iCs/>
          <w:sz w:val="20"/>
          <w:szCs w:val="20"/>
        </w:rPr>
        <w:t xml:space="preserve">Canola: 1 tonne → 420 kg oil (42%) + 560 kg meal (56%) + losses</w:t>
      </w:r>
    </w:p>
    <w:p>
      <w:pPr>
        <w:spacing w:after="120" w:line="276"/>
      </w:pPr>
      <w:r>
        <w:t xml:space="preserve">Gross Processing Value (GPV) calculation:</w:t>
      </w:r>
    </w:p>
    <w:p>
      <w:pPr>
        <w:spacing w:before="120" w:after="120"/>
        <w:ind w:left="720"/>
      </w:pPr>
      <w:r>
        <w:rPr>
          <w:i/>
          <w:iCs/>
          <w:sz w:val="20"/>
          <w:szCs w:val="20"/>
        </w:rPr>
        <w:t xml:space="preserve">GPV = (Oil_yield × Oil_price) + (Meal_yield × Meal_price) - Seed_price</w:t>
      </w:r>
    </w:p>
    <w:p>
      <w:pPr>
        <w:shd w:fill="f5f5f5" w:val="clear"/>
        <w:spacing w:before="80" w:after="80"/>
        <w:ind w:left="360" w:right="360"/>
      </w:pPr>
      <w:r>
        <w:rPr>
          <w:rFonts w:ascii="Consolas" w:cs="Consolas" w:eastAsia="Consolas" w:hAnsi="Consolas"/>
          <w:sz w:val="18"/>
          <w:szCs w:val="18"/>
        </w:rPr>
        <w:t xml:space="preserve">-- Soybean crush margin from database</w:t>
      </w:r>
    </w:p>
    <w:p>
      <w:pPr>
        <w:shd w:fill="f5f5f5" w:val="clear"/>
        <w:spacing w:before="80" w:after="80"/>
        <w:ind w:left="360" w:right="360"/>
      </w:pPr>
      <w:r>
        <w:rPr>
          <w:rFonts w:ascii="Consolas" w:cs="Consolas" w:eastAsia="Consolas" w:hAnsi="Consolas"/>
          <w:sz w:val="18"/>
          <w:szCs w:val="18"/>
        </w:rPr>
        <w:t xml:space="preserve">SELECT date,</w:t>
      </w:r>
    </w:p>
    <w:p>
      <w:pPr>
        <w:shd w:fill="f5f5f5" w:val="clear"/>
        <w:spacing w:before="80" w:after="80"/>
        <w:ind w:left="360" w:right="360"/>
      </w:pPr>
      <w:r>
        <w:rPr>
          <w:rFonts w:ascii="Consolas" w:cs="Consolas" w:eastAsia="Consolas" w:hAnsi="Consolas"/>
          <w:sz w:val="18"/>
          <w:szCs w:val="18"/>
        </w:rPr>
        <w:t xml:space="preserve">  (soy_oil_price * 11/100 + soy_meal_price * 48/2000) - soy_price as gpv_per_bushel</w:t>
      </w:r>
    </w:p>
    <w:p>
      <w:pPr>
        <w:shd w:fill="f5f5f5" w:val="clear"/>
        <w:spacing w:before="80" w:after="80"/>
        <w:ind w:left="360" w:right="360"/>
      </w:pPr>
      <w:r>
        <w:rPr>
          <w:rFonts w:ascii="Consolas" w:cs="Consolas" w:eastAsia="Consolas" w:hAnsi="Consolas"/>
          <w:sz w:val="18"/>
          <w:szCs w:val="18"/>
        </w:rPr>
        <w:t xml:space="preserve">FROM cme_futures WHERE product IN ('soy_oil', 'soy_meal', 'soybeans')</w:t>
      </w:r>
    </w:p>
    <w:p>
      <w:pPr>
        <w:pStyle w:val="Heading3"/>
      </w:pPr>
      <w:r>
        <w:t xml:space="preserve">4.2.2 Oil and Meal Competition</w:t>
      </w:r>
    </w:p>
    <w:p>
      <w:pPr>
        <w:spacing w:after="120" w:line="276"/>
      </w:pPr>
      <w:r>
        <w:t xml:space="preserve">Cross-price elasticities capture substitution among vegetable oils and protein meals: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Product Pair</w:t>
            </w:r>
          </w:p>
        </w:tc>
        <w:tc>
          <w:tcPr>
            <w:tcW w:type="dxa" w:w="25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Cross-Price Elasticity</w:t>
            </w:r>
          </w:p>
        </w:tc>
        <w:tc>
          <w:tcPr>
            <w:tcW w:type="dxa" w:w="386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Substitution Driver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Soy oil ↔ Palm oil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0.3-0.5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Food/industrial use</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Soy oil ↔ Canola oil</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0.4-0.6</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Food use, especially frying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Soy meal ↔ Canola meal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0.15-0.25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Protein content differential (48% vs 38%)</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Soy meal ↔ DDGS</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0.20-0.30</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Feed market, energy 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Soy oil ↔ Corn oil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0.2-0.4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Biodiesel feedstock</w:t>
            </w:r>
          </w:p>
        </w:tc>
      </w:tr>
    </w:tbl>
    <w:p>
      <w:pPr>
        <w:pStyle w:val="Heading2"/>
      </w:pPr>
      <w:r>
        <w:t xml:space="preserve">4.3 Renewable Diesel and SAF Models</w:t>
      </w:r>
    </w:p>
    <w:p>
      <w:pPr>
        <w:spacing w:after="120" w:line="276"/>
      </w:pPr>
      <w:r>
        <w:t xml:space="preserve">Renewable diesel and Sustainable Aviation Fuel (SAF) represent growing demand centers for vegetable oils and animal fats:</w:t>
      </w:r>
    </w:p>
    <w:p>
      <w:pPr>
        <w:pStyle w:val="Heading3"/>
      </w:pPr>
      <w:r>
        <w:t xml:space="preserve">4.3.1 Feedstock Competition</w:t>
      </w:r>
    </w:p>
    <w:p>
      <w:pPr>
        <w:spacing w:before="120" w:after="120"/>
        <w:ind w:left="720"/>
      </w:pPr>
      <w:r>
        <w:rPr>
          <w:i/>
          <w:iCs/>
          <w:sz w:val="20"/>
          <w:szCs w:val="20"/>
        </w:rPr>
        <w:t xml:space="preserve">Biodiesel_demand + RD_demand + SAF_demand ≤ Total_feedstock_availability</w:t>
      </w:r>
    </w:p>
    <w:p>
      <w:pPr>
        <w:spacing w:after="120" w:line="276"/>
      </w:pPr>
      <w:r>
        <w:t xml:space="preserve">Feedstock hierarchy by carbon intensity (CI) score for LCFS credits:</w:t>
      </w:r>
    </w:p>
    <w:p>
      <w:pPr>
        <w:pStyle w:val="ListParagraph"/>
        <w:numPr>
          <w:ilvl w:val="0"/>
          <w:numId w:val="2"/>
        </w:numPr>
        <w:spacing w:after="80" w:line="276"/>
      </w:pPr>
      <w:r>
        <w:t xml:space="preserve">Used cooking oil (UCO): CI ~20 g/MJ — highest premium</w:t>
      </w:r>
    </w:p>
    <w:p>
      <w:pPr>
        <w:pStyle w:val="ListParagraph"/>
        <w:numPr>
          <w:ilvl w:val="0"/>
          <w:numId w:val="2"/>
        </w:numPr>
        <w:spacing w:after="80" w:line="276"/>
      </w:pPr>
      <w:r>
        <w:t xml:space="preserve">Tallow/animal fats: CI ~25-35 g/MJ — strong premium</w:t>
      </w:r>
    </w:p>
    <w:p>
      <w:pPr>
        <w:pStyle w:val="ListParagraph"/>
        <w:numPr>
          <w:ilvl w:val="0"/>
          <w:numId w:val="2"/>
        </w:numPr>
        <w:spacing w:after="80" w:line="276"/>
      </w:pPr>
      <w:r>
        <w:t xml:space="preserve">Canola oil: CI ~40-50 g/MJ — moderate premium</w:t>
      </w:r>
    </w:p>
    <w:p>
      <w:pPr>
        <w:pStyle w:val="ListParagraph"/>
        <w:numPr>
          <w:ilvl w:val="0"/>
          <w:numId w:val="2"/>
        </w:numPr>
        <w:spacing w:after="80" w:line="276"/>
      </w:pPr>
      <w:r>
        <w:t xml:space="preserve">Soybean oil: CI ~50-60 g/MJ — baseline</w:t>
      </w:r>
    </w:p>
    <w:p>
      <w:pPr>
        <w:pStyle w:val="ListParagraph"/>
        <w:numPr>
          <w:ilvl w:val="0"/>
          <w:numId w:val="2"/>
        </w:numPr>
        <w:spacing w:after="80" w:line="276"/>
      </w:pPr>
      <w:r>
        <w:t xml:space="preserve">Palm oil: CI ~60-80 g/MJ — limited US use, ILUC concerns</w:t>
      </w:r>
    </w:p>
    <w:p>
      <w:pPr>
        <w:pStyle w:val="Heading3"/>
      </w:pPr>
      <w:r>
        <w:t xml:space="preserve">4.3.2 SAF Market Structure</w:t>
      </w:r>
    </w:p>
    <w:p>
      <w:pPr>
        <w:spacing w:after="120" w:line="276"/>
      </w:pPr>
      <w:r>
        <w:t xml:space="preserve">Sustainable Aviation Fuel is emerging as a major demand driver:</w:t>
      </w:r>
    </w:p>
    <w:p>
      <w:pPr>
        <w:pStyle w:val="ListParagraph"/>
        <w:numPr>
          <w:ilvl w:val="0"/>
          <w:numId w:val="2"/>
        </w:numPr>
        <w:spacing w:after="80" w:line="276"/>
      </w:pPr>
      <w:r>
        <w:t xml:space="preserve">Current production: ~500 million gallons (2024)</w:t>
      </w:r>
    </w:p>
    <w:p>
      <w:pPr>
        <w:pStyle w:val="ListParagraph"/>
        <w:numPr>
          <w:ilvl w:val="0"/>
          <w:numId w:val="2"/>
        </w:numPr>
        <w:spacing w:after="80" w:line="276"/>
      </w:pPr>
      <w:r>
        <w:t xml:space="preserve">Projected demand: 3-5 billion gallons by 2030 (airline commitments)</w:t>
      </w:r>
    </w:p>
    <w:p>
      <w:pPr>
        <w:pStyle w:val="ListParagraph"/>
        <w:numPr>
          <w:ilvl w:val="0"/>
          <w:numId w:val="2"/>
        </w:numPr>
        <w:spacing w:after="80" w:line="276"/>
      </w:pPr>
      <w:r>
        <w:t xml:space="preserve">SAF credit structure: $1.25-1.75/gallon federal tax credit under IRA</w:t>
      </w:r>
    </w:p>
    <w:p>
      <w:pPr>
        <w:pStyle w:val="ListParagraph"/>
        <w:numPr>
          <w:ilvl w:val="0"/>
          <w:numId w:val="2"/>
        </w:numPr>
        <w:spacing w:after="80" w:line="276"/>
      </w:pPr>
      <w:r>
        <w:t xml:space="preserve">Primary pathways: HEFA (vegetable oil), ATJ (ethanol-based), Fischer-Tropsch</w:t>
      </w:r>
    </w:p>
    <w:p>
      <w:pPr>
        <w:shd w:fill="f5f5f5" w:val="clear"/>
        <w:spacing w:before="80" w:after="80"/>
        <w:ind w:left="360" w:right="360"/>
      </w:pPr>
      <w:r>
        <w:rPr>
          <w:rFonts w:ascii="Consolas" w:cs="Consolas" w:eastAsia="Consolas" w:hAnsi="Consolas"/>
          <w:sz w:val="18"/>
          <w:szCs w:val="18"/>
        </w:rPr>
        <w:t xml:space="preserve">-- SAF-relevant data from database</w:t>
      </w:r>
    </w:p>
    <w:p>
      <w:pPr>
        <w:shd w:fill="f5f5f5" w:val="clear"/>
        <w:spacing w:before="80" w:after="80"/>
        <w:ind w:left="360" w:right="360"/>
      </w:pPr>
      <w:r>
        <w:rPr>
          <w:rFonts w:ascii="Consolas" w:cs="Consolas" w:eastAsia="Consolas" w:hAnsi="Consolas"/>
          <w:sz w:val="18"/>
          <w:szCs w:val="18"/>
        </w:rPr>
        <w:t xml:space="preserve">SELECT date, saf_production, renewable_diesel_production,</w:t>
      </w:r>
    </w:p>
    <w:p>
      <w:pPr>
        <w:shd w:fill="f5f5f5" w:val="clear"/>
        <w:spacing w:before="80" w:after="80"/>
        <w:ind w:left="360" w:right="360"/>
      </w:pPr>
      <w:r>
        <w:rPr>
          <w:rFonts w:ascii="Consolas" w:cs="Consolas" w:eastAsia="Consolas" w:hAnsi="Consolas"/>
          <w:sz w:val="18"/>
          <w:szCs w:val="18"/>
        </w:rPr>
        <w:t xml:space="preserve">       feedstock_type, ci_score, credit_value</w:t>
      </w:r>
    </w:p>
    <w:p>
      <w:pPr>
        <w:shd w:fill="f5f5f5" w:val="clear"/>
        <w:spacing w:before="80" w:after="80"/>
        <w:ind w:left="360" w:right="360"/>
      </w:pPr>
      <w:r>
        <w:rPr>
          <w:rFonts w:ascii="Consolas" w:cs="Consolas" w:eastAsia="Consolas" w:hAnsi="Consolas"/>
          <w:sz w:val="18"/>
          <w:szCs w:val="18"/>
        </w:rPr>
        <w:t xml:space="preserve">FROM eia_biofuels WHERE fuel_type IN ('SAF', 'RD')</w:t>
      </w:r>
    </w:p>
    <w:p>
      <w:r>
        <w:br w:type="page"/>
      </w:r>
    </w:p>
    <w:p>
      <w:pPr>
        <w:pStyle w:val="Heading1"/>
      </w:pPr>
      <w:r>
        <w:t xml:space="preserve">5. Trade Flow and Spatial Models</w:t>
      </w:r>
    </w:p>
    <w:p>
      <w:pPr>
        <w:pStyle w:val="Heading2"/>
      </w:pPr>
      <w:r>
        <w:t xml:space="preserve">5.1 Gravity Model Framework</w:t>
      </w:r>
    </w:p>
    <w:p>
      <w:pPr>
        <w:spacing w:after="120" w:line="276"/>
      </w:pPr>
      <w:r>
        <w:t xml:space="preserve">The gravity model provides the theoretical foundation for bilateral trade analysis:</w:t>
      </w:r>
    </w:p>
    <w:p>
      <w:pPr>
        <w:spacing w:before="120" w:after="120"/>
        <w:ind w:left="720"/>
      </w:pPr>
      <w:r>
        <w:rPr>
          <w:i/>
          <w:iCs/>
          <w:sz w:val="20"/>
          <w:szCs w:val="20"/>
        </w:rPr>
        <w:t xml:space="preserve">ln(Trade_ij) = β₀ + β₁ln(GDP_i) + β₂ln(GDP_j) - β₃ln(Distance_ij) + β₄(Contiguity) + β₅(FTA) + ε_ij</w:t>
      </w:r>
    </w:p>
    <w:p>
      <w:pPr>
        <w:spacing w:after="120" w:line="276"/>
      </w:pPr>
      <w:r>
        <w:t xml:space="preserve">For agricultural commodities, the model is extended with:</w:t>
      </w:r>
    </w:p>
    <w:p>
      <w:pPr>
        <w:pStyle w:val="ListParagraph"/>
        <w:numPr>
          <w:ilvl w:val="0"/>
          <w:numId w:val="2"/>
        </w:numPr>
        <w:spacing w:after="80" w:line="276"/>
      </w:pPr>
      <w:r>
        <w:t xml:space="preserve">Production capacity at origin (exportable surplus)</w:t>
      </w:r>
    </w:p>
    <w:p>
      <w:pPr>
        <w:pStyle w:val="ListParagraph"/>
        <w:numPr>
          <w:ilvl w:val="0"/>
          <w:numId w:val="2"/>
        </w:numPr>
        <w:spacing w:after="80" w:line="276"/>
      </w:pPr>
      <w:r>
        <w:t xml:space="preserve">Consumption requirements at destination (import demand)</w:t>
      </w:r>
    </w:p>
    <w:p>
      <w:pPr>
        <w:pStyle w:val="ListParagraph"/>
        <w:numPr>
          <w:ilvl w:val="0"/>
          <w:numId w:val="2"/>
        </w:numPr>
        <w:spacing w:after="80" w:line="276"/>
      </w:pPr>
      <w:r>
        <w:t xml:space="preserve">Transportation infrastructure quality</w:t>
      </w:r>
    </w:p>
    <w:p>
      <w:pPr>
        <w:pStyle w:val="ListParagraph"/>
        <w:numPr>
          <w:ilvl w:val="0"/>
          <w:numId w:val="2"/>
        </w:numPr>
        <w:spacing w:after="80" w:line="276"/>
      </w:pPr>
      <w:r>
        <w:t xml:space="preserve">Tariff and non-tariff barriers (SPS measures)</w:t>
      </w:r>
    </w:p>
    <w:p>
      <w:pPr>
        <w:pStyle w:val="ListParagraph"/>
        <w:numPr>
          <w:ilvl w:val="0"/>
          <w:numId w:val="2"/>
        </w:numPr>
        <w:spacing w:after="80" w:line="276"/>
      </w:pPr>
      <w:r>
        <w:t xml:space="preserve">Historical trade relationships (path dependency)</w:t>
      </w:r>
    </w:p>
    <w:p>
      <w:pPr>
        <w:pStyle w:val="Heading3"/>
      </w:pPr>
      <w:r>
        <w:t xml:space="preserve">5.1.1 Stochastic Frontier Extension</w:t>
      </w:r>
    </w:p>
    <w:p>
      <w:pPr>
        <w:spacing w:after="120" w:line="276"/>
      </w:pPr>
      <w:r>
        <w:t xml:space="preserve">Stochastic frontier models decompose trade deviations into inefficiency and random error:</w:t>
      </w:r>
    </w:p>
    <w:p>
      <w:pPr>
        <w:spacing w:before="120" w:after="120"/>
        <w:ind w:left="720"/>
      </w:pPr>
      <w:r>
        <w:rPr>
          <w:i/>
          <w:iCs/>
          <w:sz w:val="20"/>
          <w:szCs w:val="20"/>
        </w:rPr>
        <w:t xml:space="preserve">ln(Trade_ij) = f(X_ij) + v_ij - u_ij</w:t>
      </w:r>
    </w:p>
    <w:p>
      <w:pPr>
        <w:spacing w:after="120" w:line="276"/>
      </w:pPr>
      <w:r>
        <w:t xml:space="preserve">where v_ij ~ N(0, σ²_v) is symmetric error and u_ij ≥ 0 is one-sided inefficiency</w:t>
      </w:r>
    </w:p>
    <w:p>
      <w:pPr>
        <w:spacing w:after="120" w:line="276"/>
      </w:pPr>
      <w:r>
        <w:t xml:space="preserve">Trade efficiency ratio = actual_trade / frontier_trade indicates unrealized potential. Belt and Road grain trade analysis shows efficiency ratios of 0.6-0.8, implying 20-30% untapped potential.</w:t>
      </w:r>
    </w:p>
    <w:p>
      <w:pPr>
        <w:pStyle w:val="Heading2"/>
      </w:pPr>
      <w:r>
        <w:t xml:space="preserve">5.2 Database Schema for Trade Analysis</w:t>
      </w:r>
    </w:p>
    <w:p>
      <w:pPr>
        <w:shd w:fill="f5f5f5" w:val="clear"/>
        <w:spacing w:before="80" w:after="80"/>
        <w:ind w:left="360" w:right="360"/>
      </w:pPr>
      <w:r>
        <w:rPr>
          <w:rFonts w:ascii="Consolas" w:cs="Consolas" w:eastAsia="Consolas" w:hAnsi="Consolas"/>
          <w:sz w:val="18"/>
          <w:szCs w:val="18"/>
        </w:rPr>
        <w:t xml:space="preserve">-- Census trade data structure</w:t>
      </w:r>
    </w:p>
    <w:p>
      <w:pPr>
        <w:shd w:fill="f5f5f5" w:val="clear"/>
        <w:spacing w:before="80" w:after="80"/>
        <w:ind w:left="360" w:right="360"/>
      </w:pPr>
      <w:r>
        <w:rPr>
          <w:rFonts w:ascii="Consolas" w:cs="Consolas" w:eastAsia="Consolas" w:hAnsi="Consolas"/>
          <w:sz w:val="18"/>
          <w:szCs w:val="18"/>
        </w:rPr>
        <w:t xml:space="preserve">SELECT hs_code, schedule_b, partner_country, port_district,</w:t>
      </w:r>
    </w:p>
    <w:p>
      <w:pPr>
        <w:shd w:fill="f5f5f5" w:val="clear"/>
        <w:spacing w:before="80" w:after="80"/>
        <w:ind w:left="360" w:right="360"/>
      </w:pPr>
      <w:r>
        <w:rPr>
          <w:rFonts w:ascii="Consolas" w:cs="Consolas" w:eastAsia="Consolas" w:hAnsi="Consolas"/>
          <w:sz w:val="18"/>
          <w:szCs w:val="18"/>
        </w:rPr>
        <w:t xml:space="preserve">       export_quantity, export_value, import_quantity, import_value,</w:t>
      </w:r>
    </w:p>
    <w:p>
      <w:pPr>
        <w:shd w:fill="f5f5f5" w:val="clear"/>
        <w:spacing w:before="80" w:after="80"/>
        <w:ind w:left="360" w:right="360"/>
      </w:pPr>
      <w:r>
        <w:rPr>
          <w:rFonts w:ascii="Consolas" w:cs="Consolas" w:eastAsia="Consolas" w:hAnsi="Consolas"/>
          <w:sz w:val="18"/>
          <w:szCs w:val="18"/>
        </w:rPr>
        <w:t xml:space="preserve">       month, year</w:t>
      </w:r>
    </w:p>
    <w:p>
      <w:pPr>
        <w:shd w:fill="f5f5f5" w:val="clear"/>
        <w:spacing w:before="80" w:after="80"/>
        <w:ind w:left="360" w:right="360"/>
      </w:pPr>
      <w:r>
        <w:rPr>
          <w:rFonts w:ascii="Consolas" w:cs="Consolas" w:eastAsia="Consolas" w:hAnsi="Consolas"/>
          <w:sz w:val="18"/>
          <w:szCs w:val="18"/>
        </w:rPr>
        <w:t xml:space="preserve">FROM census_trade WHERE hs_code LIKE '1201%'  -- Soybeans</w:t>
      </w:r>
    </w:p>
    <w:p>
      <w:pPr>
        <w:shd w:fill="f5f5f5" w:val="clear"/>
        <w:spacing w:before="80" w:after="80"/>
        <w:ind w:left="360" w:right="360"/>
      </w:pPr>
      <w:r>
        <w:rPr>
          <w:rFonts w:ascii="Consolas" w:cs="Consolas" w:eastAsia="Consolas" w:hAnsi="Consolas"/>
          <w:sz w:val="18"/>
          <w:szCs w:val="18"/>
        </w:rPr>
        <w:t xml:space="preserve"/>
      </w:r>
    </w:p>
    <w:p>
      <w:pPr>
        <w:shd w:fill="f5f5f5" w:val="clear"/>
        <w:spacing w:before="80" w:after="80"/>
        <w:ind w:left="360" w:right="360"/>
      </w:pPr>
      <w:r>
        <w:rPr>
          <w:rFonts w:ascii="Consolas" w:cs="Consolas" w:eastAsia="Consolas" w:hAnsi="Consolas"/>
          <w:sz w:val="18"/>
          <w:szCs w:val="18"/>
        </w:rPr>
        <w:t xml:space="preserve">-- USDA export sales (weekly commitments)</w:t>
      </w:r>
    </w:p>
    <w:p>
      <w:pPr>
        <w:shd w:fill="f5f5f5" w:val="clear"/>
        <w:spacing w:before="80" w:after="80"/>
        <w:ind w:left="360" w:right="360"/>
      </w:pPr>
      <w:r>
        <w:rPr>
          <w:rFonts w:ascii="Consolas" w:cs="Consolas" w:eastAsia="Consolas" w:hAnsi="Consolas"/>
          <w:sz w:val="18"/>
          <w:szCs w:val="18"/>
        </w:rPr>
        <w:t xml:space="preserve">SELECT commodity, destination, net_sales, exports_accumulated,</w:t>
      </w:r>
    </w:p>
    <w:p>
      <w:pPr>
        <w:shd w:fill="f5f5f5" w:val="clear"/>
        <w:spacing w:before="80" w:after="80"/>
        <w:ind w:left="360" w:right="360"/>
      </w:pPr>
      <w:r>
        <w:rPr>
          <w:rFonts w:ascii="Consolas" w:cs="Consolas" w:eastAsia="Consolas" w:hAnsi="Consolas"/>
          <w:sz w:val="18"/>
          <w:szCs w:val="18"/>
        </w:rPr>
        <w:t xml:space="preserve">       outstanding_sales, marketing_year, week_ending</w:t>
      </w:r>
    </w:p>
    <w:p>
      <w:pPr>
        <w:shd w:fill="f5f5f5" w:val="clear"/>
        <w:spacing w:before="80" w:after="80"/>
        <w:ind w:left="360" w:right="360"/>
      </w:pPr>
      <w:r>
        <w:rPr>
          <w:rFonts w:ascii="Consolas" w:cs="Consolas" w:eastAsia="Consolas" w:hAnsi="Consolas"/>
          <w:sz w:val="18"/>
          <w:szCs w:val="18"/>
        </w:rPr>
        <w:t xml:space="preserve">FROM usda_export_sales</w:t>
      </w:r>
    </w:p>
    <w:p>
      <w:pPr>
        <w:pStyle w:val="Heading2"/>
      </w:pPr>
      <w:r>
        <w:t xml:space="preserve">5.3 Export Program and Marketing Weights</w:t>
      </w:r>
    </w:p>
    <w:p>
      <w:pPr>
        <w:spacing w:after="120" w:line="276"/>
      </w:pPr>
      <w:r>
        <w:t xml:space="preserve">Export flows follow seasonal patterns based on harvest timing and shipping logistics: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Commodity</w:t>
            </w:r>
          </w:p>
        </w:tc>
        <w:tc>
          <w:tcPr>
            <w:tcW w:type="dxa" w:w="2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Marketing Year</w:t>
            </w:r>
          </w:p>
        </w:tc>
        <w:tc>
          <w:tcPr>
            <w:tcW w:type="dxa" w:w="25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Peak Export Months</w:t>
            </w:r>
          </w:p>
        </w:tc>
        <w:tc>
          <w:tcPr>
            <w:tcW w:type="dxa" w:w="286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Major Destinations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Corn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Sep-Aug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Oct-Feb (60%)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Mexico, Japan, S. Korea, China</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Soybeans</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Sep-Aug</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Oct-Jan (65%)</w:t>
            </w:r>
          </w:p>
        </w:tc>
        <w:tc>
          <w:tcPr>
            <w:tcW w:type="dxa" w:w="2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China (60%), EU, Mexico, Japan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Wheat (HRW)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Jun-May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Jul-Oct (55%)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Mexico, Japan, Philippines, Nigeria</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Wheat (SRW)</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Jun-May</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Jul-Nov (50%)</w:t>
            </w:r>
          </w:p>
        </w:tc>
        <w:tc>
          <w:tcPr>
            <w:tcW w:type="dxa" w:w="2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Nigeria, Japan, Mexico, Colombia</w:t>
            </w:r>
          </w:p>
        </w:tc>
      </w:tr>
    </w:tbl>
    <w:p>
      <w:r>
        <w:br w:type="page"/>
      </w:r>
    </w:p>
    <w:p>
      <w:pPr>
        <w:pStyle w:val="Heading1"/>
      </w:pPr>
      <w:r>
        <w:t xml:space="preserve">6. Price Forecasting Models</w:t>
      </w:r>
    </w:p>
    <w:p>
      <w:pPr>
        <w:pStyle w:val="Heading2"/>
      </w:pPr>
      <w:r>
        <w:t xml:space="preserve">6.1 Classical Time-Series Methods</w:t>
      </w:r>
    </w:p>
    <w:p>
      <w:pPr>
        <w:pStyle w:val="Heading3"/>
      </w:pPr>
      <w:r>
        <w:t xml:space="preserve">6.1.1 ARIMA Specification</w:t>
      </w:r>
    </w:p>
    <w:p>
      <w:pPr>
        <w:spacing w:after="120" w:line="276"/>
      </w:pPr>
      <w:r>
        <w:t xml:space="preserve">Autoregressive Integrated Moving Average models for stationary (or differenced) price series:</w:t>
      </w:r>
    </w:p>
    <w:p>
      <w:pPr>
        <w:spacing w:before="120" w:after="120"/>
        <w:ind w:left="720"/>
      </w:pPr>
      <w:r>
        <w:rPr>
          <w:i/>
          <w:iCs/>
          <w:sz w:val="20"/>
          <w:szCs w:val="20"/>
        </w:rPr>
        <w:t xml:space="preserve">ARIMA(p,d,q): Δᵈy_t = c + Σφᵢy_{t-i} + Σθⱼε_{t-j} + ε_t</w:t>
      </w:r>
    </w:p>
    <w:p>
      <w:pPr>
        <w:spacing w:after="120" w:line="276"/>
      </w:pPr>
      <w:r>
        <w:t xml:space="preserve">Typical specifications for agricultural futures:</w:t>
      </w:r>
    </w:p>
    <w:p>
      <w:pPr>
        <w:pStyle w:val="ListParagraph"/>
        <w:numPr>
          <w:ilvl w:val="0"/>
          <w:numId w:val="2"/>
        </w:numPr>
        <w:spacing w:after="80" w:line="276"/>
      </w:pPr>
      <w:r>
        <w:t xml:space="preserve">Corn: ARIMA(2,1,1) or (3,1,2) for daily returns</w:t>
      </w:r>
    </w:p>
    <w:p>
      <w:pPr>
        <w:pStyle w:val="ListParagraph"/>
        <w:numPr>
          <w:ilvl w:val="0"/>
          <w:numId w:val="2"/>
        </w:numPr>
        <w:spacing w:after="80" w:line="276"/>
      </w:pPr>
      <w:r>
        <w:t xml:space="preserve">Soybeans: ARIMA(1,1,1) or (2,1,1) for daily returns</w:t>
      </w:r>
    </w:p>
    <w:p>
      <w:pPr>
        <w:pStyle w:val="ListParagraph"/>
        <w:numPr>
          <w:ilvl w:val="0"/>
          <w:numId w:val="2"/>
        </w:numPr>
        <w:spacing w:after="80" w:line="276"/>
      </w:pPr>
      <w:r>
        <w:t xml:space="preserve">Include seasonal components for weekly/monthly data: SARIMA(p,d,q)(P,D,Q)_s</w:t>
      </w:r>
    </w:p>
    <w:p>
      <w:pPr>
        <w:pStyle w:val="Heading3"/>
      </w:pPr>
      <w:r>
        <w:t xml:space="preserve">6.1.2 Vector Autoregression (VAR)</w:t>
      </w:r>
    </w:p>
    <w:p>
      <w:pPr>
        <w:spacing w:after="120" w:line="276"/>
      </w:pPr>
      <w:r>
        <w:t xml:space="preserve">VAR captures multivariate dynamics among related prices:</w:t>
      </w:r>
    </w:p>
    <w:p>
      <w:pPr>
        <w:spacing w:before="120" w:after="120"/>
        <w:ind w:left="720"/>
      </w:pPr>
      <w:r>
        <w:rPr>
          <w:i/>
          <w:iCs/>
          <w:sz w:val="20"/>
          <w:szCs w:val="20"/>
        </w:rPr>
        <w:t xml:space="preserve">Y_t = c + A₁Y_{t-1} + A₂Y_{t-2} + ... + A_pY_{t-p} + ε_t</w:t>
      </w:r>
    </w:p>
    <w:p>
      <w:pPr>
        <w:spacing w:after="120" w:line="276"/>
      </w:pPr>
      <w:r>
        <w:t xml:space="preserve">where Y_t = [corn_t, soybean_t, wheat_t, crude_oil_t]'</w:t>
      </w:r>
    </w:p>
    <w:p>
      <w:pPr>
        <w:spacing w:after="120" w:line="276"/>
      </w:pPr>
      <w:r>
        <w:t xml:space="preserve">VAR applications:</w:t>
      </w:r>
    </w:p>
    <w:p>
      <w:pPr>
        <w:pStyle w:val="ListParagraph"/>
        <w:numPr>
          <w:ilvl w:val="0"/>
          <w:numId w:val="2"/>
        </w:numPr>
        <w:spacing w:after="80" w:line="276"/>
      </w:pPr>
      <w:r>
        <w:t xml:space="preserve">Price transmission across linked markets (corn-ethanol, soy-oil)</w:t>
      </w:r>
    </w:p>
    <w:p>
      <w:pPr>
        <w:pStyle w:val="ListParagraph"/>
        <w:numPr>
          <w:ilvl w:val="0"/>
          <w:numId w:val="2"/>
        </w:numPr>
        <w:spacing w:after="80" w:line="276"/>
      </w:pPr>
      <w:r>
        <w:t xml:space="preserve">Granger causality testing for lead-lag relationships</w:t>
      </w:r>
    </w:p>
    <w:p>
      <w:pPr>
        <w:pStyle w:val="ListParagraph"/>
        <w:numPr>
          <w:ilvl w:val="0"/>
          <w:numId w:val="2"/>
        </w:numPr>
        <w:spacing w:after="80" w:line="276"/>
      </w:pPr>
      <w:r>
        <w:t xml:space="preserve">Impulse response analysis for shock propagation</w:t>
      </w:r>
    </w:p>
    <w:p>
      <w:pPr>
        <w:pStyle w:val="Heading2"/>
      </w:pPr>
      <w:r>
        <w:t xml:space="preserve">6.2 Deep Learning Methods</w:t>
      </w:r>
    </w:p>
    <w:p>
      <w:pPr>
        <w:pStyle w:val="Heading3"/>
      </w:pPr>
      <w:r>
        <w:t xml:space="preserve">6.2.1 LSTM Architecture</w:t>
      </w:r>
    </w:p>
    <w:p>
      <w:pPr>
        <w:spacing w:after="120" w:line="276"/>
      </w:pPr>
      <w:r>
        <w:t xml:space="preserve">Long Short-Term Memory networks handle sequential dependencies through gating mechanisms:</w:t>
      </w:r>
    </w:p>
    <w:p>
      <w:pPr>
        <w:pStyle w:val="ListParagraph"/>
        <w:numPr>
          <w:ilvl w:val="0"/>
          <w:numId w:val="2"/>
        </w:numPr>
        <w:spacing w:after="80" w:line="276"/>
      </w:pPr>
      <w:r>
        <w:t xml:space="preserve">Input gate: i_t = σ(W_i·[h_{t-1}, x_t] + b_i)</w:t>
      </w:r>
    </w:p>
    <w:p>
      <w:pPr>
        <w:pStyle w:val="ListParagraph"/>
        <w:numPr>
          <w:ilvl w:val="0"/>
          <w:numId w:val="2"/>
        </w:numPr>
        <w:spacing w:after="80" w:line="276"/>
      </w:pPr>
      <w:r>
        <w:t xml:space="preserve">Forget gate: f_t = σ(W_f·[h_{t-1}, x_t] + b_f)</w:t>
      </w:r>
    </w:p>
    <w:p>
      <w:pPr>
        <w:pStyle w:val="ListParagraph"/>
        <w:numPr>
          <w:ilvl w:val="0"/>
          <w:numId w:val="2"/>
        </w:numPr>
        <w:spacing w:after="80" w:line="276"/>
      </w:pPr>
      <w:r>
        <w:t xml:space="preserve">Output gate: o_t = σ(W_o·[h_{t-1}, x_t] + b_o)</w:t>
      </w:r>
    </w:p>
    <w:p>
      <w:pPr>
        <w:pStyle w:val="ListParagraph"/>
        <w:numPr>
          <w:ilvl w:val="0"/>
          <w:numId w:val="2"/>
        </w:numPr>
        <w:spacing w:after="80" w:line="276"/>
      </w:pPr>
      <w:r>
        <w:t xml:space="preserve">Cell state: C_t = f_t ⊙ C_{t-1} + i_t ⊙ tanh(W_c·[h_{t-1}, x_t] + b_c)</w:t>
      </w:r>
    </w:p>
    <w:p>
      <w:pPr>
        <w:spacing w:after="120" w:line="276"/>
      </w:pPr>
      <w:r>
        <w:t xml:space="preserve">Recent benchmarks (2024-2025 literature) show LSTM and GRU outperform ARIMA for agricultural commodity price forecasting, with RMSE improvements of 10-25% on daily price data.</w:t>
      </w:r>
    </w:p>
    <w:p>
      <w:pPr>
        <w:pStyle w:val="Heading3"/>
      </w:pPr>
      <w:r>
        <w:t xml:space="preserve">6.2.2 Transformer Models</w:t>
      </w:r>
    </w:p>
    <w:p>
      <w:pPr>
        <w:spacing w:after="120" w:line="276"/>
      </w:pPr>
      <w:r>
        <w:t xml:space="preserve">Attention-based architectures (FEDformer, iTransformer, Temporal Fusion Transformer) show promise for commodity forecasting:</w:t>
      </w:r>
    </w:p>
    <w:p>
      <w:pPr>
        <w:pStyle w:val="ListParagraph"/>
        <w:numPr>
          <w:ilvl w:val="0"/>
          <w:numId w:val="2"/>
        </w:numPr>
        <w:spacing w:after="80" w:line="276"/>
      </w:pPr>
      <w:r>
        <w:t xml:space="preserve">FEDformer: Frequency-enhanced decomposition for multi-scale patterns</w:t>
      </w:r>
    </w:p>
    <w:p>
      <w:pPr>
        <w:pStyle w:val="ListParagraph"/>
        <w:numPr>
          <w:ilvl w:val="0"/>
          <w:numId w:val="2"/>
        </w:numPr>
        <w:spacing w:after="80" w:line="276"/>
      </w:pPr>
      <w:r>
        <w:t xml:space="preserve">iTransformer: Inverted embedding across variate dimension</w:t>
      </w:r>
    </w:p>
    <w:p>
      <w:pPr>
        <w:pStyle w:val="ListParagraph"/>
        <w:numPr>
          <w:ilvl w:val="0"/>
          <w:numId w:val="2"/>
        </w:numPr>
        <w:spacing w:after="80" w:line="276"/>
      </w:pPr>
      <w:r>
        <w:t xml:space="preserve">TFT: Multi-horizon forecasting with interpretable attention</w:t>
      </w:r>
    </w:p>
    <w:p>
      <w:pPr>
        <w:spacing w:after="120" w:line="276"/>
      </w:pPr>
      <w:r>
        <w:t xml:space="preserve">Implementation note: 2024 research shows transformers underperform LSTM on some agricultural series due to limited training data. Consider hybrid approaches or LSTM for shorter series.</w:t>
      </w:r>
    </w:p>
    <w:p>
      <w:pPr>
        <w:pStyle w:val="Heading3"/>
      </w:pPr>
      <w:r>
        <w:t xml:space="preserve">6.2.3 Hybrid ARIMA-LSTM Models</w:t>
      </w:r>
    </w:p>
    <w:p>
      <w:pPr>
        <w:spacing w:after="120" w:line="276"/>
      </w:pPr>
      <w:r>
        <w:t xml:space="preserve">Combined approaches leverage strengths of both methods:</w:t>
      </w:r>
    </w:p>
    <w:p>
      <w:pPr>
        <w:pStyle w:val="ListParagraph"/>
        <w:numPr>
          <w:ilvl w:val="0"/>
          <w:numId w:val="2"/>
        </w:numPr>
        <w:spacing w:after="80" w:line="276"/>
      </w:pPr>
      <w:r>
        <w:t xml:space="preserve">Step 1: Fit ARIMA to capture linear dynamics; extract residuals</w:t>
      </w:r>
    </w:p>
    <w:p>
      <w:pPr>
        <w:pStyle w:val="ListParagraph"/>
        <w:numPr>
          <w:ilvl w:val="0"/>
          <w:numId w:val="2"/>
        </w:numPr>
        <w:spacing w:after="80" w:line="276"/>
      </w:pPr>
      <w:r>
        <w:t xml:space="preserve">Step 2: Train LSTM on residual series to capture nonlinear patterns</w:t>
      </w:r>
    </w:p>
    <w:p>
      <w:pPr>
        <w:pStyle w:val="ListParagraph"/>
        <w:numPr>
          <w:ilvl w:val="0"/>
          <w:numId w:val="2"/>
        </w:numPr>
        <w:spacing w:after="80" w:line="276"/>
      </w:pPr>
      <w:r>
        <w:t xml:space="preserve">Step 3: Combine: ŷ_t = ARIMA_forecast_t + LSTM_residual_forecast_t</w:t>
      </w:r>
    </w:p>
    <w:p>
      <w:pPr>
        <w:spacing w:after="120" w:line="276"/>
      </w:pPr>
      <w:r>
        <w:t xml:space="preserve">Literature reports 5-10% RMSE reduction versus single-method approaches for volatile agricultural commodities.</w:t>
      </w:r>
    </w:p>
    <w:p>
      <w:pPr>
        <w:pStyle w:val="Heading2"/>
      </w:pPr>
      <w:r>
        <w:t xml:space="preserve">6.3 Decomposition-Based Methods</w:t>
      </w:r>
    </w:p>
    <w:p>
      <w:pPr>
        <w:spacing w:after="120" w:line="276"/>
      </w:pPr>
      <w:r>
        <w:t xml:space="preserve">Signal decomposition improves forecasting by separating trend, seasonal, and residual components:</w:t>
      </w:r>
    </w:p>
    <w:p>
      <w:pPr>
        <w:pStyle w:val="Heading3"/>
      </w:pPr>
      <w:r>
        <w:t xml:space="preserve">6.3.1 VMD-EEMD-LSTM Pipeline</w:t>
      </w:r>
    </w:p>
    <w:p>
      <w:pPr>
        <w:spacing w:after="120" w:line="276"/>
      </w:pPr>
      <w:r>
        <w:t xml:space="preserve">Variational Mode Decomposition followed by Ensemble Empirical Mode Decomposition:</w:t>
      </w:r>
    </w:p>
    <w:p>
      <w:pPr>
        <w:pStyle w:val="ListParagraph"/>
        <w:numPr>
          <w:ilvl w:val="0"/>
          <w:numId w:val="2"/>
        </w:numPr>
        <w:spacing w:after="80" w:line="276"/>
      </w:pPr>
      <w:r>
        <w:t xml:space="preserve">VMD: Decompose price series into K intrinsic mode functions (IMFs)</w:t>
      </w:r>
    </w:p>
    <w:p>
      <w:pPr>
        <w:pStyle w:val="ListParagraph"/>
        <w:numPr>
          <w:ilvl w:val="0"/>
          <w:numId w:val="2"/>
        </w:numPr>
        <w:spacing w:after="80" w:line="276"/>
      </w:pPr>
      <w:r>
        <w:t xml:space="preserve">EEMD: Secondary decomposition of high-frequency residual</w:t>
      </w:r>
    </w:p>
    <w:p>
      <w:pPr>
        <w:pStyle w:val="ListParagraph"/>
        <w:numPr>
          <w:ilvl w:val="0"/>
          <w:numId w:val="2"/>
        </w:numPr>
        <w:spacing w:after="80" w:line="276"/>
      </w:pPr>
      <w:r>
        <w:t xml:space="preserve">LSTM: Forecast each component separately</w:t>
      </w:r>
    </w:p>
    <w:p>
      <w:pPr>
        <w:pStyle w:val="ListParagraph"/>
        <w:numPr>
          <w:ilvl w:val="0"/>
          <w:numId w:val="2"/>
        </w:numPr>
        <w:spacing w:after="80" w:line="276"/>
      </w:pPr>
      <w:r>
        <w:t xml:space="preserve">Reconstruct: Sum component forecasts for final prediction</w:t>
      </w:r>
    </w:p>
    <w:p>
      <w:pPr>
        <w:spacing w:after="120" w:line="276"/>
      </w:pPr>
      <w:r>
        <w:t xml:space="preserve">This approach captures multi-scale dynamics particularly well for agricultural prices with strong seasonality.</w:t>
      </w:r>
    </w:p>
    <w:p>
      <w:pPr>
        <w:pStyle w:val="Heading2"/>
      </w:pPr>
      <w:r>
        <w:t xml:space="preserve">6.4 Ensemble and Combination Methods</w:t>
      </w:r>
    </w:p>
    <w:p>
      <w:pPr>
        <w:spacing w:after="120" w:line="276"/>
      </w:pPr>
      <w:r>
        <w:t xml:space="preserve">Forecast combination typically outperforms individual models by averaging across model uncertainty:</w:t>
      </w:r>
    </w:p>
    <w:p>
      <w:pPr>
        <w:pStyle w:val="Heading3"/>
      </w:pPr>
      <w:r>
        <w:t xml:space="preserve">6.4.1 Combination Approaches</w:t>
      </w:r>
    </w:p>
    <w:p>
      <w:pPr>
        <w:pStyle w:val="ListParagraph"/>
        <w:numPr>
          <w:ilvl w:val="0"/>
          <w:numId w:val="2"/>
        </w:numPr>
        <w:spacing w:after="80" w:line="276"/>
      </w:pPr>
      <w:r>
        <w:t xml:space="preserve">Simple average: ŷ_t = (1/M)Σ ŷ_t^(m) — robust baseline</w:t>
      </w:r>
    </w:p>
    <w:p>
      <w:pPr>
        <w:pStyle w:val="ListParagraph"/>
        <w:numPr>
          <w:ilvl w:val="0"/>
          <w:numId w:val="2"/>
        </w:numPr>
        <w:spacing w:after="80" w:line="276"/>
      </w:pPr>
      <w:r>
        <w:t xml:space="preserve">Variance-weighted: ŷ_t = Σ w_m·ŷ_t^(m) where w_m ∝ 1/σ²_m</w:t>
      </w:r>
    </w:p>
    <w:p>
      <w:pPr>
        <w:pStyle w:val="ListParagraph"/>
        <w:numPr>
          <w:ilvl w:val="0"/>
          <w:numId w:val="2"/>
        </w:numPr>
        <w:spacing w:after="80" w:line="276"/>
      </w:pPr>
      <w:r>
        <w:t xml:space="preserve">Adaptive: Update weights based on recent forecast errors</w:t>
      </w:r>
    </w:p>
    <w:p>
      <w:pPr>
        <w:pStyle w:val="ListParagraph"/>
        <w:numPr>
          <w:ilvl w:val="0"/>
          <w:numId w:val="2"/>
        </w:numPr>
        <w:spacing w:after="80" w:line="276"/>
      </w:pPr>
      <w:r>
        <w:t xml:space="preserve">ML-based: Use meta-learner to combine base forecasts</w:t>
      </w:r>
    </w:p>
    <w:p>
      <w:pPr>
        <w:spacing w:after="120" w:line="276"/>
      </w:pPr>
      <w:r>
        <w:t xml:space="preserve">USDA ICEC process effectively combines quantitative models with expert judgment — a form of model averaging that accounts for information not in historical data.</w:t>
      </w:r>
    </w:p>
    <w:p>
      <w:r>
        <w:br w:type="page"/>
      </w:r>
    </w:p>
    <w:p>
      <w:pPr>
        <w:pStyle w:val="Heading1"/>
      </w:pPr>
      <w:r>
        <w:t xml:space="preserve">7. Basis and Cash Price Models</w:t>
      </w:r>
    </w:p>
    <w:p>
      <w:pPr>
        <w:pStyle w:val="Heading2"/>
      </w:pPr>
      <w:r>
        <w:t xml:space="preserve">7.1 Basis Definition and Components</w:t>
      </w:r>
    </w:p>
    <w:p>
      <w:pPr>
        <w:spacing w:before="120" w:after="120"/>
        <w:ind w:left="720"/>
      </w:pPr>
      <w:r>
        <w:rPr>
          <w:i/>
          <w:iCs/>
          <w:sz w:val="20"/>
          <w:szCs w:val="20"/>
        </w:rPr>
        <w:t xml:space="preserve">Basis = Cash_price - Futures_price</w:t>
      </w:r>
    </w:p>
    <w:p>
      <w:pPr>
        <w:spacing w:after="120" w:line="276"/>
      </w:pPr>
      <w:r>
        <w:t xml:space="preserve">Basis reflects local supply-demand conditions relative to the reference futures contract:</w:t>
      </w:r>
    </w:p>
    <w:p>
      <w:pPr>
        <w:pStyle w:val="ListParagraph"/>
        <w:numPr>
          <w:ilvl w:val="0"/>
          <w:numId w:val="2"/>
        </w:numPr>
        <w:spacing w:after="80" w:line="276"/>
      </w:pPr>
      <w:r>
        <w:t xml:space="preserve">Spatial component: Transportation and handling costs to delivery point</w:t>
      </w:r>
    </w:p>
    <w:p>
      <w:pPr>
        <w:pStyle w:val="ListParagraph"/>
        <w:numPr>
          <w:ilvl w:val="0"/>
          <w:numId w:val="2"/>
        </w:numPr>
        <w:spacing w:after="80" w:line="276"/>
      </w:pPr>
      <w:r>
        <w:t xml:space="preserve">Temporal component: Storage costs and convenience yield</w:t>
      </w:r>
    </w:p>
    <w:p>
      <w:pPr>
        <w:pStyle w:val="ListParagraph"/>
        <w:numPr>
          <w:ilvl w:val="0"/>
          <w:numId w:val="2"/>
        </w:numPr>
        <w:spacing w:after="80" w:line="276"/>
      </w:pPr>
      <w:r>
        <w:t xml:space="preserve">Quality component: Grade differentials from contract specifications</w:t>
      </w:r>
    </w:p>
    <w:p>
      <w:pPr>
        <w:pStyle w:val="ListParagraph"/>
        <w:numPr>
          <w:ilvl w:val="0"/>
          <w:numId w:val="2"/>
        </w:numPr>
        <w:spacing w:after="80" w:line="276"/>
      </w:pPr>
      <w:r>
        <w:t xml:space="preserve">Local S&amp;D: Regional surplus/deficit conditions</w:t>
      </w:r>
    </w:p>
    <w:p>
      <w:pPr>
        <w:pStyle w:val="Heading2"/>
      </w:pPr>
      <w:r>
        <w:t xml:space="preserve">7.2 Basis Forecasting Model</w:t>
      </w:r>
    </w:p>
    <w:p>
      <w:pPr>
        <w:spacing w:before="120" w:after="120"/>
        <w:ind w:left="720"/>
      </w:pPr>
      <w:r>
        <w:rPr>
          <w:i/>
          <w:iCs/>
          <w:sz w:val="20"/>
          <w:szCs w:val="20"/>
        </w:rPr>
        <w:t xml:space="preserve">Basis_t = α + β₁·basis_{t-1} + β₂·storage_costs_t + β₃·transport_costs_t + β₄·local_stocks_t + β₅·seasonality_t + ε_t</w:t>
      </w:r>
    </w:p>
    <w:p>
      <w:pPr>
        <w:spacing w:after="120" w:line="276"/>
      </w:pPr>
      <w:r>
        <w:t xml:space="preserve">Key basis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Location Factor</w:t>
            </w:r>
          </w:p>
        </w:tc>
        <w:tc>
          <w:tcPr>
            <w:tcW w:type="dxa" w:w="25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Basis Impact (cents/bu)</w:t>
            </w:r>
          </w:p>
        </w:tc>
        <w:tc>
          <w:tcPr>
            <w:tcW w:type="dxa" w:w="386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Primary Driver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Distance to delivery (rail)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 to -3 per 100 miles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Transportation cost</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Distance to export terminal</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-5 to -15 for interior</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Barge/rail access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Local elevator competition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 to +8</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Bid competition</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Harvest period (peak)</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-20 to -50</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Temporary surplus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Quality premium (No. 1 corn)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 to +8 vs No. 2</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Grade differential</w:t>
            </w:r>
          </w:p>
        </w:tc>
      </w:tr>
    </w:tbl>
    <w:p>
      <w:pPr>
        <w:shd w:fill="f5f5f5" w:val="clear"/>
        <w:spacing w:before="80" w:after="80"/>
        <w:ind w:left="360" w:right="360"/>
      </w:pPr>
      <w:r>
        <w:rPr>
          <w:rFonts w:ascii="Consolas" w:cs="Consolas" w:eastAsia="Consolas" w:hAnsi="Consolas"/>
          <w:sz w:val="18"/>
          <w:szCs w:val="18"/>
        </w:rPr>
        <w:t xml:space="preserve">-- Basis calculation from database</w:t>
      </w:r>
    </w:p>
    <w:p>
      <w:pPr>
        <w:shd w:fill="f5f5f5" w:val="clear"/>
        <w:spacing w:before="80" w:after="80"/>
        <w:ind w:left="360" w:right="360"/>
      </w:pPr>
      <w:r>
        <w:rPr>
          <w:rFonts w:ascii="Consolas" w:cs="Consolas" w:eastAsia="Consolas" w:hAnsi="Consolas"/>
          <w:sz w:val="18"/>
          <w:szCs w:val="18"/>
        </w:rPr>
        <w:t xml:space="preserve">SELECT date, location, cash_price - nearby_futures as basis</w:t>
      </w:r>
    </w:p>
    <w:p>
      <w:pPr>
        <w:shd w:fill="f5f5f5" w:val="clear"/>
        <w:spacing w:before="80" w:after="80"/>
        <w:ind w:left="360" w:right="360"/>
      </w:pPr>
      <w:r>
        <w:rPr>
          <w:rFonts w:ascii="Consolas" w:cs="Consolas" w:eastAsia="Consolas" w:hAnsi="Consolas"/>
          <w:sz w:val="18"/>
          <w:szCs w:val="18"/>
        </w:rPr>
        <w:t xml:space="preserve">FROM usda_ams_prices ap JOIN cme_futures cf </w:t>
      </w:r>
    </w:p>
    <w:p>
      <w:pPr>
        <w:shd w:fill="f5f5f5" w:val="clear"/>
        <w:spacing w:before="80" w:after="80"/>
        <w:ind w:left="360" w:right="360"/>
      </w:pPr>
      <w:r>
        <w:rPr>
          <w:rFonts w:ascii="Consolas" w:cs="Consolas" w:eastAsia="Consolas" w:hAnsi="Consolas"/>
          <w:sz w:val="18"/>
          <w:szCs w:val="18"/>
        </w:rPr>
        <w:t xml:space="preserve">ON ap.date = cf.date AND ap.commodity = cf.commodity</w:t>
      </w:r>
    </w:p>
    <w:p>
      <w:r>
        <w:br w:type="page"/>
      </w:r>
    </w:p>
    <w:p>
      <w:pPr>
        <w:pStyle w:val="Heading1"/>
      </w:pPr>
      <w:r>
        <w:t xml:space="preserve">8. Land Supply and Resource Allocation Models</w:t>
      </w:r>
    </w:p>
    <w:p>
      <w:pPr>
        <w:pStyle w:val="Heading2"/>
      </w:pPr>
      <w:r>
        <w:t xml:space="preserve">8.1 Hertel's Reduced-Form Land Model</w:t>
      </w:r>
    </w:p>
    <w:p>
      <w:pPr>
        <w:spacing w:after="120" w:line="276"/>
      </w:pPr>
      <w:r>
        <w:t xml:space="preserve">Thomas Hertel's 2011 AJAE framework models global land supply response:</w:t>
      </w:r>
    </w:p>
    <w:p>
      <w:pPr>
        <w:spacing w:before="120" w:after="120"/>
        <w:ind w:left="720"/>
      </w:pPr>
      <w:r>
        <w:rPr>
          <w:i/>
          <w:iCs/>
          <w:sz w:val="20"/>
          <w:szCs w:val="20"/>
        </w:rPr>
        <w:t xml:space="preserve">q*_L = [Δᴰ_A + Δˢ_L - Δᴰ_L] / [1 + (η^{S,I}_A / η^{S,E}_A) + (η^D_A / η^{S,E}_A)] - Δˢ_L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800"/>
        <w:gridCol w:w="3460"/>
      </w:tblGrid>
      <w:tr>
        <w:tc>
          <w:tcPr>
            <w:tcW w:type="dxa" w:w="16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Parameter</w:t>
            </w:r>
          </w:p>
        </w:tc>
        <w:tc>
          <w:tcPr>
            <w:tcW w:type="dxa" w:w="25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Definition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Typical Value</w:t>
            </w:r>
          </w:p>
        </w:tc>
        <w:tc>
          <w:tcPr>
            <w:tcW w:type="dxa" w:w="346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Interpretation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q*_L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Equilibrium land quantity change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Endogenous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Model output</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Δᴰ_A</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Demand shift (population/income)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1-2% annually</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Exogenous driver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η^{S,E}_A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Extensive margin elasticity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0.05-0.20</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Land expansion response</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η^{S,I}_A</w:t>
            </w:r>
          </w:p>
        </w:tc>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Intensive margin elasticity</w:t>
            </w:r>
          </w:p>
        </w:tc>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0.30-0.50</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Yield response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η^D_A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Demand elasticity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-0.20 to -0.40</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Price-quantity tradeoff</w:t>
            </w:r>
          </w:p>
        </w:tc>
      </w:tr>
    </w:tbl>
    <w:p>
      <w:pPr>
        <w:spacing w:after="120" w:line="276"/>
      </w:pPr>
      <w:r>
        <w:t xml:space="preserve">Key insight: When extensive margin elasticity is low (limited land expansion potential), price impacts from demand growth are amplified. Yield intensification and demand reduction must absorb shocks.</w:t>
      </w:r>
    </w:p>
    <w:p>
      <w:pPr>
        <w:pStyle w:val="Heading2"/>
      </w:pPr>
      <w:r>
        <w:t xml:space="preserve">8.2 SIMPLE-G Framework</w:t>
      </w:r>
    </w:p>
    <w:p>
      <w:pPr>
        <w:spacing w:after="120" w:line="276"/>
      </w:pPr>
      <w:r>
        <w:t xml:space="preserve">The Simplified International Model of agricultural Prices, Land use, and the Environment operationalizes Hertel's model with 13 calibrated parameters:</w:t>
      </w:r>
    </w:p>
    <w:p>
      <w:pPr>
        <w:pStyle w:val="ListParagraph"/>
        <w:numPr>
          <w:ilvl w:val="0"/>
          <w:numId w:val="2"/>
        </w:numPr>
        <w:spacing w:after="80" w:line="276"/>
      </w:pPr>
      <w:r>
        <w:t xml:space="preserve">Supply: CES production functions with land, labor, water, fertilizer</w:t>
      </w:r>
    </w:p>
    <w:p>
      <w:pPr>
        <w:pStyle w:val="ListParagraph"/>
        <w:numPr>
          <w:ilvl w:val="0"/>
          <w:numId w:val="2"/>
        </w:numPr>
        <w:spacing w:after="80" w:line="276"/>
      </w:pPr>
      <w:r>
        <w:t xml:space="preserve">Demand: Income and population response to food prices</w:t>
      </w:r>
    </w:p>
    <w:p>
      <w:pPr>
        <w:pStyle w:val="ListParagraph"/>
        <w:numPr>
          <w:ilvl w:val="0"/>
          <w:numId w:val="2"/>
        </w:numPr>
        <w:spacing w:after="80" w:line="276"/>
      </w:pPr>
      <w:r>
        <w:t xml:space="preserve">Land: Extensive/intensive margin allocation</w:t>
      </w:r>
    </w:p>
    <w:p>
      <w:pPr>
        <w:pStyle w:val="ListParagraph"/>
        <w:numPr>
          <w:ilvl w:val="0"/>
          <w:numId w:val="2"/>
        </w:numPr>
        <w:spacing w:after="80" w:line="276"/>
      </w:pPr>
      <w:r>
        <w:t xml:space="preserve">Trade: Global equilibrium clearing</w:t>
      </w:r>
    </w:p>
    <w:p>
      <w:pPr>
        <w:spacing w:after="120" w:line="276"/>
      </w:pPr>
      <w:r>
        <w:t xml:space="preserve">SIMPLE-G-US-CornSoy variant specifically models US corn-soybean systems, useful for evaluating nutrient pollution, biofuel policy, and land use change.</w:t>
      </w:r>
    </w:p>
    <w:p>
      <w:r>
        <w:br w:type="page"/>
      </w:r>
    </w:p>
    <w:p>
      <w:pPr>
        <w:pStyle w:val="Heading1"/>
      </w:pPr>
      <w:r>
        <w:t xml:space="preserve">9. Major Institutional Modeling Frameworks</w:t>
      </w:r>
    </w:p>
    <w:p>
      <w:pPr>
        <w:pStyle w:val="Heading2"/>
      </w:pPr>
      <w:r>
        <w:t xml:space="preserve">9.1 FAPRI Model</w:t>
      </w:r>
    </w:p>
    <w:p>
      <w:pPr>
        <w:spacing w:after="120" w:line="276"/>
      </w:pPr>
      <w:r>
        <w:t xml:space="preserve">The Food and Agricultural Policy Research Institute (Iowa State/U. Missouri) maintains a recursive dynamic partial equilibrium system:</w:t>
      </w:r>
    </w:p>
    <w:p>
      <w:pPr>
        <w:pStyle w:val="ListParagraph"/>
        <w:numPr>
          <w:ilvl w:val="0"/>
          <w:numId w:val="2"/>
        </w:numPr>
        <w:spacing w:after="80" w:line="276"/>
      </w:pPr>
      <w:r>
        <w:t xml:space="preserve">Coverage: US and global markets for crops, livestock, biofuels</w:t>
      </w:r>
    </w:p>
    <w:p>
      <w:pPr>
        <w:pStyle w:val="ListParagraph"/>
        <w:numPr>
          <w:ilvl w:val="0"/>
          <w:numId w:val="2"/>
        </w:numPr>
        <w:spacing w:after="80" w:line="276"/>
      </w:pPr>
      <w:r>
        <w:t xml:space="preserve">Structure: Econometrically estimated supply and demand equations</w:t>
      </w:r>
    </w:p>
    <w:p>
      <w:pPr>
        <w:pStyle w:val="ListParagraph"/>
        <w:numPr>
          <w:ilvl w:val="0"/>
          <w:numId w:val="2"/>
        </w:numPr>
        <w:spacing w:after="80" w:line="276"/>
      </w:pPr>
      <w:r>
        <w:t xml:space="preserve">Dynamics: Recursive with lagged adjustment</w:t>
      </w:r>
    </w:p>
    <w:p>
      <w:pPr>
        <w:pStyle w:val="ListParagraph"/>
        <w:numPr>
          <w:ilvl w:val="0"/>
          <w:numId w:val="2"/>
        </w:numPr>
        <w:spacing w:after="80" w:line="276"/>
      </w:pPr>
      <w:r>
        <w:t xml:space="preserve">Uncertainty: Monte Carlo simulation (typically 500 iterations)</w:t>
      </w:r>
    </w:p>
    <w:p>
      <w:pPr>
        <w:pStyle w:val="Heading3"/>
      </w:pPr>
      <w:r>
        <w:t xml:space="preserve">9.1.1 Key FAPRI Equations</w:t>
      </w:r>
    </w:p>
    <w:p>
      <w:pPr>
        <w:spacing w:before="120" w:after="120"/>
        <w:ind w:left="720"/>
      </w:pPr>
      <w:r>
        <w:rPr>
          <w:i/>
          <w:iCs/>
          <w:sz w:val="20"/>
          <w:szCs w:val="20"/>
        </w:rPr>
        <w:t xml:space="preserve">Acreage: A_t = f(P_{t-1}, costs_t, policy_t, A_{t-1})</w:t>
      </w:r>
    </w:p>
    <w:p>
      <w:pPr>
        <w:spacing w:before="120" w:after="120"/>
        <w:ind w:left="720"/>
      </w:pPr>
      <w:r>
        <w:rPr>
          <w:i/>
          <w:iCs/>
          <w:sz w:val="20"/>
          <w:szCs w:val="20"/>
        </w:rPr>
        <w:t xml:space="preserve">Yield: Y_t = g(trend, inputs_t, weather_t)</w:t>
      </w:r>
    </w:p>
    <w:p>
      <w:pPr>
        <w:spacing w:before="120" w:after="120"/>
        <w:ind w:left="720"/>
      </w:pPr>
      <w:r>
        <w:rPr>
          <w:i/>
          <w:iCs/>
          <w:sz w:val="20"/>
          <w:szCs w:val="20"/>
        </w:rPr>
        <w:t xml:space="preserve">Demand: Q_t = h(P_t, income_t, population_t, substitutes_t)</w:t>
      </w:r>
    </w:p>
    <w:p>
      <w:pPr>
        <w:pStyle w:val="Heading2"/>
      </w:pPr>
      <w:r>
        <w:t xml:space="preserve">9.2 GTAP and GTAP-BIO</w:t>
      </w:r>
    </w:p>
    <w:p>
      <w:pPr>
        <w:spacing w:after="120" w:line="276"/>
      </w:pPr>
      <w:r>
        <w:t xml:space="preserve">The Global Trade Analysis Project is a multiregion CGE model:</w:t>
      </w:r>
    </w:p>
    <w:p>
      <w:pPr>
        <w:pStyle w:val="ListParagraph"/>
        <w:numPr>
          <w:ilvl w:val="0"/>
          <w:numId w:val="2"/>
        </w:numPr>
        <w:spacing w:after="80" w:line="276"/>
      </w:pPr>
      <w:r>
        <w:t xml:space="preserve">Database: 140 regions, 65 sectors</w:t>
      </w:r>
    </w:p>
    <w:p>
      <w:pPr>
        <w:pStyle w:val="ListParagraph"/>
        <w:numPr>
          <w:ilvl w:val="0"/>
          <w:numId w:val="2"/>
        </w:numPr>
        <w:spacing w:after="80" w:line="276"/>
      </w:pPr>
      <w:r>
        <w:t xml:space="preserve">Trade: Armington elasticities (2-5 for agriculture)</w:t>
      </w:r>
    </w:p>
    <w:p>
      <w:pPr>
        <w:pStyle w:val="ListParagraph"/>
        <w:numPr>
          <w:ilvl w:val="0"/>
          <w:numId w:val="2"/>
        </w:numPr>
        <w:spacing w:after="80" w:line="276"/>
      </w:pPr>
      <w:r>
        <w:t xml:space="preserve">Production: Nested CES functions</w:t>
      </w:r>
    </w:p>
    <w:p>
      <w:pPr>
        <w:pStyle w:val="ListParagraph"/>
        <w:numPr>
          <w:ilvl w:val="0"/>
          <w:numId w:val="2"/>
        </w:numPr>
        <w:spacing w:after="80" w:line="276"/>
      </w:pPr>
      <w:r>
        <w:t xml:space="preserve">GTAP-BIO: Extension for energy-agriculture linkages</w:t>
      </w:r>
    </w:p>
    <w:p>
      <w:pPr>
        <w:pStyle w:val="Heading2"/>
      </w:pPr>
      <w:r>
        <w:t xml:space="preserve">9.3 IFPRI IMPACT</w:t>
      </w:r>
    </w:p>
    <w:p>
      <w:pPr>
        <w:spacing w:after="120" w:line="276"/>
      </w:pPr>
      <w:r>
        <w:t xml:space="preserve">International Model for Policy Analysis of Agricultural Commodities and Trade:</w:t>
      </w:r>
    </w:p>
    <w:p>
      <w:pPr>
        <w:pStyle w:val="ListParagraph"/>
        <w:numPr>
          <w:ilvl w:val="0"/>
          <w:numId w:val="2"/>
        </w:numPr>
        <w:spacing w:after="80" w:line="276"/>
      </w:pPr>
      <w:r>
        <w:t xml:space="preserve">Coverage: 320 food production units, 62 commodities</w:t>
      </w:r>
    </w:p>
    <w:p>
      <w:pPr>
        <w:pStyle w:val="ListParagraph"/>
        <w:numPr>
          <w:ilvl w:val="0"/>
          <w:numId w:val="2"/>
        </w:numPr>
        <w:spacing w:after="80" w:line="276"/>
      </w:pPr>
      <w:r>
        <w:t xml:space="preserve">Integration: Links economic, water, and crop models</w:t>
      </w:r>
    </w:p>
    <w:p>
      <w:pPr>
        <w:pStyle w:val="ListParagraph"/>
        <w:numPr>
          <w:ilvl w:val="0"/>
          <w:numId w:val="2"/>
        </w:numPr>
        <w:spacing w:after="80" w:line="276"/>
      </w:pPr>
      <w:r>
        <w:t xml:space="preserve">Crop modeling: DSSAT integration for yield simulation</w:t>
      </w:r>
    </w:p>
    <w:p>
      <w:pPr>
        <w:pStyle w:val="ListParagraph"/>
        <w:numPr>
          <w:ilvl w:val="0"/>
          <w:numId w:val="2"/>
        </w:numPr>
        <w:spacing w:after="80" w:line="276"/>
      </w:pPr>
      <w:r>
        <w:t xml:space="preserve">Processing: Crush ratios (soybeans: 0.80 oil, 0.18 meal)</w:t>
      </w:r>
    </w:p>
    <w:p>
      <w:r>
        <w:br w:type="page"/>
      </w:r>
    </w:p>
    <w:p>
      <w:pPr>
        <w:pStyle w:val="Heading1"/>
      </w:pPr>
      <w:r>
        <w:t xml:space="preserve">10. Implementation Guide for LLM Systems</w:t>
      </w:r>
    </w:p>
    <w:p>
      <w:pPr>
        <w:pStyle w:val="Heading2"/>
      </w:pPr>
      <w:r>
        <w:t xml:space="preserve">10.1 Model Selection Protocol</w:t>
      </w:r>
    </w:p>
    <w:p>
      <w:pPr>
        <w:spacing w:after="120" w:line="276"/>
      </w:pPr>
      <w:r>
        <w:t xml:space="preserve">When an LLM agent receives a forecasting request, follow this protocol:</w:t>
      </w:r>
    </w:p>
    <w:p>
      <w:pPr>
        <w:pStyle w:val="ListParagraph"/>
        <w:numPr>
          <w:ilvl w:val="0"/>
          <w:numId w:val="2"/>
        </w:numPr>
        <w:spacing w:after="80" w:line="276"/>
      </w:pPr>
      <w:r>
        <w:t xml:space="preserve">Step 1: Parse the request to identify commodity, horizon, and output type</w:t>
      </w:r>
    </w:p>
    <w:p>
      <w:pPr>
        <w:pStyle w:val="ListParagraph"/>
        <w:numPr>
          <w:ilvl w:val="0"/>
          <w:numId w:val="2"/>
        </w:numPr>
        <w:spacing w:after="80" w:line="276"/>
      </w:pPr>
      <w:r>
        <w:t xml:space="preserve">Step 2: Query relevant database tables for input data</w:t>
      </w:r>
    </w:p>
    <w:p>
      <w:pPr>
        <w:pStyle w:val="ListParagraph"/>
        <w:numPr>
          <w:ilvl w:val="0"/>
          <w:numId w:val="2"/>
        </w:numPr>
        <w:spacing w:after="80" w:line="276"/>
      </w:pPr>
      <w:r>
        <w:t xml:space="preserve">Step 3: Select appropriate model(s) from this reference guide</w:t>
      </w:r>
    </w:p>
    <w:p>
      <w:pPr>
        <w:pStyle w:val="ListParagraph"/>
        <w:numPr>
          <w:ilvl w:val="0"/>
          <w:numId w:val="2"/>
        </w:numPr>
        <w:spacing w:after="80" w:line="276"/>
      </w:pPr>
      <w:r>
        <w:t xml:space="preserve">Step 4: Apply equations with parameter values from tables above</w:t>
      </w:r>
    </w:p>
    <w:p>
      <w:pPr>
        <w:pStyle w:val="ListParagraph"/>
        <w:numPr>
          <w:ilvl w:val="0"/>
          <w:numId w:val="2"/>
        </w:numPr>
        <w:spacing w:after="80" w:line="276"/>
      </w:pPr>
      <w:r>
        <w:t xml:space="preserve">Step 5: Generate point forecast and uncertainty bounds</w:t>
      </w:r>
    </w:p>
    <w:p>
      <w:pPr>
        <w:pStyle w:val="ListParagraph"/>
        <w:numPr>
          <w:ilvl w:val="0"/>
          <w:numId w:val="2"/>
        </w:numPr>
        <w:spacing w:after="80" w:line="276"/>
      </w:pPr>
      <w:r>
        <w:t xml:space="preserve">Step 6: Validate against recent WASDE or market consensus</w:t>
      </w:r>
    </w:p>
    <w:p>
      <w:pPr>
        <w:pStyle w:val="ListParagraph"/>
        <w:numPr>
          <w:ilvl w:val="0"/>
          <w:numId w:val="2"/>
        </w:numPr>
        <w:spacing w:after="80" w:line="276"/>
      </w:pPr>
      <w:r>
        <w:t xml:space="preserve">Step 7: Document assumptions and data sources in output</w:t>
      </w:r>
    </w:p>
    <w:p>
      <w:pPr>
        <w:pStyle w:val="Heading2"/>
      </w:pPr>
      <w:r>
        <w:t xml:space="preserve">10.2 Required Database Queries by Model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Model Type</w:t>
            </w:r>
          </w:p>
        </w:tc>
        <w:tc>
          <w:tcPr>
            <w:tcW w:type="dxa" w:w="3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Required Tables</w:t>
            </w:r>
          </w:p>
        </w:tc>
        <w:tc>
          <w:tcPr>
            <w:tcW w:type="dxa" w:w="386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Key Fields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Balance Sheet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usda_wasde, usda_psd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production, use, stocks, prices</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Price Forecast (futures)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cme_futures</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settlement, volume, open_interest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Basis Model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usda_ams_prices, cme_futures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cash_price, nearby_futures, location</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Ethanol Economics</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eia_biofuels, cme_futures</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ethanol_production, corn_price, margins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Trade Flow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census_trade, usda_export_sales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quantity, value, destination</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Yield Model</w:t>
            </w:r>
          </w:p>
        </w:tc>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noaa_weather, usda_crop_progress</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temp, precip, condition_ratings</w:t>
            </w:r>
          </w:p>
        </w:tc>
      </w:tr>
    </w:tbl>
    <w:p>
      <w:pPr>
        <w:pStyle w:val="Heading2"/>
      </w:pPr>
      <w:r>
        <w:t xml:space="preserve">10.3 Uncertainty Quantification</w:t>
      </w:r>
    </w:p>
    <w:p>
      <w:pPr>
        <w:spacing w:after="120" w:line="276"/>
      </w:pPr>
      <w:r>
        <w:t xml:space="preserve">All forecasts should include uncertainty estimates:</w:t>
      </w:r>
    </w:p>
    <w:p>
      <w:pPr>
        <w:pStyle w:val="Heading3"/>
      </w:pPr>
      <w:r>
        <w:t xml:space="preserve">10.3.1 Monte Carlo Approach</w:t>
      </w:r>
    </w:p>
    <w:p>
      <w:pPr>
        <w:pStyle w:val="ListParagraph"/>
        <w:numPr>
          <w:ilvl w:val="0"/>
          <w:numId w:val="2"/>
        </w:numPr>
        <w:spacing w:after="80" w:line="276"/>
      </w:pPr>
      <w:r>
        <w:t xml:space="preserve">Draw N samples from parameter distributions (typically N=500-1000)</w:t>
      </w:r>
    </w:p>
    <w:p>
      <w:pPr>
        <w:pStyle w:val="ListParagraph"/>
        <w:numPr>
          <w:ilvl w:val="0"/>
          <w:numId w:val="2"/>
        </w:numPr>
        <w:spacing w:after="80" w:line="276"/>
      </w:pPr>
      <w:r>
        <w:t xml:space="preserve">Run model for each parameter draw</w:t>
      </w:r>
    </w:p>
    <w:p>
      <w:pPr>
        <w:pStyle w:val="ListParagraph"/>
        <w:numPr>
          <w:ilvl w:val="0"/>
          <w:numId w:val="2"/>
        </w:numPr>
        <w:spacing w:after="80" w:line="276"/>
      </w:pPr>
      <w:r>
        <w:t xml:space="preserve">Report percentiles (5th, 25th, median, 75th, 95th)</w:t>
      </w:r>
    </w:p>
    <w:p>
      <w:pPr>
        <w:pStyle w:val="Heading3"/>
      </w:pPr>
      <w:r>
        <w:t xml:space="preserve">10.3.2 Ensemble Combination</w:t>
      </w:r>
    </w:p>
    <w:p>
      <w:pPr>
        <w:pStyle w:val="ListParagraph"/>
        <w:numPr>
          <w:ilvl w:val="0"/>
          <w:numId w:val="2"/>
        </w:numPr>
        <w:spacing w:after="80" w:line="276"/>
      </w:pPr>
      <w:r>
        <w:t xml:space="preserve">Generate forecasts from multiple models</w:t>
      </w:r>
    </w:p>
    <w:p>
      <w:pPr>
        <w:pStyle w:val="ListParagraph"/>
        <w:numPr>
          <w:ilvl w:val="0"/>
          <w:numId w:val="2"/>
        </w:numPr>
        <w:spacing w:after="80" w:line="276"/>
      </w:pPr>
      <w:r>
        <w:t xml:space="preserve">Weight by recent forecast performance</w:t>
      </w:r>
    </w:p>
    <w:p>
      <w:pPr>
        <w:pStyle w:val="ListParagraph"/>
        <w:numPr>
          <w:ilvl w:val="0"/>
          <w:numId w:val="2"/>
        </w:numPr>
        <w:spacing w:after="80" w:line="276"/>
      </w:pPr>
      <w:r>
        <w:t xml:space="preserve">Report ensemble mean and spread</w:t>
      </w:r>
    </w:p>
    <w:p>
      <w:pPr>
        <w:pStyle w:val="Heading3"/>
      </w:pPr>
      <w:r>
        <w:t xml:space="preserve">10.3.3 WASDE-Style Ranges</w:t>
      </w:r>
    </w:p>
    <w:p>
      <w:pPr>
        <w:spacing w:after="120" w:line="276"/>
      </w:pPr>
      <w:r>
        <w:t xml:space="preserve">For price forecasts, report ranges similar to WASDE (pre-2019 format):</w:t>
      </w:r>
    </w:p>
    <w:p>
      <w:pPr>
        <w:spacing w:before="120" w:after="120"/>
        <w:ind w:left="720"/>
      </w:pPr>
      <w:r>
        <w:rPr>
          <w:i/>
          <w:iCs/>
          <w:sz w:val="20"/>
          <w:szCs w:val="20"/>
        </w:rPr>
        <w:t xml:space="preserve">Price_range = Point_forecast ± 1.5 × historical_RMSE</w:t>
      </w:r>
    </w:p>
    <w:p>
      <w:pPr>
        <w:pStyle w:val="Heading2"/>
      </w:pPr>
      <w:r>
        <w:t xml:space="preserve">10.4 Validation and Monitoring</w:t>
      </w:r>
    </w:p>
    <w:p>
      <w:pPr>
        <w:spacing w:after="120" w:line="276"/>
      </w:pPr>
      <w:r>
        <w:t xml:space="preserve">Continuous validation requirements:</w:t>
      </w:r>
    </w:p>
    <w:p>
      <w:pPr>
        <w:pStyle w:val="ListParagraph"/>
        <w:numPr>
          <w:ilvl w:val="0"/>
          <w:numId w:val="2"/>
        </w:numPr>
        <w:spacing w:after="80" w:line="276"/>
      </w:pPr>
      <w:r>
        <w:t xml:space="preserve">Compare forecasts to realized values when available</w:t>
      </w:r>
    </w:p>
    <w:p>
      <w:pPr>
        <w:pStyle w:val="ListParagraph"/>
        <w:numPr>
          <w:ilvl w:val="0"/>
          <w:numId w:val="2"/>
        </w:numPr>
        <w:spacing w:after="80" w:line="276"/>
      </w:pPr>
      <w:r>
        <w:t xml:space="preserve">Track error decomposition by balance sheet component</w:t>
      </w:r>
    </w:p>
    <w:p>
      <w:pPr>
        <w:pStyle w:val="ListParagraph"/>
        <w:numPr>
          <w:ilvl w:val="0"/>
          <w:numId w:val="2"/>
        </w:numPr>
        <w:spacing w:after="80" w:line="276"/>
      </w:pPr>
      <w:r>
        <w:t xml:space="preserve">Test for structural breaks (Chow test, CUSUM)</w:t>
      </w:r>
    </w:p>
    <w:p>
      <w:pPr>
        <w:pStyle w:val="ListParagraph"/>
        <w:numPr>
          <w:ilvl w:val="0"/>
          <w:numId w:val="2"/>
        </w:numPr>
        <w:spacing w:after="80" w:line="276"/>
      </w:pPr>
      <w:r>
        <w:t xml:space="preserve">Monitor for concept drift in ML models</w:t>
      </w:r>
    </w:p>
    <w:p>
      <w:pPr>
        <w:pStyle w:val="ListParagraph"/>
        <w:numPr>
          <w:ilvl w:val="0"/>
          <w:numId w:val="2"/>
        </w:numPr>
        <w:spacing w:after="80" w:line="276"/>
      </w:pPr>
      <w:r>
        <w:t xml:space="preserve">Update parameters annually based on new data</w:t>
      </w:r>
    </w:p>
    <w:p>
      <w:pPr>
        <w:pStyle w:val="Heading2"/>
      </w:pPr>
      <w:r>
        <w:t xml:space="preserve">10.5 External Data Requirements</w:t>
      </w:r>
    </w:p>
    <w:p>
      <w:pPr>
        <w:spacing w:after="120" w:line="276"/>
      </w:pPr>
      <w:r>
        <w:t xml:space="preserve">Models may require data beyond the rlc_commodities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Data Type</w:t>
            </w:r>
          </w:p>
        </w:tc>
        <w:tc>
          <w:tcPr>
            <w:tcW w:type="dxa" w:w="2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External Source</w:t>
            </w:r>
          </w:p>
        </w:tc>
        <w:tc>
          <w:tcPr>
            <w:tcW w:type="dxa" w:w="20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Update Frequency</w:t>
            </w:r>
          </w:p>
        </w:tc>
        <w:tc>
          <w:tcPr>
            <w:tcW w:type="dxa" w:w="286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r>
              <w:rPr>
                <w:b/>
                <w:bCs/>
                <w:color w:val="ffffff"/>
              </w:rPr>
              <w:t xml:space="preserve">Access Method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WASDE Reports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USDA OCE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Monthly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API or PDF parse</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Crop Progress</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USDA NASS</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Weekly (Apr-Nov)</w:t>
            </w:r>
          </w:p>
        </w:tc>
        <w:tc>
          <w:tcPr>
            <w:tcW w:type="dxa" w:w="2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QuickStats API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Export Inspections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USDA AMS/FGIS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Weekly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Public reports</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Weather Data</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NOAA NCEI</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Daily</w:t>
            </w:r>
          </w:p>
        </w:tc>
        <w:tc>
          <w:tcPr>
            <w:tcW w:type="dxa" w:w="2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API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RFS Volumes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EPA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Annual (+adjustments)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Federal Register</w:t>
            </w:r>
          </w:p>
        </w:tc>
      </w:tr>
      <w:tr>
        <w:tc>
          <w:tcPr>
            <w:tcW w:type="dxa" w:w="2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Satellite Imagery</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USDA NASS (CDL)</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Annual</w:t>
            </w:r>
          </w:p>
        </w:tc>
        <w:tc>
          <w:tcPr>
            <w:tcW w:type="dxa" w:w="2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t xml:space="preserve">GeoTIFF download</w:t>
            </w:r>
          </w:p>
        </w:tc>
      </w:tr>
    </w:tbl>
    <w:p>
      <w:r>
        <w:br w:type="page"/>
      </w:r>
    </w:p>
    <w:p>
      <w:pPr>
        <w:pStyle w:val="Heading1"/>
      </w:pPr>
      <w:r>
        <w:t xml:space="preserve">11. Key References and Further Reading</w:t>
      </w:r>
    </w:p>
    <w:p>
      <w:pPr>
        <w:pStyle w:val="Heading2"/>
      </w:pPr>
      <w:r>
        <w:t xml:space="preserve">11.1 Foundational Papers</w:t>
      </w:r>
    </w:p>
    <w:p>
      <w:pPr>
        <w:pStyle w:val="ListParagraph"/>
        <w:numPr>
          <w:ilvl w:val="0"/>
          <w:numId w:val="2"/>
        </w:numPr>
        <w:spacing w:after="80" w:line="276"/>
      </w:pPr>
      <w:r>
        <w:t xml:space="preserve">Hertel, T.W. (2011). The global supply and demand for agricultural land in 2050. AJAE 93(2): 393-410.</w:t>
      </w:r>
    </w:p>
    <w:p>
      <w:pPr>
        <w:pStyle w:val="ListParagraph"/>
        <w:numPr>
          <w:ilvl w:val="0"/>
          <w:numId w:val="2"/>
        </w:numPr>
        <w:spacing w:after="80" w:line="276"/>
      </w:pPr>
      <w:r>
        <w:t xml:space="preserve">Roberts, M.J. &amp; Schlenker, W. (2013). Identifying supply and demand elasticities. AER 103(6): 2265-2295.</w:t>
      </w:r>
    </w:p>
    <w:p>
      <w:pPr>
        <w:pStyle w:val="ListParagraph"/>
        <w:numPr>
          <w:ilvl w:val="0"/>
          <w:numId w:val="2"/>
        </w:numPr>
        <w:spacing w:after="80" w:line="276"/>
      </w:pPr>
      <w:r>
        <w:t xml:space="preserve">Searchinger, T. et al. (2008). Use of U.S. croplands for biofuels increases greenhouse gases. Science 319: 1238-1240.</w:t>
      </w:r>
    </w:p>
    <w:p>
      <w:pPr>
        <w:pStyle w:val="Heading2"/>
      </w:pPr>
      <w:r>
        <w:t xml:space="preserve">11.2 Institutional Documentation</w:t>
      </w:r>
    </w:p>
    <w:p>
      <w:pPr>
        <w:pStyle w:val="ListParagraph"/>
        <w:numPr>
          <w:ilvl w:val="0"/>
          <w:numId w:val="2"/>
        </w:numPr>
        <w:spacing w:after="80" w:line="276"/>
      </w:pPr>
      <w:r>
        <w:t xml:space="preserve">USDA WASDE: https://www.usda.gov/oce/commodity/wasde</w:t>
      </w:r>
    </w:p>
    <w:p>
      <w:pPr>
        <w:pStyle w:val="ListParagraph"/>
        <w:numPr>
          <w:ilvl w:val="0"/>
          <w:numId w:val="2"/>
        </w:numPr>
        <w:spacing w:after="80" w:line="276"/>
      </w:pPr>
      <w:r>
        <w:t xml:space="preserve">FAPRI: https://www.card.iastate.edu/products/publications/synopsis/</w:t>
      </w:r>
    </w:p>
    <w:p>
      <w:pPr>
        <w:pStyle w:val="ListParagraph"/>
        <w:numPr>
          <w:ilvl w:val="0"/>
          <w:numId w:val="2"/>
        </w:numPr>
        <w:spacing w:after="80" w:line="276"/>
      </w:pPr>
      <w:r>
        <w:t xml:space="preserve">GTAP: https://gtap.agecon.purdue.edu/default.asp</w:t>
      </w:r>
    </w:p>
    <w:p>
      <w:pPr>
        <w:pStyle w:val="ListParagraph"/>
        <w:numPr>
          <w:ilvl w:val="0"/>
          <w:numId w:val="2"/>
        </w:numPr>
        <w:spacing w:after="80" w:line="276"/>
      </w:pPr>
      <w:r>
        <w:t xml:space="preserve">IFPRI IMPACT: https://www.ifpri.org/project/impact-model</w:t>
      </w:r>
    </w:p>
    <w:p>
      <w:pPr>
        <w:pStyle w:val="Heading2"/>
      </w:pPr>
      <w:r>
        <w:t xml:space="preserve">11.3 Recent Methodological Advances (2024-2025)</w:t>
      </w:r>
    </w:p>
    <w:p>
      <w:pPr>
        <w:pStyle w:val="ListParagraph"/>
        <w:numPr>
          <w:ilvl w:val="0"/>
          <w:numId w:val="2"/>
        </w:numPr>
        <w:spacing w:after="80" w:line="276"/>
      </w:pPr>
      <w:r>
        <w:t xml:space="preserve">Hybrid ARIMA-LSTM models: Scientific Reports (2025), ScienceDirect (2025)</w:t>
      </w:r>
    </w:p>
    <w:p>
      <w:pPr>
        <w:pStyle w:val="ListParagraph"/>
        <w:numPr>
          <w:ilvl w:val="0"/>
          <w:numId w:val="2"/>
        </w:numPr>
        <w:spacing w:after="80" w:line="276"/>
      </w:pPr>
      <w:r>
        <w:t xml:space="preserve">Transformer models for commodities: FEDformer, iTransformer applications</w:t>
      </w:r>
    </w:p>
    <w:p>
      <w:pPr>
        <w:pStyle w:val="ListParagraph"/>
        <w:numPr>
          <w:ilvl w:val="0"/>
          <w:numId w:val="2"/>
        </w:numPr>
        <w:spacing w:after="80" w:line="276"/>
      </w:pPr>
      <w:r>
        <w:t xml:space="preserve">Decomposition methods: VMD-EEMD-LSTM hybrid approaches</w:t>
      </w:r>
    </w:p>
    <w:p>
      <w:pPr>
        <w:pStyle w:val="ListParagraph"/>
        <w:numPr>
          <w:ilvl w:val="0"/>
          <w:numId w:val="2"/>
        </w:numPr>
        <w:spacing w:after="80" w:line="276"/>
      </w:pPr>
      <w:r>
        <w:t xml:space="preserve">Forecast combination: Adaptive weighting, ML-based combination</w:t>
      </w:r>
    </w:p>
    <w:p>
      <w:pPr>
        <w:pStyle w:val="Heading2"/>
      </w:pPr>
      <w:r>
        <w:t xml:space="preserve">11.4 Biofuel Policy Analysis</w:t>
      </w:r>
    </w:p>
    <w:p>
      <w:pPr>
        <w:pStyle w:val="ListParagraph"/>
        <w:numPr>
          <w:ilvl w:val="0"/>
          <w:numId w:val="2"/>
        </w:numPr>
        <w:spacing w:after="80" w:line="276"/>
      </w:pPr>
      <w:r>
        <w:t xml:space="preserve">Tyler et al. (2022). Environmental outcomes of the US RFS. PNAS 119(9).</w:t>
      </w:r>
    </w:p>
    <w:p>
      <w:pPr>
        <w:pStyle w:val="ListParagraph"/>
        <w:numPr>
          <w:ilvl w:val="0"/>
          <w:numId w:val="2"/>
        </w:numPr>
        <w:spacing w:after="80" w:line="276"/>
      </w:pPr>
      <w:r>
        <w:t xml:space="preserve">Smith et al. (2024). Major impacts of the US RFS on corn and soybean cultivation. JAAEA.</w:t>
      </w:r>
    </w:p>
    <w:p>
      <w:pPr>
        <w:pStyle w:val="ListParagraph"/>
        <w:numPr>
          <w:ilvl w:val="0"/>
          <w:numId w:val="2"/>
        </w:numPr>
        <w:spacing w:after="80" w:line="276"/>
      </w:pPr>
      <w:r>
        <w:t xml:space="preserve">EPA RFS Documentation: https://www.epa.gov/renewable-fuel-standard-program</w:t>
      </w:r>
    </w:p>
    <w:p>
      <w:pPr>
        <w:spacing w:before="400"/>
        <w:jc w:val="center"/>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Agricultural Econometric Models Reference Guide — RLC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4a6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 w:type="paragraph" w:styleId="Heading4">
    <w:name w:val="Heading 4"/>
    <w:basedOn w:val="Normal"/>
    <w:next w:val="Normal"/>
    <w:qFormat/>
    <w:pPr>
      <w:spacing w:before="160" w:after="80"/>
      <w:outlineLvl w:val="3"/>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2026-01-30T08:10:36.688Z</dcterms:created>
  <dcterms:modified xsi:type="dcterms:W3CDTF">2026-01-30T08:10:36.689Z</dcterms:modified>
</cp:coreProperties>
</file>

<file path=docProps/custom.xml><?xml version="1.0" encoding="utf-8"?>
<Properties xmlns="http://schemas.openxmlformats.org/officeDocument/2006/custom-properties" xmlns:vt="http://schemas.openxmlformats.org/officeDocument/2006/docPropsVTypes"/>
</file>