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BFFF7" w14:textId="77777777" w:rsidR="00E36FCD" w:rsidRDefault="00000000">
      <w:pPr>
        <w:pStyle w:val="Heading1"/>
      </w:pPr>
      <w:bookmarkStart w:id="0" w:name="header"/>
      <w:bookmarkStart w:id="1" w:name="X4a013e5b222f5da92f15fafc86da6ff1b22fc0b"/>
      <w:bookmarkStart w:id="2" w:name="content"/>
      <w:bookmarkEnd w:id="0"/>
      <w:r>
        <w:t>AI-Driven Commodity Intelligence at RLC: Three Conference-Ready 30-Minute Talks</w:t>
      </w:r>
    </w:p>
    <w:p w14:paraId="0D476393" w14:textId="77777777" w:rsidR="00E36FCD" w:rsidRDefault="00000000">
      <w:pPr>
        <w:pStyle w:val="Heading2"/>
      </w:pPr>
      <w:bookmarkStart w:id="3" w:name="executive-summary"/>
      <w:r>
        <w:t>Executive summary</w:t>
      </w:r>
    </w:p>
    <w:p w14:paraId="06C3C4C4" w14:textId="77777777" w:rsidR="00E36FCD" w:rsidRDefault="00000000">
      <w:pPr>
        <w:pStyle w:val="FirstParagraph"/>
      </w:pPr>
      <w:r>
        <w:t xml:space="preserve">This report converts your real build and real commercial work into three conference-ready 30‑minute talks that commodity professionals will respect because they are </w:t>
      </w:r>
      <w:r>
        <w:rPr>
          <w:b/>
          <w:bCs/>
        </w:rPr>
        <w:t>architectural, evidence‑first, and demo-driven</w:t>
      </w:r>
      <w:r>
        <w:t>—not “AI hype.” The speaker profile is Tore Alden</w:t>
      </w:r>
      <w:hyperlink r:id="rId5">
        <w:r>
          <w:rPr>
            <w:rStyle w:val="Hyperlink"/>
          </w:rPr>
          <w:t>[1]</w:t>
        </w:r>
      </w:hyperlink>
      <w:r>
        <w:t xml:space="preserve"> (agricultural economist; former Head of Agricultural Analytics at Round Lakes Companies</w:t>
      </w:r>
      <w:hyperlink r:id="rId6">
        <w:r>
          <w:rPr>
            <w:rStyle w:val="Hyperlink"/>
          </w:rPr>
          <w:t>[2]</w:t>
        </w:r>
      </w:hyperlink>
      <w:r>
        <w:t xml:space="preserve">), now building an LLM-driven commodity intelligence platform inside RLC. The platform facts below are </w:t>
      </w:r>
      <w:r>
        <w:rPr>
          <w:b/>
          <w:bCs/>
        </w:rPr>
        <w:t>taken from the RLC internal “Conference Presentation Kit” (Feb 2026, Iteration 2) you provided</w:t>
      </w:r>
      <w:r>
        <w:t xml:space="preserve">; any detail not explicitly provided is marked </w:t>
      </w:r>
      <w:r>
        <w:rPr>
          <w:b/>
          <w:bCs/>
        </w:rPr>
        <w:t>unspecified</w:t>
      </w:r>
      <w:r>
        <w:t xml:space="preserve"> (rather than invented).</w:t>
      </w:r>
    </w:p>
    <w:p w14:paraId="1F6035D3" w14:textId="77777777" w:rsidR="00E36FCD" w:rsidRDefault="00000000">
      <w:pPr>
        <w:pStyle w:val="BodyText"/>
      </w:pPr>
      <w:r>
        <w:t>The three target rooms differ materially:</w:t>
      </w:r>
    </w:p>
    <w:p w14:paraId="48FD8FFB" w14:textId="77777777" w:rsidR="00E36FCD" w:rsidRDefault="00000000">
      <w:pPr>
        <w:pStyle w:val="Compact"/>
        <w:numPr>
          <w:ilvl w:val="0"/>
          <w:numId w:val="2"/>
        </w:numPr>
      </w:pPr>
      <w:r>
        <w:rPr>
          <w:b/>
          <w:bCs/>
        </w:rPr>
        <w:t>AFOA (feedstocks/agribusiness)</w:t>
      </w:r>
      <w:r>
        <w:t>: operationally unforgiving markets where spec discipline, logistics, and audit trails beat clever narratives; AFOA’s site positions its annual meeting as the “home” for the fats/oils industry and lists the 2026 Annual Meeting on Oct 7–8 in Kansas City</w:t>
      </w:r>
      <w:hyperlink r:id="rId7">
        <w:r>
          <w:rPr>
            <w:rStyle w:val="Hyperlink"/>
          </w:rPr>
          <w:t>[3]</w:t>
        </w:r>
      </w:hyperlink>
      <w:r>
        <w:t xml:space="preserve">, and the “Intro to Fats, Greases, &amp; Feedstocks” course on Oct 6, 2026. </w:t>
      </w:r>
      <w:hyperlink r:id="rId8">
        <w:r>
          <w:rPr>
            <w:rStyle w:val="Hyperlink"/>
          </w:rPr>
          <w:t>[4]</w:t>
        </w:r>
      </w:hyperlink>
    </w:p>
    <w:p w14:paraId="42897018" w14:textId="77777777" w:rsidR="00E36FCD" w:rsidRDefault="00000000">
      <w:pPr>
        <w:pStyle w:val="Compact"/>
        <w:numPr>
          <w:ilvl w:val="0"/>
          <w:numId w:val="2"/>
        </w:numPr>
      </w:pPr>
      <w:r>
        <w:rPr>
          <w:b/>
          <w:bCs/>
        </w:rPr>
        <w:t>Fastmarkets Biofuels &amp; Feedstocks Americas (pricing/market intelligence)</w:t>
      </w:r>
      <w:r>
        <w:t>: explicitly commercial, credit/policy-linked, and margin-driven; Fastmarkets’ official page states May 4–6, 2026 in Chicago</w:t>
      </w:r>
      <w:hyperlink r:id="rId9">
        <w:r>
          <w:rPr>
            <w:rStyle w:val="Hyperlink"/>
          </w:rPr>
          <w:t>[5]</w:t>
        </w:r>
      </w:hyperlink>
      <w:r>
        <w:t xml:space="preserve"> and describes the agenda focus as pricing dynamics, policy impacts, and feedstock availability shaping margins and trade flows; it also explicitly identifies Fastmarkets as a PRA—making your “internal intelligence OS” positioning essential. </w:t>
      </w:r>
      <w:hyperlink r:id="rId10">
        <w:r>
          <w:rPr>
            <w:rStyle w:val="Hyperlink"/>
          </w:rPr>
          <w:t>[6]</w:t>
        </w:r>
      </w:hyperlink>
    </w:p>
    <w:p w14:paraId="2D9E0F61" w14:textId="77777777" w:rsidR="00E36FCD" w:rsidRDefault="00000000">
      <w:pPr>
        <w:pStyle w:val="Compact"/>
        <w:numPr>
          <w:ilvl w:val="0"/>
          <w:numId w:val="2"/>
        </w:numPr>
      </w:pPr>
      <w:r>
        <w:rPr>
          <w:b/>
          <w:bCs/>
        </w:rPr>
        <w:t>Geneva grains (trade/macro)</w:t>
      </w:r>
      <w:r>
        <w:t xml:space="preserve">: senior trade-flow and logistics audience; Fastmarkets’ “Global Grain Geneva 2025” positioning emphasizes trade flows, logistics, risk management, and seniority (including a stated 41% C‑suite share). Treat 2026 dates as </w:t>
      </w:r>
      <w:r>
        <w:rPr>
          <w:b/>
          <w:bCs/>
        </w:rPr>
        <w:t>unspecified</w:t>
      </w:r>
      <w:r>
        <w:t xml:space="preserve"> unless and until Fastmarkets posts them, but the Geneva deck is built to match the Geneva grain-trade archetype. </w:t>
      </w:r>
      <w:hyperlink r:id="rId11">
        <w:r>
          <w:rPr>
            <w:rStyle w:val="Hyperlink"/>
          </w:rPr>
          <w:t>[7]</w:t>
        </w:r>
      </w:hyperlink>
    </w:p>
    <w:p w14:paraId="23C0BABB" w14:textId="77777777" w:rsidR="00E36FCD" w:rsidRDefault="00000000">
      <w:pPr>
        <w:pStyle w:val="FirstParagraph"/>
      </w:pPr>
      <w:r>
        <w:t xml:space="preserve">Across all three decks, the differentiator is consistent: </w:t>
      </w:r>
      <w:r>
        <w:rPr>
          <w:b/>
          <w:bCs/>
        </w:rPr>
        <w:t>LLMs are throughput engines for text‑to‑structure and synthesis, but only become decision‑grade when constrained by provenance, retrieval, deterministic validation, logs, and review gates.</w:t>
      </w:r>
      <w:r>
        <w:t xml:space="preserve"> Risks—especially hallucination—remain real and must be designed around. </w:t>
      </w:r>
      <w:hyperlink r:id="rId12">
        <w:r>
          <w:rPr>
            <w:rStyle w:val="Hyperlink"/>
          </w:rPr>
          <w:t>[8]</w:t>
        </w:r>
      </w:hyperlink>
    </w:p>
    <w:p w14:paraId="33C85E24" w14:textId="77777777" w:rsidR="00E36FCD" w:rsidRDefault="00000000">
      <w:pPr>
        <w:pStyle w:val="Heading2"/>
      </w:pPr>
      <w:bookmarkStart w:id="4" w:name="X16b525a564c725501a58312a3c7a10bf901a3fc"/>
      <w:bookmarkEnd w:id="3"/>
      <w:r>
        <w:t>Audience framing and defensible data anchors</w:t>
      </w:r>
    </w:p>
    <w:p w14:paraId="28D06C7D" w14:textId="77777777" w:rsidR="00E36FCD" w:rsidRDefault="00000000">
      <w:pPr>
        <w:pStyle w:val="FirstParagraph"/>
      </w:pPr>
      <w:r>
        <w:t xml:space="preserve">Your talks land best when you anchor every “AI claim” to </w:t>
      </w:r>
      <w:r>
        <w:rPr>
          <w:b/>
          <w:bCs/>
        </w:rPr>
        <w:t>authoritative, inspectable inputs</w:t>
      </w:r>
      <w:r>
        <w:t>—the same sources desks already use:</w:t>
      </w:r>
    </w:p>
    <w:p w14:paraId="5EDEAFFB" w14:textId="77777777" w:rsidR="00E36FCD" w:rsidRDefault="00000000">
      <w:pPr>
        <w:pStyle w:val="Compact"/>
        <w:numPr>
          <w:ilvl w:val="0"/>
          <w:numId w:val="3"/>
        </w:numPr>
      </w:pPr>
      <w:r>
        <w:lastRenderedPageBreak/>
        <w:t>U.S. Department of Agriculture</w:t>
      </w:r>
      <w:hyperlink r:id="rId13">
        <w:r>
          <w:rPr>
            <w:rStyle w:val="Hyperlink"/>
          </w:rPr>
          <w:t>[9]</w:t>
        </w:r>
      </w:hyperlink>
      <w:r>
        <w:t xml:space="preserve"> reports that the </w:t>
      </w:r>
      <w:r>
        <w:rPr>
          <w:b/>
          <w:bCs/>
        </w:rPr>
        <w:t>WASDE</w:t>
      </w:r>
      <w:r>
        <w:t xml:space="preserve"> is prepared by the World Agricultural Outlook Board</w:t>
      </w:r>
      <w:hyperlink r:id="rId14">
        <w:r>
          <w:rPr>
            <w:rStyle w:val="Hyperlink"/>
          </w:rPr>
          <w:t>[10]</w:t>
        </w:r>
      </w:hyperlink>
      <w:r>
        <w:t xml:space="preserve">, released monthly, and provides forecasts for U.S. and world supply/use across major crops; USDA also describes WASDE as a benchmark for agricultural forecasts. </w:t>
      </w:r>
      <w:hyperlink r:id="rId15">
        <w:r>
          <w:rPr>
            <w:rStyle w:val="Hyperlink"/>
          </w:rPr>
          <w:t>[11]</w:t>
        </w:r>
      </w:hyperlink>
    </w:p>
    <w:p w14:paraId="20120F58" w14:textId="77777777" w:rsidR="00E36FCD" w:rsidRDefault="00000000">
      <w:pPr>
        <w:pStyle w:val="Compact"/>
        <w:numPr>
          <w:ilvl w:val="0"/>
          <w:numId w:val="3"/>
        </w:numPr>
      </w:pPr>
      <w:r>
        <w:t>The U.S. Environmental Protection Agency</w:t>
      </w:r>
      <w:hyperlink r:id="rId16">
        <w:r>
          <w:rPr>
            <w:rStyle w:val="Hyperlink"/>
          </w:rPr>
          <w:t>[12]</w:t>
        </w:r>
      </w:hyperlink>
      <w:r>
        <w:t xml:space="preserve"> defines </w:t>
      </w:r>
      <w:r>
        <w:rPr>
          <w:b/>
          <w:bCs/>
        </w:rPr>
        <w:t>RINs as compliance credits and the “currency” of the RFS program</w:t>
      </w:r>
      <w:r>
        <w:t xml:space="preserve"> and publishes public RFS datasets via its “Public Data for the Renewable Fuel Standard” tools (including aggregated RIN transactions and volume-weighted average RIN prices). </w:t>
      </w:r>
      <w:hyperlink r:id="rId17">
        <w:r>
          <w:rPr>
            <w:rStyle w:val="Hyperlink"/>
          </w:rPr>
          <w:t>[13]</w:t>
        </w:r>
      </w:hyperlink>
    </w:p>
    <w:p w14:paraId="6FE370AB" w14:textId="77777777" w:rsidR="00E36FCD" w:rsidRDefault="00000000">
      <w:pPr>
        <w:pStyle w:val="Compact"/>
        <w:numPr>
          <w:ilvl w:val="0"/>
          <w:numId w:val="3"/>
        </w:numPr>
      </w:pPr>
      <w:r>
        <w:t>CME Group</w:t>
      </w:r>
      <w:hyperlink r:id="rId18">
        <w:r>
          <w:rPr>
            <w:rStyle w:val="Hyperlink"/>
          </w:rPr>
          <w:t>[14]</w:t>
        </w:r>
      </w:hyperlink>
      <w:r>
        <w:t xml:space="preserve"> characterizes grain and oilseed futures/options as global benchmark products serving price risk management and price discovery—useful as an anchor for basis/spread logic and for “signal versus narrative” discipline. </w:t>
      </w:r>
      <w:hyperlink r:id="rId19">
        <w:r>
          <w:rPr>
            <w:rStyle w:val="Hyperlink"/>
          </w:rPr>
          <w:t>[15]</w:t>
        </w:r>
      </w:hyperlink>
    </w:p>
    <w:p w14:paraId="036637D3" w14:textId="77777777" w:rsidR="00E36FCD" w:rsidRDefault="00000000">
      <w:pPr>
        <w:pStyle w:val="Compact"/>
        <w:numPr>
          <w:ilvl w:val="0"/>
          <w:numId w:val="3"/>
        </w:numPr>
      </w:pPr>
      <w:r>
        <w:t>Food and Agriculture Organization of the United Nations</w:t>
      </w:r>
      <w:hyperlink r:id="rId20">
        <w:r>
          <w:rPr>
            <w:rStyle w:val="Hyperlink"/>
          </w:rPr>
          <w:t>[16]</w:t>
        </w:r>
      </w:hyperlink>
      <w:r>
        <w:t xml:space="preserve"> describes AMIS as an inter‑agency platform to enhance market transparency and policy response for food security; AMIS also documents its crop focus (wheat, maize, rice, soybeans) and transparency mission. </w:t>
      </w:r>
      <w:hyperlink r:id="rId21">
        <w:r>
          <w:rPr>
            <w:rStyle w:val="Hyperlink"/>
          </w:rPr>
          <w:t>[17]</w:t>
        </w:r>
      </w:hyperlink>
    </w:p>
    <w:p w14:paraId="03785C1E" w14:textId="77777777" w:rsidR="00E36FCD" w:rsidRDefault="00000000">
      <w:pPr>
        <w:pStyle w:val="Compact"/>
        <w:numPr>
          <w:ilvl w:val="0"/>
          <w:numId w:val="3"/>
        </w:numPr>
      </w:pPr>
      <w:r>
        <w:t>National Oceanic and Atmospheric Administration</w:t>
      </w:r>
      <w:hyperlink r:id="rId22">
        <w:r>
          <w:rPr>
            <w:rStyle w:val="Hyperlink"/>
          </w:rPr>
          <w:t>[18]</w:t>
        </w:r>
      </w:hyperlink>
      <w:r>
        <w:t xml:space="preserve"> (via NCEI) documents Climate Data Online (CDO) API v2: token requirement, rate limits, endpoints, and JSON responses—ideal for reproducible weather feature ingestion. </w:t>
      </w:r>
      <w:hyperlink r:id="rId23">
        <w:r>
          <w:rPr>
            <w:rStyle w:val="Hyperlink"/>
          </w:rPr>
          <w:t>[19]</w:t>
        </w:r>
      </w:hyperlink>
    </w:p>
    <w:p w14:paraId="3B72A2CC" w14:textId="77777777" w:rsidR="00E36FCD" w:rsidRDefault="00000000">
      <w:pPr>
        <w:pStyle w:val="Compact"/>
        <w:numPr>
          <w:ilvl w:val="0"/>
          <w:numId w:val="3"/>
        </w:numPr>
      </w:pPr>
      <w:r>
        <w:t>U.S. Energy Information Administration</w:t>
      </w:r>
      <w:hyperlink r:id="rId24">
        <w:r>
          <w:rPr>
            <w:rStyle w:val="Hyperlink"/>
          </w:rPr>
          <w:t>[20]</w:t>
        </w:r>
      </w:hyperlink>
      <w:r>
        <w:t xml:space="preserve"> documents its API v2 (dataset hierarchy, metadata discovery, RESTful design, and patch notes)—useful for defensible ingestion of energy/biofuels-adjacent time series. </w:t>
      </w:r>
      <w:hyperlink r:id="rId25">
        <w:r>
          <w:rPr>
            <w:rStyle w:val="Hyperlink"/>
          </w:rPr>
          <w:t>[21]</w:t>
        </w:r>
      </w:hyperlink>
    </w:p>
    <w:p w14:paraId="37DC32EB" w14:textId="77777777" w:rsidR="00E36FCD" w:rsidRDefault="00000000">
      <w:pPr>
        <w:pStyle w:val="Compact"/>
        <w:numPr>
          <w:ilvl w:val="0"/>
          <w:numId w:val="3"/>
        </w:numPr>
      </w:pPr>
      <w:r>
        <w:t>U.S. Census Bureau</w:t>
      </w:r>
      <w:hyperlink r:id="rId26">
        <w:r>
          <w:rPr>
            <w:rStyle w:val="Hyperlink"/>
          </w:rPr>
          <w:t>[22]</w:t>
        </w:r>
      </w:hyperlink>
      <w:r>
        <w:t xml:space="preserve"> provides International Trade time series endpoints under the Census API (exports/imports endpoints across classifications), which suits Geneva trade-flow workflows and “basis anomaly” confirmations. </w:t>
      </w:r>
      <w:hyperlink r:id="rId27">
        <w:r>
          <w:rPr>
            <w:rStyle w:val="Hyperlink"/>
          </w:rPr>
          <w:t>[23]</w:t>
        </w:r>
      </w:hyperlink>
    </w:p>
    <w:p w14:paraId="159A2DCD" w14:textId="77777777" w:rsidR="00E36FCD" w:rsidRDefault="00000000">
      <w:pPr>
        <w:pStyle w:val="FirstParagraph"/>
      </w:pPr>
      <w:r>
        <w:t xml:space="preserve">These are the sources that let you say, credibly: </w:t>
      </w:r>
      <w:r>
        <w:rPr>
          <w:i/>
          <w:iCs/>
        </w:rPr>
        <w:t>“The model didn’t make this up—here is the extract, here is the timestamp, here is the rerunnable run manifest.”</w:t>
      </w:r>
      <w:r>
        <w:t xml:space="preserve"> That posture aligns with the governance expectations reflected in National Institute of Standards and Technology</w:t>
      </w:r>
      <w:hyperlink r:id="rId28">
        <w:r>
          <w:rPr>
            <w:rStyle w:val="Hyperlink"/>
          </w:rPr>
          <w:t>[24]</w:t>
        </w:r>
      </w:hyperlink>
      <w:r>
        <w:t xml:space="preserve">’s AI RMF and GenAI profile emphasis on documentation, risk management, and trustworthy deployment. </w:t>
      </w:r>
      <w:hyperlink r:id="rId29">
        <w:r>
          <w:rPr>
            <w:rStyle w:val="Hyperlink"/>
          </w:rPr>
          <w:t>[25]</w:t>
        </w:r>
      </w:hyperlink>
    </w:p>
    <w:p w14:paraId="56DBCF70" w14:textId="77777777" w:rsidR="00E36FCD" w:rsidRDefault="00000000">
      <w:pPr>
        <w:pStyle w:val="Heading2"/>
      </w:pPr>
      <w:bookmarkStart w:id="5" w:name="three-tailored-30-minute-decks"/>
      <w:bookmarkEnd w:id="4"/>
      <w:r>
        <w:t>Three tailored 30-minute decks</w:t>
      </w:r>
    </w:p>
    <w:p w14:paraId="49B1DDD8" w14:textId="77777777" w:rsidR="00E36FCD" w:rsidRDefault="00000000">
      <w:pPr>
        <w:pStyle w:val="FirstParagraph"/>
      </w:pPr>
      <w:r>
        <w:t>All three decks are “slide-by-slide build specs”: each slide has 1–3 bullets, speaker notes (~30–60 words), plus a specific visual suggestion. Slides are designed for 25 minutes talk + 5 minutes Q&amp;A.</w:t>
      </w:r>
    </w:p>
    <w:p w14:paraId="47987F5C" w14:textId="77777777" w:rsidR="00E36FCD" w:rsidRDefault="00000000">
      <w:pPr>
        <w:pStyle w:val="Heading3"/>
      </w:pPr>
      <w:bookmarkStart w:id="6" w:name="afoa-deck-outline"/>
      <w:r>
        <w:t>AFOA deck outline</w:t>
      </w:r>
    </w:p>
    <w:p w14:paraId="405AC8BC" w14:textId="77777777" w:rsidR="00E36FCD" w:rsidRDefault="00000000">
      <w:pPr>
        <w:pStyle w:val="FirstParagraph"/>
      </w:pPr>
      <w:r>
        <w:rPr>
          <w:b/>
          <w:bCs/>
        </w:rPr>
        <w:t>Working title:</w:t>
      </w:r>
      <w:r>
        <w:t xml:space="preserve"> </w:t>
      </w:r>
      <w:r>
        <w:rPr>
          <w:i/>
          <w:iCs/>
        </w:rPr>
        <w:t>Feedstocks-Grade GenAI: Specs, Logistics, and Audit Trails for Decision-Grade Intelligence</w:t>
      </w:r>
    </w:p>
    <w:p w14:paraId="75D3A5BE" w14:textId="77777777" w:rsidR="00E36FCD" w:rsidRDefault="00000000">
      <w:pPr>
        <w:pStyle w:val="BodyText"/>
      </w:pPr>
      <w:r>
        <w:rPr>
          <w:b/>
          <w:bCs/>
        </w:rPr>
        <w:t>Slide 1 — Why “AI for feedstocks” fails in the real world</w:t>
      </w:r>
      <w:r>
        <w:t xml:space="preserve"> - Feedstocks punish unit/spec mistakes</w:t>
      </w:r>
      <w:r>
        <w:br/>
      </w:r>
      <w:r>
        <w:lastRenderedPageBreak/>
        <w:t>- Speed without auditability is risk</w:t>
      </w:r>
      <w:r>
        <w:br/>
      </w:r>
      <w:r>
        <w:rPr>
          <w:b/>
          <w:bCs/>
        </w:rPr>
        <w:t>Speaker notes:</w:t>
      </w:r>
      <w:r>
        <w:br/>
        <w:t xml:space="preserve">Open by aligning with the room: fats/oils/feedstocks are physical and spec-driven. The danger isn’t being slow—it’s being confidently wrong. Your thesis: treat AI as workflow infrastructure where provenance and validation are the product. </w:t>
      </w:r>
      <w:r>
        <w:rPr>
          <w:b/>
          <w:bCs/>
        </w:rPr>
        <w:t>Visual:</w:t>
      </w:r>
      <w:r>
        <w:t xml:space="preserve"> two-column contrast: “Fast but unauditable” vs “Fast and replayable.” </w:t>
      </w:r>
      <w:hyperlink r:id="rId30">
        <w:r>
          <w:rPr>
            <w:rStyle w:val="Hyperlink"/>
          </w:rPr>
          <w:t>[26]</w:t>
        </w:r>
      </w:hyperlink>
    </w:p>
    <w:p w14:paraId="538A54DF" w14:textId="77777777" w:rsidR="00E36FCD" w:rsidRDefault="00000000">
      <w:pPr>
        <w:pStyle w:val="BodyText"/>
      </w:pPr>
      <w:r>
        <w:rPr>
          <w:b/>
          <w:bCs/>
        </w:rPr>
        <w:t>Slide 2 — AFOA’s market reality</w:t>
      </w:r>
      <w:r>
        <w:t xml:space="preserve"> - Wide scope: fats, oils, proteins, biofuels</w:t>
      </w:r>
      <w:r>
        <w:br/>
        <w:t>- Value is often determined by handling + quality</w:t>
      </w:r>
      <w:r>
        <w:br/>
      </w:r>
      <w:r>
        <w:rPr>
          <w:b/>
          <w:bCs/>
        </w:rPr>
        <w:t>Speaker notes:</w:t>
      </w:r>
      <w:r>
        <w:br/>
        <w:t xml:space="preserve">Reference AFOA’s own framing of content breadth and the annual meeting’s role as the industry “home.” Tie this to the data problem: inputs are heterogeneous (spec docs, logistics notes, policy memos), so the system must ingest and normalize reliably. </w:t>
      </w:r>
      <w:r>
        <w:rPr>
          <w:b/>
          <w:bCs/>
        </w:rPr>
        <w:t>Visual:</w:t>
      </w:r>
      <w:r>
        <w:t xml:space="preserve"> collage: spec sheet + freight note + market update. </w:t>
      </w:r>
      <w:hyperlink r:id="rId31">
        <w:r>
          <w:rPr>
            <w:rStyle w:val="Hyperlink"/>
          </w:rPr>
          <w:t>[4]</w:t>
        </w:r>
      </w:hyperlink>
    </w:p>
    <w:p w14:paraId="7CE6C9BF" w14:textId="77777777" w:rsidR="00E36FCD" w:rsidRDefault="00000000">
      <w:pPr>
        <w:pStyle w:val="BodyText"/>
      </w:pPr>
      <w:r>
        <w:rPr>
          <w:b/>
          <w:bCs/>
        </w:rPr>
        <w:t>Slide 3 — Who I am and what RLC built</w:t>
      </w:r>
      <w:r>
        <w:t xml:space="preserve"> - Agricultural economist; former Head of Ag Analytics at RLC</w:t>
      </w:r>
      <w:r>
        <w:br/>
        <w:t>- Building an LLM-driven commodity intelligence platform under RLC</w:t>
      </w:r>
      <w:r>
        <w:br/>
      </w:r>
      <w:r>
        <w:rPr>
          <w:b/>
          <w:bCs/>
        </w:rPr>
        <w:t>Speaker notes:</w:t>
      </w:r>
      <w:r>
        <w:br/>
        <w:t xml:space="preserve">State credibility without resume sprawl: you built and shipped analytical products people pay for, then built the platform because you knew exactly where bottlenecks were. Note: the platform specifics (agents, knowledge graph, demos) are real and will be shown. </w:t>
      </w:r>
      <w:r>
        <w:rPr>
          <w:b/>
          <w:bCs/>
        </w:rPr>
        <w:t>Visual:</w:t>
      </w:r>
      <w:r>
        <w:t xml:space="preserve"> “RLC analyst OS” logo slide + 3 proof points (due diligence, landscape study, SAF assessment).</w:t>
      </w:r>
    </w:p>
    <w:p w14:paraId="3CD6A351" w14:textId="77777777" w:rsidR="00E36FCD" w:rsidRDefault="00000000">
      <w:pPr>
        <w:pStyle w:val="BodyText"/>
      </w:pPr>
      <w:r>
        <w:rPr>
          <w:b/>
          <w:bCs/>
        </w:rPr>
        <w:t>Slide 4 — The honest definition of LLMs</w:t>
      </w:r>
      <w:r>
        <w:t xml:space="preserve"> - Great at text → structure</w:t>
      </w:r>
      <w:r>
        <w:br/>
        <w:t>- Not a database; can hallucinate</w:t>
      </w:r>
      <w:r>
        <w:br/>
      </w:r>
      <w:r>
        <w:rPr>
          <w:b/>
          <w:bCs/>
        </w:rPr>
        <w:t>Speaker notes:</w:t>
      </w:r>
      <w:r>
        <w:br/>
        <w:t xml:space="preserve">Be explicit: LLM output is draft/structure until grounded and validated. In feedstocks, the model must never be rewarded for guessing. You’ll show how retrieval + deterministic checks turn an LLM into a controlled component. </w:t>
      </w:r>
      <w:r>
        <w:rPr>
          <w:b/>
          <w:bCs/>
        </w:rPr>
        <w:t>Visual:</w:t>
      </w:r>
      <w:r>
        <w:t xml:space="preserve"> triangle: LLM + retrieval + validators, with “abstain” branch. </w:t>
      </w:r>
      <w:hyperlink r:id="rId32">
        <w:r>
          <w:rPr>
            <w:rStyle w:val="Hyperlink"/>
          </w:rPr>
          <w:t>[27]</w:t>
        </w:r>
      </w:hyperlink>
    </w:p>
    <w:p w14:paraId="114428E1" w14:textId="77777777" w:rsidR="00E36FCD" w:rsidRDefault="00000000">
      <w:pPr>
        <w:pStyle w:val="BodyText"/>
      </w:pPr>
      <w:r>
        <w:rPr>
          <w:b/>
          <w:bCs/>
        </w:rPr>
        <w:t>Slide 5 — Non-negotiables for feedstocks-grade AI</w:t>
      </w:r>
      <w:r>
        <w:t xml:space="preserve"> - Provenance attached to every number</w:t>
      </w:r>
      <w:r>
        <w:br/>
        <w:t>- Validation gates before narrative</w:t>
      </w:r>
      <w:r>
        <w:br/>
        <w:t>- Reproducible runs + review thresholds</w:t>
      </w:r>
      <w:r>
        <w:br/>
      </w:r>
      <w:r>
        <w:rPr>
          <w:b/>
          <w:bCs/>
        </w:rPr>
        <w:t>Speaker notes:</w:t>
      </w:r>
      <w:r>
        <w:br/>
        <w:t xml:space="preserve">Define “decision-grade”: not eloquence—traceability. Emphasize “stop conditions”: if sources conflict or validators fail, the system escalates rather than improvises. </w:t>
      </w:r>
      <w:r>
        <w:rPr>
          <w:b/>
          <w:bCs/>
        </w:rPr>
        <w:t>Visual:</w:t>
      </w:r>
      <w:r>
        <w:t xml:space="preserve"> audit log mock (run_id, sources, timestamps, pass/fail validations). </w:t>
      </w:r>
      <w:hyperlink r:id="rId33">
        <w:r>
          <w:rPr>
            <w:rStyle w:val="Hyperlink"/>
          </w:rPr>
          <w:t>[28]</w:t>
        </w:r>
      </w:hyperlink>
    </w:p>
    <w:p w14:paraId="7EE0FA07" w14:textId="77777777" w:rsidR="00E36FCD" w:rsidRDefault="00000000">
      <w:pPr>
        <w:pStyle w:val="BodyText"/>
      </w:pPr>
      <w:r>
        <w:rPr>
          <w:b/>
          <w:bCs/>
        </w:rPr>
        <w:t>Slide 6 — Medallion architecture for physical markets</w:t>
      </w:r>
      <w:r>
        <w:t xml:space="preserve"> - Bronze: immutable snapshots</w:t>
      </w:r>
      <w:r>
        <w:br/>
        <w:t>- Silver: validated canonical objects</w:t>
      </w:r>
      <w:r>
        <w:br/>
        <w:t>- Gold: scenarios, dashboards, briefs</w:t>
      </w:r>
      <w:r>
        <w:br/>
      </w:r>
      <w:r>
        <w:rPr>
          <w:b/>
          <w:bCs/>
        </w:rPr>
        <w:t>Speaker notes:</w:t>
      </w:r>
      <w:r>
        <w:br/>
      </w:r>
      <w:r>
        <w:lastRenderedPageBreak/>
        <w:t xml:space="preserve">Explain why medallion layers matter here: they prevent silent rewriting and preserve “what did we know when.” This is what makes it auditable and replayable for compliance and commercial review. </w:t>
      </w:r>
      <w:r>
        <w:rPr>
          <w:b/>
          <w:bCs/>
        </w:rPr>
        <w:t>Visual:</w:t>
      </w:r>
      <w:r>
        <w:t xml:space="preserve"> Bronze/Silver/Gold stack annotated with “spec doc → validated observation → scenario brief.” </w:t>
      </w:r>
      <w:hyperlink r:id="rId34">
        <w:r>
          <w:rPr>
            <w:rStyle w:val="Hyperlink"/>
          </w:rPr>
          <w:t>[29]</w:t>
        </w:r>
      </w:hyperlink>
    </w:p>
    <w:p w14:paraId="17E4EAE3" w14:textId="77777777" w:rsidR="00E36FCD" w:rsidRDefault="00000000">
      <w:pPr>
        <w:pStyle w:val="BodyText"/>
      </w:pPr>
      <w:r>
        <w:rPr>
          <w:b/>
          <w:bCs/>
        </w:rPr>
        <w:t>Slide 7 — Your real system: multi-agent, not monolithic</w:t>
      </w:r>
      <w:r>
        <w:t xml:space="preserve"> - 46 agents with role separation (provided)</w:t>
      </w:r>
      <w:r>
        <w:br/>
        <w:t>- Knowledge graph as institutional memory (200+ nodes provided)</w:t>
      </w:r>
      <w:r>
        <w:br/>
      </w:r>
      <w:r>
        <w:rPr>
          <w:b/>
          <w:bCs/>
        </w:rPr>
        <w:t>Speaker notes:</w:t>
      </w:r>
      <w:r>
        <w:br/>
        <w:t xml:space="preserve">State the real build facts as provided: 46 specialized agents; PostgreSQL-backed knowledge graph (200+ entities). Explain why decomposition matters: collectors don’t opine; validators don’t write; writers can only cite validated objects. </w:t>
      </w:r>
      <w:r>
        <w:rPr>
          <w:b/>
          <w:bCs/>
        </w:rPr>
        <w:t>Visual:</w:t>
      </w:r>
      <w:r>
        <w:t xml:space="preserve"> agent swimlane: collector → validator → analyst → writer → human gate.</w:t>
      </w:r>
    </w:p>
    <w:p w14:paraId="4413C22F" w14:textId="77777777" w:rsidR="00E36FCD" w:rsidRDefault="00000000">
      <w:pPr>
        <w:pStyle w:val="BodyText"/>
      </w:pPr>
      <w:r>
        <w:rPr>
          <w:b/>
          <w:bCs/>
        </w:rPr>
        <w:t>Slide 8 — Inputs: what you ingest that actually matters</w:t>
      </w:r>
      <w:r>
        <w:t xml:space="preserve"> - USDA Market News (public price reporting)</w:t>
      </w:r>
      <w:r>
        <w:br/>
        <w:t>- WASDE (monthly baseline for grains/oilseeds)</w:t>
      </w:r>
      <w:r>
        <w:br/>
      </w:r>
      <w:r>
        <w:rPr>
          <w:b/>
          <w:bCs/>
        </w:rPr>
        <w:t>Speaker notes:</w:t>
      </w:r>
      <w:r>
        <w:br/>
        <w:t xml:space="preserve">Show two public anchors that make your system defensible even to skeptics. The value is not “AI magic”—it’s reliable ingestion and structured comparison. </w:t>
      </w:r>
      <w:r>
        <w:rPr>
          <w:b/>
          <w:bCs/>
        </w:rPr>
        <w:t>Visual:</w:t>
      </w:r>
      <w:r>
        <w:t xml:space="preserve"> source tiles + timestamps: Market News + WASDE. </w:t>
      </w:r>
      <w:hyperlink r:id="rId35">
        <w:r>
          <w:rPr>
            <w:rStyle w:val="Hyperlink"/>
          </w:rPr>
          <w:t>[11]</w:t>
        </w:r>
      </w:hyperlink>
    </w:p>
    <w:p w14:paraId="450D55FF" w14:textId="77777777" w:rsidR="00E36FCD" w:rsidRDefault="00000000">
      <w:pPr>
        <w:pStyle w:val="BodyText"/>
      </w:pPr>
      <w:r>
        <w:rPr>
          <w:b/>
          <w:bCs/>
        </w:rPr>
        <w:t>Slide 9 — Demo: feedstock spec extraction and validation</w:t>
      </w:r>
      <w:r>
        <w:t xml:space="preserve"> - Extract FFA/moisture/impurities/spec clauses (details unspecified)</w:t>
      </w:r>
      <w:r>
        <w:br/>
        <w:t>- Validate against schema + allowable ranges</w:t>
      </w:r>
      <w:r>
        <w:br/>
      </w:r>
      <w:r>
        <w:rPr>
          <w:b/>
          <w:bCs/>
        </w:rPr>
        <w:t>Speaker notes:</w:t>
      </w:r>
      <w:r>
        <w:br/>
        <w:t xml:space="preserve">This replaces a generic policy demo. Explain the flow: snapshot spec doc to Bronze, parse into Silver “spec_observation,” run unit/range checks, then allow narrative only on validated fields. </w:t>
      </w:r>
      <w:r>
        <w:rPr>
          <w:b/>
          <w:bCs/>
        </w:rPr>
        <w:t>Visual:</w:t>
      </w:r>
      <w:r>
        <w:t xml:space="preserve"> spec table with red/yellow/green flags; a link icon for “source line.”</w:t>
      </w:r>
    </w:p>
    <w:p w14:paraId="2BA8F812" w14:textId="77777777" w:rsidR="00E36FCD" w:rsidRDefault="00000000">
      <w:pPr>
        <w:pStyle w:val="BodyText"/>
      </w:pPr>
      <w:r>
        <w:rPr>
          <w:b/>
          <w:bCs/>
        </w:rPr>
        <w:t>Slide 10 — Logistics signal: BioTrack AI rail monitoring</w:t>
      </w:r>
      <w:r>
        <w:t xml:space="preserve"> - Rail movements as early indicators (module name provided)</w:t>
      </w:r>
      <w:r>
        <w:br/>
        <w:t>- Output: anomaly alerts + evidence bundle</w:t>
      </w:r>
      <w:r>
        <w:br/>
      </w:r>
      <w:r>
        <w:rPr>
          <w:b/>
          <w:bCs/>
        </w:rPr>
        <w:t>Speaker notes:</w:t>
      </w:r>
      <w:r>
        <w:br/>
        <w:t xml:space="preserve">Position BioTrack AI rail monitoring as your AFOA-specific “moat”: an operational signal many AI talks ignore. Keep claims tight: the module exists; implementation details are unspecified/proprietary. </w:t>
      </w:r>
      <w:r>
        <w:rPr>
          <w:b/>
          <w:bCs/>
        </w:rPr>
        <w:t>Visual:</w:t>
      </w:r>
      <w:r>
        <w:t xml:space="preserve"> map/rail heat tile + “anomaly detected” alert panel (screenshot if available).</w:t>
      </w:r>
    </w:p>
    <w:p w14:paraId="0C419B9D" w14:textId="77777777" w:rsidR="00E36FCD" w:rsidRDefault="00000000">
      <w:pPr>
        <w:pStyle w:val="BodyText"/>
      </w:pPr>
      <w:r>
        <w:rPr>
          <w:b/>
          <w:bCs/>
        </w:rPr>
        <w:t>Slide 11 — Policy is present, but disciplined</w:t>
      </w:r>
      <w:r>
        <w:t xml:space="preserve"> - EPA RINs as compliance “currency”</w:t>
      </w:r>
      <w:r>
        <w:br/>
        <w:t>- Public RFS datasets are ingestible and versioned</w:t>
      </w:r>
      <w:r>
        <w:br/>
      </w:r>
      <w:r>
        <w:rPr>
          <w:b/>
          <w:bCs/>
        </w:rPr>
        <w:t>Speaker notes:</w:t>
      </w:r>
      <w:r>
        <w:br/>
        <w:t xml:space="preserve">Keep policy to the essentials for AFOA: RINs and compliance economics ripple into feedstock demand. Cite EPA’s definition and show your ingestion discipline: snapshot, extract, validate, scenario update. </w:t>
      </w:r>
      <w:r>
        <w:rPr>
          <w:b/>
          <w:bCs/>
        </w:rPr>
        <w:t>Visual:</w:t>
      </w:r>
      <w:r>
        <w:t xml:space="preserve"> policy → credits → demand sensitivity chain. </w:t>
      </w:r>
      <w:hyperlink r:id="rId36">
        <w:r>
          <w:rPr>
            <w:rStyle w:val="Hyperlink"/>
          </w:rPr>
          <w:t>[30]</w:t>
        </w:r>
      </w:hyperlink>
    </w:p>
    <w:p w14:paraId="4BFB9E0A" w14:textId="77777777" w:rsidR="00E36FCD" w:rsidRDefault="00000000">
      <w:pPr>
        <w:pStyle w:val="BodyText"/>
      </w:pPr>
      <w:r>
        <w:rPr>
          <w:b/>
          <w:bCs/>
        </w:rPr>
        <w:lastRenderedPageBreak/>
        <w:t>Slide 12 — Proof points: paid work, not prototypes</w:t>
      </w:r>
      <w:r>
        <w:t xml:space="preserve"> - OIC-style soybean crusher due diligence ($65K)</w:t>
      </w:r>
      <w:r>
        <w:br/>
        <w:t>- HOBO Renewable Fuels Landscape study (9 sections; 186+ graph nodes)</w:t>
      </w:r>
      <w:r>
        <w:br/>
      </w:r>
      <w:r>
        <w:rPr>
          <w:b/>
          <w:bCs/>
        </w:rPr>
        <w:t>Speaker notes:</w:t>
      </w:r>
      <w:r>
        <w:br/>
        <w:t xml:space="preserve">This slide is your “credibility anchor.” Use only what’s provided: the $65K PE due diligence, HOBO study scale, and that the system produces work clients pay for. </w:t>
      </w:r>
      <w:r>
        <w:rPr>
          <w:b/>
          <w:bCs/>
        </w:rPr>
        <w:t>Visual:</w:t>
      </w:r>
      <w:r>
        <w:t xml:space="preserve"> three “deliverable covers” (redacted) + metrics (time, nodes, sources).</w:t>
      </w:r>
    </w:p>
    <w:p w14:paraId="0EEAD4D4" w14:textId="77777777" w:rsidR="00E36FCD" w:rsidRDefault="00000000">
      <w:pPr>
        <w:pStyle w:val="BodyText"/>
      </w:pPr>
      <w:r>
        <w:rPr>
          <w:b/>
          <w:bCs/>
        </w:rPr>
        <w:t>Slide 13 — Limitations you say out loud</w:t>
      </w:r>
      <w:r>
        <w:t xml:space="preserve"> - Hallucinations and staleness are real</w:t>
      </w:r>
      <w:r>
        <w:br/>
        <w:t>- Controls matter more than prompts</w:t>
      </w:r>
      <w:r>
        <w:br/>
      </w:r>
      <w:r>
        <w:rPr>
          <w:b/>
          <w:bCs/>
        </w:rPr>
        <w:t>Speaker notes:</w:t>
      </w:r>
      <w:r>
        <w:br/>
        <w:t xml:space="preserve">Earn trust by admitting failure modes. State the operating rule: if evidence is thin or conflicting, the system abstains and escalates. </w:t>
      </w:r>
      <w:r>
        <w:rPr>
          <w:b/>
          <w:bCs/>
        </w:rPr>
        <w:t>Visual:</w:t>
      </w:r>
      <w:r>
        <w:t xml:space="preserve"> “failure mode → mitigation” table: hallucination → retrieval + validation; staleness → timestamp gates; conflict → side-by-side reconciliation. </w:t>
      </w:r>
      <w:hyperlink r:id="rId37">
        <w:r>
          <w:rPr>
            <w:rStyle w:val="Hyperlink"/>
          </w:rPr>
          <w:t>[27]</w:t>
        </w:r>
      </w:hyperlink>
    </w:p>
    <w:p w14:paraId="61F391C5" w14:textId="77777777" w:rsidR="00E36FCD" w:rsidRDefault="00000000">
      <w:pPr>
        <w:pStyle w:val="BodyText"/>
      </w:pPr>
      <w:r>
        <w:rPr>
          <w:b/>
          <w:bCs/>
        </w:rPr>
        <w:t>Slide 14 — Close: what changes for feedstock teams</w:t>
      </w:r>
      <w:r>
        <w:t xml:space="preserve"> - More coverage without losing discipline</w:t>
      </w:r>
      <w:r>
        <w:br/>
        <w:t>- Analysts spend time on scenarios, not scraping</w:t>
      </w:r>
      <w:r>
        <w:br/>
      </w:r>
      <w:r>
        <w:rPr>
          <w:b/>
          <w:bCs/>
        </w:rPr>
        <w:t>Speaker notes:</w:t>
      </w:r>
      <w:r>
        <w:br/>
        <w:t xml:space="preserve">Close with a measured promise: the goal is not replacing analysts; it’s increasing coverage and consistency with auditable outputs. Invite the room to judge by the artifacts: cited briefs, run logs, validators—not UI polish. </w:t>
      </w:r>
      <w:r>
        <w:rPr>
          <w:b/>
          <w:bCs/>
        </w:rPr>
        <w:t>Visual:</w:t>
      </w:r>
      <w:r>
        <w:t xml:space="preserve"> before/after bar: “janitorial” vs “interpretation.”</w:t>
      </w:r>
    </w:p>
    <w:p w14:paraId="582C1AB7" w14:textId="77777777" w:rsidR="00E36FCD" w:rsidRDefault="00000000">
      <w:pPr>
        <w:pStyle w:val="Heading3"/>
      </w:pPr>
      <w:bookmarkStart w:id="7" w:name="fastmarkets-biofuels-deck-outline"/>
      <w:bookmarkEnd w:id="6"/>
      <w:r>
        <w:t>Fastmarkets Biofuels deck outline</w:t>
      </w:r>
    </w:p>
    <w:p w14:paraId="2F09CAC1" w14:textId="77777777" w:rsidR="00E36FCD" w:rsidRDefault="00000000">
      <w:pPr>
        <w:pStyle w:val="FirstParagraph"/>
      </w:pPr>
      <w:r>
        <w:rPr>
          <w:b/>
          <w:bCs/>
        </w:rPr>
        <w:t>Working title:</w:t>
      </w:r>
      <w:r>
        <w:t xml:space="preserve"> </w:t>
      </w:r>
      <w:r>
        <w:rPr>
          <w:i/>
          <w:iCs/>
        </w:rPr>
        <w:t>Building the Analyst OS: Biofuels Pricing Intelligence with 46 Agents and an Audit Trail</w:t>
      </w:r>
    </w:p>
    <w:p w14:paraId="25B413A6" w14:textId="77777777" w:rsidR="00E36FCD" w:rsidRDefault="00000000">
      <w:pPr>
        <w:pStyle w:val="BodyText"/>
      </w:pPr>
      <w:r>
        <w:rPr>
          <w:b/>
          <w:bCs/>
        </w:rPr>
        <w:t>Slide 1 — The promise and the problem</w:t>
      </w:r>
      <w:r>
        <w:t xml:space="preserve"> - “AI for commodities” is everywhere</w:t>
      </w:r>
      <w:r>
        <w:br/>
        <w:t>- Most deployments are fast but unauditable</w:t>
      </w:r>
      <w:r>
        <w:br/>
        <w:t>- This talk: a working system built by a commodity analyst</w:t>
      </w:r>
      <w:r>
        <w:br/>
      </w:r>
      <w:r>
        <w:rPr>
          <w:b/>
          <w:bCs/>
        </w:rPr>
        <w:t>Speaker notes:</w:t>
      </w:r>
      <w:r>
        <w:br/>
        <w:t xml:space="preserve">Open with a credibility premise: the room doesn’t need AI enthusiasm; it needs decision-grade workflow. Define the enemy: chatbot overlays that can’t be audited. Your stance: show architecture, controls, and real outputs. </w:t>
      </w:r>
      <w:r>
        <w:rPr>
          <w:b/>
          <w:bCs/>
        </w:rPr>
        <w:t>Visual:</w:t>
      </w:r>
      <w:r>
        <w:t xml:space="preserve"> title slide with three proof metrics: 46 agents; 200+ node graph; every output cited. </w:t>
      </w:r>
      <w:hyperlink r:id="rId38">
        <w:r>
          <w:rPr>
            <w:rStyle w:val="Hyperlink"/>
          </w:rPr>
          <w:t>[31]</w:t>
        </w:r>
      </w:hyperlink>
    </w:p>
    <w:p w14:paraId="0862905D" w14:textId="77777777" w:rsidR="00E36FCD" w:rsidRDefault="00000000">
      <w:pPr>
        <w:pStyle w:val="BodyText"/>
      </w:pPr>
      <w:r>
        <w:rPr>
          <w:b/>
          <w:bCs/>
        </w:rPr>
        <w:t>Slide 2 — Why biofuels intelligence is a systems problem</w:t>
      </w:r>
      <w:r>
        <w:t xml:space="preserve"> - Credits + policy + feedstocks move together</w:t>
      </w:r>
      <w:r>
        <w:br/>
        <w:t>- WASDE can shift oilseeds outlook instantly; synthesis takes hours</w:t>
      </w:r>
      <w:r>
        <w:br/>
      </w:r>
      <w:r>
        <w:rPr>
          <w:b/>
          <w:bCs/>
        </w:rPr>
        <w:t>Speaker notes:</w:t>
      </w:r>
      <w:r>
        <w:br/>
        <w:t xml:space="preserve">Ground it in Fastmarkets’ framing: commercial insight into pricing dynamics, policy impacts, feedstock availability shaping margins and trade flows. Explain why a “single </w:t>
      </w:r>
      <w:r>
        <w:lastRenderedPageBreak/>
        <w:t xml:space="preserve">narrative” fails: the system must integrate disparate signals with provenance. </w:t>
      </w:r>
      <w:r>
        <w:rPr>
          <w:b/>
          <w:bCs/>
        </w:rPr>
        <w:t>Visual:</w:t>
      </w:r>
      <w:r>
        <w:t xml:space="preserve"> signal map: policy → credits → feedstocks → margins. </w:t>
      </w:r>
      <w:hyperlink r:id="rId39">
        <w:r>
          <w:rPr>
            <w:rStyle w:val="Hyperlink"/>
          </w:rPr>
          <w:t>[32]</w:t>
        </w:r>
      </w:hyperlink>
    </w:p>
    <w:p w14:paraId="4848F715" w14:textId="77777777" w:rsidR="00E36FCD" w:rsidRDefault="00000000">
      <w:pPr>
        <w:pStyle w:val="BodyText"/>
      </w:pPr>
      <w:r>
        <w:rPr>
          <w:b/>
          <w:bCs/>
        </w:rPr>
        <w:t>Slide 3 — Why I can talk about this in this room</w:t>
      </w:r>
      <w:r>
        <w:t xml:space="preserve"> - Built ag analytics products used commercially (details provided)</w:t>
      </w:r>
      <w:r>
        <w:br/>
        <w:t>- Domain expertise is the prerequisite for useful AI</w:t>
      </w:r>
      <w:r>
        <w:br/>
      </w:r>
      <w:r>
        <w:rPr>
          <w:b/>
          <w:bCs/>
        </w:rPr>
        <w:t>Speaker notes:</w:t>
      </w:r>
      <w:r>
        <w:br/>
        <w:t xml:space="preserve">Use your origin story as provided: you built Fastmarkets Ag Analytics from scratch and were the only person working on ag analytics when Fastmarkets acquired The Jacobsen. This is not “AI vendor to commodity people.” It’s system design by a domain practitioner. </w:t>
      </w:r>
      <w:r>
        <w:rPr>
          <w:b/>
          <w:bCs/>
        </w:rPr>
        <w:t>Visual:</w:t>
      </w:r>
      <w:r>
        <w:t xml:space="preserve"> one-line timeline: “Fastmarkets → RLC → analyst OS.”</w:t>
      </w:r>
    </w:p>
    <w:p w14:paraId="323BBC6B" w14:textId="77777777" w:rsidR="00E36FCD" w:rsidRDefault="00000000">
      <w:pPr>
        <w:pStyle w:val="BodyText"/>
      </w:pPr>
      <w:r>
        <w:rPr>
          <w:b/>
          <w:bCs/>
        </w:rPr>
        <w:t>Slide 4 — What I actually built at RLC</w:t>
      </w:r>
      <w:r>
        <w:t xml:space="preserve"> - 46 specialized agents with constrained roles</w:t>
      </w:r>
      <w:r>
        <w:br/>
        <w:t>- PostgreSQL knowledge graph (200+ entities, 140+ relationships, 110+ analytical contexts)</w:t>
      </w:r>
      <w:r>
        <w:br/>
        <w:t>- Pipelines: USDA PSD, Census trade, NOAA, EIA capacity, EPA RIN data</w:t>
      </w:r>
      <w:r>
        <w:br/>
      </w:r>
      <w:r>
        <w:rPr>
          <w:b/>
          <w:bCs/>
        </w:rPr>
        <w:t>Speaker notes:</w:t>
      </w:r>
      <w:r>
        <w:br/>
        <w:t xml:space="preserve">This is the “credibility slide.” Emphasize that the system is not hypothetical: real ingest, real graph, real agents, real pipelines. Keep confidential specifics unspecified. </w:t>
      </w:r>
      <w:r>
        <w:rPr>
          <w:b/>
          <w:bCs/>
        </w:rPr>
        <w:t>Visual:</w:t>
      </w:r>
      <w:r>
        <w:t xml:space="preserve"> architecture diagram (sources → Bronze/Silver/Gold → agents → outputs → audit log). </w:t>
      </w:r>
      <w:hyperlink r:id="rId40">
        <w:r>
          <w:rPr>
            <w:rStyle w:val="Hyperlink"/>
          </w:rPr>
          <w:t>[33]</w:t>
        </w:r>
      </w:hyperlink>
    </w:p>
    <w:p w14:paraId="38B81BE7" w14:textId="77777777" w:rsidR="00E36FCD" w:rsidRDefault="00000000">
      <w:pPr>
        <w:pStyle w:val="BodyText"/>
      </w:pPr>
      <w:r>
        <w:rPr>
          <w:b/>
          <w:bCs/>
        </w:rPr>
        <w:t>Slide 5 — The knowledge graph is institutional memory</w:t>
      </w:r>
      <w:r>
        <w:t xml:space="preserve"> - Entities and relationships persist across projects</w:t>
      </w:r>
      <w:r>
        <w:br/>
        <w:t>- Policy changes can be traced to affected assets and margins</w:t>
      </w:r>
      <w:r>
        <w:br/>
      </w:r>
      <w:r>
        <w:rPr>
          <w:b/>
          <w:bCs/>
        </w:rPr>
        <w:t>Speaker notes:</w:t>
      </w:r>
      <w:r>
        <w:br/>
        <w:t xml:space="preserve">Walk a real traversal example from your kit: CARB veg oil cap risk linking to soybean crush economics and facility ROI through the graph (numeric sensitivities may be proprietary). The point: cross-referencing took seconds, not days. </w:t>
      </w:r>
      <w:r>
        <w:rPr>
          <w:b/>
          <w:bCs/>
        </w:rPr>
        <w:t>Visual:</w:t>
      </w:r>
      <w:r>
        <w:t xml:space="preserve"> 4-node graph screenshot: policy node → feedstock → margin model → facility.</w:t>
      </w:r>
    </w:p>
    <w:p w14:paraId="0A134E41" w14:textId="77777777" w:rsidR="00E36FCD" w:rsidRDefault="00000000">
      <w:pPr>
        <w:pStyle w:val="BodyText"/>
      </w:pPr>
      <w:r>
        <w:rPr>
          <w:b/>
          <w:bCs/>
        </w:rPr>
        <w:t>Slide 6 — What LLMs are (honest version)</w:t>
      </w:r>
      <w:r>
        <w:t xml:space="preserve"> - Text-to-structure engines</w:t>
      </w:r>
      <w:r>
        <w:br/>
        <w:t>- Not databases; hallucinations require guardrails</w:t>
      </w:r>
      <w:r>
        <w:br/>
      </w:r>
      <w:r>
        <w:rPr>
          <w:b/>
          <w:bCs/>
        </w:rPr>
        <w:t>Speaker notes:</w:t>
      </w:r>
      <w:r>
        <w:br/>
        <w:t xml:space="preserve">Define “LLM” briefly and move on. Say the rule: the model can draft and map text to schemas, but it cannot invent numbers. It must retrieve, cite, validate, or abstain. </w:t>
      </w:r>
      <w:r>
        <w:rPr>
          <w:b/>
          <w:bCs/>
        </w:rPr>
        <w:t>Visual:</w:t>
      </w:r>
      <w:r>
        <w:t xml:space="preserve"> triangle: LLM + retrieval + deterministic validators. </w:t>
      </w:r>
      <w:hyperlink r:id="rId41">
        <w:r>
          <w:rPr>
            <w:rStyle w:val="Hyperlink"/>
          </w:rPr>
          <w:t>[27]</w:t>
        </w:r>
      </w:hyperlink>
    </w:p>
    <w:p w14:paraId="21ADC538" w14:textId="77777777" w:rsidR="00E36FCD" w:rsidRDefault="00000000">
      <w:pPr>
        <w:pStyle w:val="BodyText"/>
      </w:pPr>
      <w:r>
        <w:rPr>
          <w:b/>
          <w:bCs/>
        </w:rPr>
        <w:t>Slide 7 — Medallion layers: how you enforce provenance</w:t>
      </w:r>
      <w:r>
        <w:t xml:space="preserve"> - Bronze: immutable snapshots (PDF/HTML/API)</w:t>
      </w:r>
      <w:r>
        <w:br/>
        <w:t>- Silver: validated objects (policy updates, price observations, deltas)</w:t>
      </w:r>
      <w:r>
        <w:br/>
        <w:t>- Gold: scenarios, briefs, dashboards</w:t>
      </w:r>
      <w:r>
        <w:br/>
      </w:r>
      <w:r>
        <w:rPr>
          <w:b/>
          <w:bCs/>
        </w:rPr>
        <w:t>Speaker notes:</w:t>
      </w:r>
      <w:r>
        <w:br/>
        <w:t xml:space="preserve">Tell a concrete pipeline: EPA RIN data → Bronze snapshot with timestamp → Silver standardized object → Gold “credit supply scenario.” The audience will accept AI only if this discipline is explicit. </w:t>
      </w:r>
      <w:r>
        <w:rPr>
          <w:b/>
          <w:bCs/>
        </w:rPr>
        <w:t>Visual:</w:t>
      </w:r>
      <w:r>
        <w:t xml:space="preserve"> three-layer stack with one end-to-end example arrow. </w:t>
      </w:r>
      <w:hyperlink r:id="rId42">
        <w:r>
          <w:rPr>
            <w:rStyle w:val="Hyperlink"/>
          </w:rPr>
          <w:t>[34]</w:t>
        </w:r>
      </w:hyperlink>
    </w:p>
    <w:p w14:paraId="2273B243" w14:textId="77777777" w:rsidR="00E36FCD" w:rsidRDefault="00000000">
      <w:pPr>
        <w:pStyle w:val="BodyText"/>
      </w:pPr>
      <w:r>
        <w:rPr>
          <w:b/>
          <w:bCs/>
        </w:rPr>
        <w:lastRenderedPageBreak/>
        <w:t>Slide 8 — Why 46 agents, not one mega-prompt</w:t>
      </w:r>
      <w:r>
        <w:t xml:space="preserve"> - Collector agents acquire/snapshot (never opine)</w:t>
      </w:r>
      <w:r>
        <w:br/>
        <w:t>- Validator agents check units/ranges/diffs (never write)</w:t>
      </w:r>
      <w:r>
        <w:br/>
        <w:t>- Analyst agents build scenarios from Silver</w:t>
      </w:r>
      <w:r>
        <w:br/>
        <w:t>- Writer agents publish only with citations</w:t>
      </w:r>
      <w:r>
        <w:br/>
      </w:r>
      <w:r>
        <w:rPr>
          <w:b/>
          <w:bCs/>
        </w:rPr>
        <w:t>Speaker notes:</w:t>
      </w:r>
      <w:r>
        <w:br/>
        <w:t xml:space="preserve">Answer the inevitable question: decomposition increases reliability and makes inspection possible. Your writer agent is unable (by design) to cite anything except retrieved/validated objects. </w:t>
      </w:r>
      <w:r>
        <w:rPr>
          <w:b/>
          <w:bCs/>
        </w:rPr>
        <w:t>Visual:</w:t>
      </w:r>
      <w:r>
        <w:t xml:space="preserve"> swimlane with hard “do-not” rules per lane. </w:t>
      </w:r>
      <w:hyperlink r:id="rId43">
        <w:r>
          <w:rPr>
            <w:rStyle w:val="Hyperlink"/>
          </w:rPr>
          <w:t>[35]</w:t>
        </w:r>
      </w:hyperlink>
    </w:p>
    <w:p w14:paraId="4B8A81AA" w14:textId="77777777" w:rsidR="00E36FCD" w:rsidRDefault="00000000">
      <w:pPr>
        <w:pStyle w:val="BodyText"/>
      </w:pPr>
      <w:r>
        <w:rPr>
          <w:b/>
          <w:bCs/>
        </w:rPr>
        <w:t>Slide 9 — Demo one: WASDE day oilseeds diff-to-brief</w:t>
      </w:r>
      <w:r>
        <w:t xml:space="preserve"> - Snapshot → extract oilseeds tables → compute m/m deltas</w:t>
      </w:r>
      <w:r>
        <w:br/>
        <w:t>- Flag outliers → draft implications memo</w:t>
      </w:r>
      <w:r>
        <w:br/>
        <w:t>- Output ready ~8 minutes (as measured in your workflow; details unspecified)</w:t>
      </w:r>
      <w:r>
        <w:br/>
      </w:r>
      <w:r>
        <w:rPr>
          <w:b/>
          <w:bCs/>
        </w:rPr>
        <w:t>Speaker notes:</w:t>
      </w:r>
      <w:r>
        <w:br/>
        <w:t xml:space="preserve">Anchor to USDA’s characterization of WASDE as benchmark and monthly. Show your actual diff artifact and cited memo output (screenshots or live demo). “Click the citation” to the exact table cell. </w:t>
      </w:r>
      <w:r>
        <w:rPr>
          <w:b/>
          <w:bCs/>
        </w:rPr>
        <w:t>Visual:</w:t>
      </w:r>
      <w:r>
        <w:t xml:space="preserve"> split screen: delta table + cited memo. </w:t>
      </w:r>
      <w:hyperlink r:id="rId44">
        <w:r>
          <w:rPr>
            <w:rStyle w:val="Hyperlink"/>
          </w:rPr>
          <w:t>[36]</w:t>
        </w:r>
      </w:hyperlink>
    </w:p>
    <w:p w14:paraId="1B9D41FC" w14:textId="77777777" w:rsidR="00E36FCD" w:rsidRDefault="00000000">
      <w:pPr>
        <w:pStyle w:val="BodyText"/>
      </w:pPr>
      <w:r>
        <w:rPr>
          <w:b/>
          <w:bCs/>
        </w:rPr>
        <w:t>Slide 10 — Demo two: policy shock → margin scenario matrix</w:t>
      </w:r>
      <w:r>
        <w:t xml:space="preserve"> - Trigger: policy/credit shift (example: LCFS veg oil cap; details unspecified)</w:t>
      </w:r>
      <w:r>
        <w:br/>
        <w:t>- Graph traces causal chain to crush margin and facility ROI</w:t>
      </w:r>
      <w:r>
        <w:br/>
        <w:t>- Output: base/bull/bear matrix + watchlist triggers</w:t>
      </w:r>
      <w:r>
        <w:br/>
      </w:r>
      <w:r>
        <w:rPr>
          <w:b/>
          <w:bCs/>
        </w:rPr>
        <w:t>Speaker notes:</w:t>
      </w:r>
      <w:r>
        <w:br/>
        <w:t xml:space="preserve">This is where your biofuels domain depth matters. Keep the economics structure explicit, but keep proprietary numbers unspecified. Emphasize assumptions are visible variables, not hidden in prompts. </w:t>
      </w:r>
      <w:r>
        <w:rPr>
          <w:b/>
          <w:bCs/>
        </w:rPr>
        <w:t>Visual:</w:t>
      </w:r>
      <w:r>
        <w:t xml:space="preserve"> causal chain diagram + 3×3 scenario grid. </w:t>
      </w:r>
      <w:hyperlink r:id="rId45">
        <w:r>
          <w:rPr>
            <w:rStyle w:val="Hyperlink"/>
          </w:rPr>
          <w:t>[37]</w:t>
        </w:r>
      </w:hyperlink>
    </w:p>
    <w:p w14:paraId="7AF9113F" w14:textId="77777777" w:rsidR="00E36FCD" w:rsidRDefault="00000000">
      <w:pPr>
        <w:pStyle w:val="BodyText"/>
      </w:pPr>
      <w:r>
        <w:rPr>
          <w:b/>
          <w:bCs/>
        </w:rPr>
        <w:t>Slide 11 — Demo three: basis anomaly triage</w:t>
      </w:r>
      <w:r>
        <w:t xml:space="preserve"> - Detect abnormal basis vs history and peers</w:t>
      </w:r>
      <w:r>
        <w:br/>
        <w:t>- Generate hypothesis tree + confirmation checklist</w:t>
      </w:r>
      <w:r>
        <w:br/>
        <w:t>- Output: triage brief separating facts from hypotheses</w:t>
      </w:r>
      <w:r>
        <w:br/>
      </w:r>
      <w:r>
        <w:rPr>
          <w:b/>
          <w:bCs/>
        </w:rPr>
        <w:t>Speaker notes:</w:t>
      </w:r>
      <w:r>
        <w:br/>
        <w:t xml:space="preserve">Sell humility as a feature: the system does not claim to “know why.” It structures the investigation and forces confirmation. Tie to how desks actually work under time pressure. </w:t>
      </w:r>
      <w:r>
        <w:rPr>
          <w:b/>
          <w:bCs/>
        </w:rPr>
        <w:t>Visual:</w:t>
      </w:r>
      <w:r>
        <w:t xml:space="preserve"> basis heatmap + hypothesis tree with “confirm” checkboxes. </w:t>
      </w:r>
      <w:hyperlink r:id="rId46">
        <w:r>
          <w:rPr>
            <w:rStyle w:val="Hyperlink"/>
          </w:rPr>
          <w:t>[15]</w:t>
        </w:r>
      </w:hyperlink>
    </w:p>
    <w:p w14:paraId="4017A0A3" w14:textId="77777777" w:rsidR="00E36FCD" w:rsidRDefault="00000000">
      <w:pPr>
        <w:pStyle w:val="BodyText"/>
      </w:pPr>
      <w:r>
        <w:rPr>
          <w:b/>
          <w:bCs/>
        </w:rPr>
        <w:t>Slide 12 — Guardrails that earn trust</w:t>
      </w:r>
      <w:r>
        <w:t xml:space="preserve"> - RAG: generate from retrieved sources, not “memory”</w:t>
      </w:r>
      <w:r>
        <w:br/>
        <w:t>- Deterministic validation gates</w:t>
      </w:r>
      <w:r>
        <w:br/>
        <w:t>- Stop conditions + human review gate</w:t>
      </w:r>
      <w:r>
        <w:br/>
      </w:r>
      <w:r>
        <w:rPr>
          <w:b/>
          <w:bCs/>
        </w:rPr>
        <w:t>Speaker notes:</w:t>
      </w:r>
      <w:r>
        <w:br/>
        <w:t xml:space="preserve">Explain RAG succinctly and show what it looks like in your outputs: paragraph-level citations, conflict surfacing, and escalation. Pair it with validators; retrieval alone is not enough. </w:t>
      </w:r>
      <w:r>
        <w:rPr>
          <w:b/>
          <w:bCs/>
        </w:rPr>
        <w:t>Visual:</w:t>
      </w:r>
      <w:r>
        <w:t xml:space="preserve"> RAG loop with “validation gate” and “escalate” branch. </w:t>
      </w:r>
      <w:hyperlink r:id="rId47">
        <w:r>
          <w:rPr>
            <w:rStyle w:val="Hyperlink"/>
          </w:rPr>
          <w:t>[38]</w:t>
        </w:r>
      </w:hyperlink>
    </w:p>
    <w:p w14:paraId="657A65B4" w14:textId="77777777" w:rsidR="00E36FCD" w:rsidRDefault="00000000">
      <w:pPr>
        <w:pStyle w:val="BodyText"/>
      </w:pPr>
      <w:r>
        <w:rPr>
          <w:b/>
          <w:bCs/>
        </w:rPr>
        <w:lastRenderedPageBreak/>
        <w:t>Slide 13 — Where LLMs still fail</w:t>
      </w:r>
      <w:r>
        <w:t xml:space="preserve"> - Hallucinations under ambiguity</w:t>
      </w:r>
      <w:r>
        <w:br/>
        <w:t>- Silent drift (stale sources/definitions)</w:t>
      </w:r>
      <w:r>
        <w:br/>
        <w:t>- Persuasive narrative around wrong numbers</w:t>
      </w:r>
      <w:r>
        <w:br/>
      </w:r>
      <w:r>
        <w:rPr>
          <w:b/>
          <w:bCs/>
        </w:rPr>
        <w:t>Speaker notes:</w:t>
      </w:r>
      <w:r>
        <w:br/>
        <w:t xml:space="preserve">Say plainly: this is why audit logs and validators are not optional. Your system’s rule is to surface uncertainty and refuse when evidence is thin. </w:t>
      </w:r>
      <w:r>
        <w:rPr>
          <w:b/>
          <w:bCs/>
        </w:rPr>
        <w:t>Visual:</w:t>
      </w:r>
      <w:r>
        <w:t xml:space="preserve"> risk register with mitigations and owners. </w:t>
      </w:r>
      <w:hyperlink r:id="rId48">
        <w:r>
          <w:rPr>
            <w:rStyle w:val="Hyperlink"/>
          </w:rPr>
          <w:t>[28]</w:t>
        </w:r>
      </w:hyperlink>
    </w:p>
    <w:p w14:paraId="239C9816" w14:textId="77777777" w:rsidR="00E36FCD" w:rsidRDefault="00000000">
      <w:pPr>
        <w:pStyle w:val="BodyText"/>
      </w:pPr>
      <w:r>
        <w:rPr>
          <w:b/>
          <w:bCs/>
        </w:rPr>
        <w:t>Slide 14 — What changes for desks and investors</w:t>
      </w:r>
      <w:r>
        <w:t xml:space="preserve"> - Faster coverage without losing discipline</w:t>
      </w:r>
      <w:r>
        <w:br/>
        <w:t>- Due diligence workflow becomes repeatable</w:t>
      </w:r>
      <w:r>
        <w:br/>
        <w:t>- Institutional memory compounds (graph grows with every project)</w:t>
      </w:r>
      <w:r>
        <w:br/>
      </w:r>
      <w:r>
        <w:rPr>
          <w:b/>
          <w:bCs/>
        </w:rPr>
        <w:t>Speaker notes:</w:t>
      </w:r>
      <w:r>
        <w:br/>
        <w:t xml:space="preserve">Close on real paid work: OIC-style PE due diligence and the HOBO landscape study; mention Motiva SAF assessment as another proof point (details unspecified). The claim is not “perfect forecasting,” it’s “faster, auditable intelligence.” </w:t>
      </w:r>
      <w:r>
        <w:rPr>
          <w:b/>
          <w:bCs/>
        </w:rPr>
        <w:t>Visual:</w:t>
      </w:r>
      <w:r>
        <w:t xml:space="preserve"> “research object” card: data + memo + citations + run_id. </w:t>
      </w:r>
      <w:hyperlink r:id="rId49">
        <w:r>
          <w:rPr>
            <w:rStyle w:val="Hyperlink"/>
          </w:rPr>
          <w:t>[31]</w:t>
        </w:r>
      </w:hyperlink>
    </w:p>
    <w:p w14:paraId="49835AD5" w14:textId="77777777" w:rsidR="00E36FCD" w:rsidRDefault="00000000">
      <w:pPr>
        <w:pStyle w:val="Heading3"/>
      </w:pPr>
      <w:bookmarkStart w:id="8" w:name="geneva-grains-deck-outline"/>
      <w:bookmarkEnd w:id="7"/>
      <w:r>
        <w:t>Geneva grains deck outline</w:t>
      </w:r>
    </w:p>
    <w:p w14:paraId="4F408B39" w14:textId="77777777" w:rsidR="00E36FCD" w:rsidRDefault="00000000">
      <w:pPr>
        <w:pStyle w:val="FirstParagraph"/>
      </w:pPr>
      <w:r>
        <w:rPr>
          <w:b/>
          <w:bCs/>
        </w:rPr>
        <w:t>Working title:</w:t>
      </w:r>
      <w:r>
        <w:t xml:space="preserve"> </w:t>
      </w:r>
      <w:r>
        <w:rPr>
          <w:i/>
          <w:iCs/>
        </w:rPr>
        <w:t>Trade-Grade GenAI: Reproducible Grain Intelligence Across Flows, Freight, Weather, and Basis</w:t>
      </w:r>
    </w:p>
    <w:p w14:paraId="7A29EE7B" w14:textId="77777777" w:rsidR="00E36FCD" w:rsidRDefault="00000000">
      <w:pPr>
        <w:pStyle w:val="BodyText"/>
      </w:pPr>
      <w:r>
        <w:rPr>
          <w:b/>
          <w:bCs/>
        </w:rPr>
        <w:t>Slide 1 — Geneva thesis</w:t>
      </w:r>
      <w:r>
        <w:t xml:space="preserve"> - Grain trade narratives must survive basis, spreads, and freight</w:t>
      </w:r>
      <w:r>
        <w:br/>
        <w:t>- AI is useful only with provenance and replayability</w:t>
      </w:r>
      <w:r>
        <w:br/>
      </w:r>
      <w:r>
        <w:rPr>
          <w:b/>
          <w:bCs/>
        </w:rPr>
        <w:t>Speaker notes:</w:t>
      </w:r>
      <w:r>
        <w:br/>
        <w:t xml:space="preserve">Open with Geneva reality: smart people will challenge your story. So your promise is not “AI knows,” it’s “AI keeps the sources, timestamps, and logic visible while compressing time-to-synthesis.” </w:t>
      </w:r>
      <w:r>
        <w:rPr>
          <w:b/>
          <w:bCs/>
        </w:rPr>
        <w:t>Visual:</w:t>
      </w:r>
      <w:r>
        <w:t xml:space="preserve"> “narrative vs signals” schematic: basis/freight/flows as constraints. </w:t>
      </w:r>
      <w:hyperlink r:id="rId50">
        <w:r>
          <w:rPr>
            <w:rStyle w:val="Hyperlink"/>
          </w:rPr>
          <w:t>[39]</w:t>
        </w:r>
      </w:hyperlink>
    </w:p>
    <w:p w14:paraId="35AEF0A7" w14:textId="77777777" w:rsidR="00E36FCD" w:rsidRDefault="00000000">
      <w:pPr>
        <w:pStyle w:val="BodyText"/>
      </w:pPr>
      <w:r>
        <w:rPr>
          <w:b/>
          <w:bCs/>
        </w:rPr>
        <w:t>Slide 2 — What this audience is optimizing</w:t>
      </w:r>
      <w:r>
        <w:t xml:space="preserve"> - Trade flows + logistics + macro define outcomes</w:t>
      </w:r>
      <w:r>
        <w:br/>
        <w:t>- Senior decision-makers need short, defensible briefs</w:t>
      </w:r>
      <w:r>
        <w:br/>
      </w:r>
      <w:r>
        <w:rPr>
          <w:b/>
          <w:bCs/>
        </w:rPr>
        <w:t>Speaker notes:</w:t>
      </w:r>
      <w:r>
        <w:br/>
        <w:t xml:space="preserve">Use Fastmarkets’ Geneva positioning: actionable insights on price trends, trade flows, logistics, and risk management; also note the seniority described for the event (e.g., C-suite share). </w:t>
      </w:r>
      <w:r>
        <w:rPr>
          <w:b/>
          <w:bCs/>
        </w:rPr>
        <w:t>Visual:</w:t>
      </w:r>
      <w:r>
        <w:t xml:space="preserve"> a one-page “trade brief” template with sections: flows, freight, basis, scenarios. </w:t>
      </w:r>
      <w:hyperlink r:id="rId51">
        <w:r>
          <w:rPr>
            <w:rStyle w:val="Hyperlink"/>
          </w:rPr>
          <w:t>[7]</w:t>
        </w:r>
      </w:hyperlink>
    </w:p>
    <w:p w14:paraId="1352F5D6" w14:textId="77777777" w:rsidR="00E36FCD" w:rsidRDefault="00000000">
      <w:pPr>
        <w:pStyle w:val="BodyText"/>
      </w:pPr>
      <w:r>
        <w:rPr>
          <w:b/>
          <w:bCs/>
        </w:rPr>
        <w:t>Slide 3 — Two global anchors you can’t fake</w:t>
      </w:r>
      <w:r>
        <w:t xml:space="preserve"> - WASDE sets a recurring forecast baseline</w:t>
      </w:r>
      <w:r>
        <w:br/>
        <w:t>- AMIS exists to improve transparency and policy response</w:t>
      </w:r>
      <w:r>
        <w:br/>
      </w:r>
      <w:r>
        <w:rPr>
          <w:b/>
          <w:bCs/>
        </w:rPr>
        <w:t>Speaker notes:</w:t>
      </w:r>
      <w:r>
        <w:br/>
        <w:t xml:space="preserve">Explain why you start from these anchors: they are widely used, inspectable, and can be diffed monthly. USDA describes WASDE’s monthly WAOB release and benchmark status; </w:t>
      </w:r>
      <w:r>
        <w:lastRenderedPageBreak/>
        <w:t xml:space="preserve">FAO describes AMIS’ transparency/policy purpose. </w:t>
      </w:r>
      <w:r>
        <w:rPr>
          <w:b/>
          <w:bCs/>
        </w:rPr>
        <w:t>Visual:</w:t>
      </w:r>
      <w:r>
        <w:t xml:space="preserve"> two source tiles with ingestion timestamps. </w:t>
      </w:r>
      <w:hyperlink r:id="rId52">
        <w:r>
          <w:rPr>
            <w:rStyle w:val="Hyperlink"/>
          </w:rPr>
          <w:t>[40]</w:t>
        </w:r>
      </w:hyperlink>
    </w:p>
    <w:p w14:paraId="70ADCAF0" w14:textId="77777777" w:rsidR="00E36FCD" w:rsidRDefault="00000000">
      <w:pPr>
        <w:pStyle w:val="BodyText"/>
      </w:pPr>
      <w:r>
        <w:rPr>
          <w:b/>
          <w:bCs/>
        </w:rPr>
        <w:t>Slide 4 — Trade flows by API, not by copy/paste</w:t>
      </w:r>
      <w:r>
        <w:t xml:space="preserve"> - Census trade time series endpoints are queryable</w:t>
      </w:r>
      <w:r>
        <w:br/>
        <w:t>- Flow events become structured objects</w:t>
      </w:r>
      <w:r>
        <w:br/>
      </w:r>
      <w:r>
        <w:rPr>
          <w:b/>
          <w:bCs/>
        </w:rPr>
        <w:t>Speaker notes:</w:t>
      </w:r>
      <w:r>
        <w:br/>
        <w:t xml:space="preserve">Show the posture: flows are not screenshots; they are structured, versioned inputs. The Census API’s intltrade time series endpoints support consistent extraction for exports/imports across classifications. </w:t>
      </w:r>
      <w:r>
        <w:rPr>
          <w:b/>
          <w:bCs/>
        </w:rPr>
        <w:t>Visual:</w:t>
      </w:r>
      <w:r>
        <w:t xml:space="preserve"> API → “trade_flow_event” object schema with provenance fields. </w:t>
      </w:r>
      <w:hyperlink r:id="rId53">
        <w:r>
          <w:rPr>
            <w:rStyle w:val="Hyperlink"/>
          </w:rPr>
          <w:t>[23]</w:t>
        </w:r>
      </w:hyperlink>
    </w:p>
    <w:p w14:paraId="564F3BDE" w14:textId="77777777" w:rsidR="00E36FCD" w:rsidRDefault="00000000">
      <w:pPr>
        <w:pStyle w:val="BodyText"/>
      </w:pPr>
      <w:r>
        <w:rPr>
          <w:b/>
          <w:bCs/>
        </w:rPr>
        <w:t>Slide 5 — Weather is an input, not a story</w:t>
      </w:r>
      <w:r>
        <w:t xml:space="preserve"> - NOAA CDO API supports reproducible weather feature pulls</w:t>
      </w:r>
      <w:r>
        <w:br/>
        <w:t>- Every pull is tokened, timestamped, cached</w:t>
      </w:r>
      <w:r>
        <w:br/>
      </w:r>
      <w:r>
        <w:rPr>
          <w:b/>
          <w:bCs/>
        </w:rPr>
        <w:t>Speaker notes:</w:t>
      </w:r>
      <w:r>
        <w:br/>
        <w:t xml:space="preserve">Explain how weather enters your system: as features with source/time/parameters logged, not as narrative hand-waving. NOAA’s CDO API v2 documents token use, endpoints, and rate limits—perfect for controlled ingestion. </w:t>
      </w:r>
      <w:r>
        <w:rPr>
          <w:b/>
          <w:bCs/>
        </w:rPr>
        <w:t>Visual:</w:t>
      </w:r>
      <w:r>
        <w:t xml:space="preserve"> “CDO query → Bronze snapshot → Silver weather features.” </w:t>
      </w:r>
      <w:hyperlink r:id="rId54">
        <w:r>
          <w:rPr>
            <w:rStyle w:val="Hyperlink"/>
          </w:rPr>
          <w:t>[19]</w:t>
        </w:r>
      </w:hyperlink>
    </w:p>
    <w:p w14:paraId="38B89608" w14:textId="77777777" w:rsidR="00E36FCD" w:rsidRDefault="00000000">
      <w:pPr>
        <w:pStyle w:val="BodyText"/>
      </w:pPr>
      <w:r>
        <w:rPr>
          <w:b/>
          <w:bCs/>
        </w:rPr>
        <w:t>Slide 6 — Futures anchor your math</w:t>
      </w:r>
      <w:r>
        <w:t xml:space="preserve"> - CME benchmark contracts support price discovery and hedging</w:t>
      </w:r>
      <w:r>
        <w:br/>
        <w:t>- Basis is a “reality check” signal</w:t>
      </w:r>
      <w:r>
        <w:br/>
      </w:r>
      <w:r>
        <w:rPr>
          <w:b/>
          <w:bCs/>
        </w:rPr>
        <w:t>Speaker notes:</w:t>
      </w:r>
      <w:r>
        <w:br/>
        <w:t xml:space="preserve">Use CME’s own description of benchmark grain/oilseed futures and their role in risk management and price discovery. Your system treats contract metadata and calendar logic as explicit inputs before computing basis/spreads. </w:t>
      </w:r>
      <w:r>
        <w:rPr>
          <w:b/>
          <w:bCs/>
        </w:rPr>
        <w:t>Visual:</w:t>
      </w:r>
      <w:r>
        <w:t xml:space="preserve"> futures vs cash line sketch highlighting basis. </w:t>
      </w:r>
      <w:hyperlink r:id="rId55">
        <w:r>
          <w:rPr>
            <w:rStyle w:val="Hyperlink"/>
          </w:rPr>
          <w:t>[15]</w:t>
        </w:r>
      </w:hyperlink>
    </w:p>
    <w:p w14:paraId="1C607757" w14:textId="77777777" w:rsidR="00E36FCD" w:rsidRDefault="00000000">
      <w:pPr>
        <w:pStyle w:val="BodyText"/>
      </w:pPr>
      <w:r>
        <w:rPr>
          <w:b/>
          <w:bCs/>
        </w:rPr>
        <w:t>Slide 7 — RLC architecture, tuned for trade</w:t>
      </w:r>
      <w:r>
        <w:t xml:space="preserve"> - Multi-agent system (46 agents provided)</w:t>
      </w:r>
      <w:r>
        <w:br/>
        <w:t>- Knowledge graph supports cross-domain queries (200+ nodes provided)</w:t>
      </w:r>
      <w:r>
        <w:br/>
      </w:r>
      <w:r>
        <w:rPr>
          <w:b/>
          <w:bCs/>
        </w:rPr>
        <w:t>Speaker notes:</w:t>
      </w:r>
      <w:r>
        <w:br/>
        <w:t xml:space="preserve">State the real build: agents + graph + medallion. In trade, the graph is the integration spine linking: crop outlooks, flows, logistics nodes, and market signals. </w:t>
      </w:r>
      <w:r>
        <w:rPr>
          <w:b/>
          <w:bCs/>
        </w:rPr>
        <w:t>Visual:</w:t>
      </w:r>
      <w:r>
        <w:t xml:space="preserve"> architecture overview with “graph query” callout bubble.</w:t>
      </w:r>
    </w:p>
    <w:p w14:paraId="3BCF148E" w14:textId="77777777" w:rsidR="00E36FCD" w:rsidRDefault="00000000">
      <w:pPr>
        <w:pStyle w:val="BodyText"/>
      </w:pPr>
      <w:r>
        <w:rPr>
          <w:b/>
          <w:bCs/>
        </w:rPr>
        <w:t>Slide 8 — Example knowledge-graph queries to show on screen</w:t>
      </w:r>
      <w:r>
        <w:t xml:space="preserve"> - “What changes if Black Sea freight regime shifts?” (details unspecified)</w:t>
      </w:r>
      <w:r>
        <w:br/>
        <w:t>- “Which flow nodes move with basis anomalies?” (details unspecified)</w:t>
      </w:r>
      <w:r>
        <w:br/>
      </w:r>
      <w:r>
        <w:rPr>
          <w:b/>
          <w:bCs/>
        </w:rPr>
        <w:t>Speaker notes:</w:t>
      </w:r>
      <w:r>
        <w:br/>
        <w:t xml:space="preserve">Keep the queries concrete but avoid fabricating outputs. Demonstrate how a graph query becomes a “source pack” and scenario prompt list. </w:t>
      </w:r>
      <w:r>
        <w:rPr>
          <w:b/>
          <w:bCs/>
        </w:rPr>
        <w:t>Visual:</w:t>
      </w:r>
      <w:r>
        <w:t xml:space="preserve"> query panel + results list of linked nodes, each clickable to source artifacts (redacted).</w:t>
      </w:r>
    </w:p>
    <w:p w14:paraId="12545E29" w14:textId="77777777" w:rsidR="00E36FCD" w:rsidRDefault="00000000">
      <w:pPr>
        <w:pStyle w:val="BodyText"/>
      </w:pPr>
      <w:r>
        <w:rPr>
          <w:b/>
          <w:bCs/>
        </w:rPr>
        <w:lastRenderedPageBreak/>
        <w:t>Slide 9 — Demo one: basis anomaly triage (Geneva opener)</w:t>
      </w:r>
      <w:r>
        <w:t xml:space="preserve"> - Detect anomaly → propose hypothesis tree</w:t>
      </w:r>
      <w:r>
        <w:br/>
        <w:t>- Produce confirmation checklist + evidence panel</w:t>
      </w:r>
      <w:r>
        <w:br/>
      </w:r>
      <w:r>
        <w:rPr>
          <w:b/>
          <w:bCs/>
        </w:rPr>
        <w:t>Speaker notes:</w:t>
      </w:r>
      <w:r>
        <w:br/>
        <w:t xml:space="preserve">Make this the opener for Geneva: it’s immediately relevant and demonstrates humility. You show: what is observed, what is plausible, what must be confirmed, and what you will not assume. </w:t>
      </w:r>
      <w:r>
        <w:rPr>
          <w:b/>
          <w:bCs/>
        </w:rPr>
        <w:t>Visual:</w:t>
      </w:r>
      <w:r>
        <w:t xml:space="preserve"> basis heatmap + hypothesis branches (logistics, quality, demand, policy, weather). </w:t>
      </w:r>
      <w:hyperlink r:id="rId56">
        <w:r>
          <w:rPr>
            <w:rStyle w:val="Hyperlink"/>
          </w:rPr>
          <w:t>[41]</w:t>
        </w:r>
      </w:hyperlink>
    </w:p>
    <w:p w14:paraId="49AD04D0" w14:textId="77777777" w:rsidR="00E36FCD" w:rsidRDefault="00000000">
      <w:pPr>
        <w:pStyle w:val="BodyText"/>
      </w:pPr>
      <w:r>
        <w:rPr>
          <w:b/>
          <w:bCs/>
        </w:rPr>
        <w:t>Slide 10 — Demo two: WASDE day in a trade frame</w:t>
      </w:r>
      <w:r>
        <w:t xml:space="preserve"> - Diff tables → update scenarios → publish brief</w:t>
      </w:r>
      <w:r>
        <w:br/>
        <w:t>- Emphasize “benchmark” nature and reproducibility</w:t>
      </w:r>
      <w:r>
        <w:br/>
      </w:r>
      <w:r>
        <w:rPr>
          <w:b/>
          <w:bCs/>
        </w:rPr>
        <w:t>Speaker notes:</w:t>
      </w:r>
      <w:r>
        <w:br/>
        <w:t xml:space="preserve">Show the same WASDE pipeline but framed for trade implications: flows, spreads, and risk triggers. Cite USDA’s benchmark characterization and monthly cadence. </w:t>
      </w:r>
      <w:r>
        <w:rPr>
          <w:b/>
          <w:bCs/>
        </w:rPr>
        <w:t>Visual:</w:t>
      </w:r>
      <w:r>
        <w:t xml:space="preserve"> delta table + “trade implications” bullets with citations. </w:t>
      </w:r>
      <w:hyperlink r:id="rId57">
        <w:r>
          <w:rPr>
            <w:rStyle w:val="Hyperlink"/>
          </w:rPr>
          <w:t>[42]</w:t>
        </w:r>
      </w:hyperlink>
    </w:p>
    <w:p w14:paraId="0D9E8911" w14:textId="77777777" w:rsidR="00E36FCD" w:rsidRDefault="00000000">
      <w:pPr>
        <w:pStyle w:val="BodyText"/>
      </w:pPr>
      <w:r>
        <w:rPr>
          <w:b/>
          <w:bCs/>
        </w:rPr>
        <w:t>Slide 11 — Demo three: trade-flow shock confirmation</w:t>
      </w:r>
      <w:r>
        <w:t xml:space="preserve"> - Census flow pull + reconciliation vs other inputs (unspecified)</w:t>
      </w:r>
      <w:r>
        <w:br/>
        <w:t>- Output: “what changed / what to watch” memo</w:t>
      </w:r>
      <w:r>
        <w:br/>
      </w:r>
      <w:r>
        <w:rPr>
          <w:b/>
          <w:bCs/>
        </w:rPr>
        <w:t>Speaker notes:</w:t>
      </w:r>
      <w:r>
        <w:br/>
        <w:t xml:space="preserve">Describe a generic but real workflow: when the market says “exports surged,” the system checks structured flow data and produces a concise confirmation memo with source links. Do not invent volumes; show the process and the audit trail. </w:t>
      </w:r>
      <w:r>
        <w:rPr>
          <w:b/>
          <w:bCs/>
        </w:rPr>
        <w:t>Visual:</w:t>
      </w:r>
      <w:r>
        <w:t xml:space="preserve"> before/after flow bar + citation list. </w:t>
      </w:r>
      <w:hyperlink r:id="rId58">
        <w:r>
          <w:rPr>
            <w:rStyle w:val="Hyperlink"/>
          </w:rPr>
          <w:t>[23]</w:t>
        </w:r>
      </w:hyperlink>
    </w:p>
    <w:p w14:paraId="15FCFB10" w14:textId="77777777" w:rsidR="00E36FCD" w:rsidRDefault="00000000">
      <w:pPr>
        <w:pStyle w:val="BodyText"/>
      </w:pPr>
      <w:r>
        <w:rPr>
          <w:b/>
          <w:bCs/>
        </w:rPr>
        <w:t>Slide 12 — Guardrails: RAG + reconciliation + stop conditions</w:t>
      </w:r>
      <w:r>
        <w:t xml:space="preserve"> - Retrieval-first drafting; paragraph citations</w:t>
      </w:r>
      <w:r>
        <w:br/>
        <w:t>- Cross-source diffing before narrative</w:t>
      </w:r>
      <w:r>
        <w:br/>
        <w:t>- Escalate conflicts instead of averaging</w:t>
      </w:r>
      <w:r>
        <w:br/>
      </w:r>
      <w:r>
        <w:rPr>
          <w:b/>
          <w:bCs/>
        </w:rPr>
        <w:t>Speaker notes:</w:t>
      </w:r>
      <w:r>
        <w:br/>
        <w:t xml:space="preserve">Explain that “trade-grade” means the system must show disagreements, not hide them. Retrieval alone isn’t enough: you need validators, conflict surfacing, and human gates. </w:t>
      </w:r>
      <w:r>
        <w:rPr>
          <w:b/>
          <w:bCs/>
        </w:rPr>
        <w:t>Visual:</w:t>
      </w:r>
      <w:r>
        <w:t xml:space="preserve"> side-by-side conflict panel: Source A vs Source B → “escalate.” </w:t>
      </w:r>
      <w:hyperlink r:id="rId59">
        <w:r>
          <w:rPr>
            <w:rStyle w:val="Hyperlink"/>
          </w:rPr>
          <w:t>[27]</w:t>
        </w:r>
      </w:hyperlink>
    </w:p>
    <w:p w14:paraId="25385CE5" w14:textId="77777777" w:rsidR="00E36FCD" w:rsidRDefault="00000000">
      <w:pPr>
        <w:pStyle w:val="BodyText"/>
      </w:pPr>
      <w:r>
        <w:rPr>
          <w:b/>
          <w:bCs/>
        </w:rPr>
        <w:t>Slide 13 — Limitations: what the system refuses to do</w:t>
      </w:r>
      <w:r>
        <w:t xml:space="preserve"> - Invent missing facts</w:t>
      </w:r>
      <w:r>
        <w:br/>
        <w:t>- Hide uncertainty</w:t>
      </w:r>
      <w:r>
        <w:br/>
        <w:t>- Bypass validation gates</w:t>
      </w:r>
      <w:r>
        <w:br/>
      </w:r>
      <w:r>
        <w:rPr>
          <w:b/>
          <w:bCs/>
        </w:rPr>
        <w:t>Speaker notes:</w:t>
      </w:r>
      <w:r>
        <w:br/>
        <w:t xml:space="preserve">Say plainly: the refusal policy is a feature. This creates trust and prevents “compelling but wrong” narratives. </w:t>
      </w:r>
      <w:r>
        <w:rPr>
          <w:b/>
          <w:bCs/>
        </w:rPr>
        <w:t>Visual:</w:t>
      </w:r>
      <w:r>
        <w:t xml:space="preserve"> three example “abstain” outputs: “insufficient evidence,” “conflicting sources,” “stale data.” </w:t>
      </w:r>
      <w:hyperlink r:id="rId60">
        <w:r>
          <w:rPr>
            <w:rStyle w:val="Hyperlink"/>
          </w:rPr>
          <w:t>[27]</w:t>
        </w:r>
      </w:hyperlink>
    </w:p>
    <w:p w14:paraId="7E508CFD" w14:textId="77777777" w:rsidR="00E36FCD" w:rsidRDefault="00000000">
      <w:pPr>
        <w:pStyle w:val="BodyText"/>
      </w:pPr>
      <w:r>
        <w:rPr>
          <w:b/>
          <w:bCs/>
        </w:rPr>
        <w:t>Slide 14 — Close: speed with discipline</w:t>
      </w:r>
      <w:r>
        <w:t xml:space="preserve"> - Trade intelligence is an update race</w:t>
      </w:r>
      <w:r>
        <w:br/>
        <w:t>- Architecture is the strategy</w:t>
      </w:r>
      <w:r>
        <w:br/>
      </w:r>
      <w:r>
        <w:rPr>
          <w:b/>
          <w:bCs/>
        </w:rPr>
        <w:t>Speaker notes:</w:t>
      </w:r>
      <w:r>
        <w:br/>
      </w:r>
      <w:r>
        <w:lastRenderedPageBreak/>
        <w:t xml:space="preserve">Close with a Geneva-true line: winners update a defensible view faster than competitors when reality changes. Your product is an analyst OS: it compresses time-to-synthesis while preserving attribution and replayability. </w:t>
      </w:r>
      <w:r>
        <w:rPr>
          <w:b/>
          <w:bCs/>
        </w:rPr>
        <w:t>Visual:</w:t>
      </w:r>
      <w:r>
        <w:t xml:space="preserve"> “update clock speed” timeline (hours → minutes). </w:t>
      </w:r>
      <w:hyperlink r:id="rId61">
        <w:r>
          <w:rPr>
            <w:rStyle w:val="Hyperlink"/>
          </w:rPr>
          <w:t>[39]</w:t>
        </w:r>
      </w:hyperlink>
    </w:p>
    <w:p w14:paraId="733DB0E8" w14:textId="77777777" w:rsidR="00E36FCD" w:rsidRDefault="00000000">
      <w:pPr>
        <w:pStyle w:val="Heading2"/>
      </w:pPr>
      <w:bookmarkStart w:id="9" w:name="outreach-kit"/>
      <w:bookmarkEnd w:id="5"/>
      <w:bookmarkEnd w:id="8"/>
      <w:r>
        <w:t>Outreach kit</w:t>
      </w:r>
    </w:p>
    <w:p w14:paraId="20B89CCF" w14:textId="77777777" w:rsidR="00E36FCD" w:rsidRDefault="00000000">
      <w:pPr>
        <w:pStyle w:val="Heading3"/>
      </w:pPr>
      <w:bookmarkStart w:id="10" w:name="pitch-email-template"/>
      <w:r>
        <w:t>Pitch email template</w:t>
      </w:r>
    </w:p>
    <w:p w14:paraId="656473A9" w14:textId="77777777" w:rsidR="00E36FCD" w:rsidRDefault="00000000">
      <w:pPr>
        <w:pStyle w:val="FirstParagraph"/>
      </w:pPr>
      <w:r>
        <w:rPr>
          <w:b/>
          <w:bCs/>
        </w:rPr>
        <w:t>Subject line options</w:t>
      </w:r>
      <w:r>
        <w:t xml:space="preserve"> - “Speaker proposal: Audit-first AI for commodity analysis (real architecture + demos, no hype)” - “Session idea for [Conference]: Building an ‘analyst OS’ with LLMs for decision-grade commodity intelligence” - “Talk proposal: Provenance-first GenAI for feedstocks/biofuels/grain trade”</w:t>
      </w:r>
    </w:p>
    <w:p w14:paraId="59B5F8A7" w14:textId="77777777" w:rsidR="00E36FCD" w:rsidRDefault="00000000">
      <w:pPr>
        <w:pStyle w:val="BodyText"/>
      </w:pPr>
      <w:r>
        <w:rPr>
          <w:b/>
          <w:bCs/>
        </w:rPr>
        <w:t>Email template</w:t>
      </w:r>
      <w:r>
        <w:br/>
        <w:t>Hello [Program Chair / Name],</w:t>
      </w:r>
    </w:p>
    <w:p w14:paraId="35110BD7" w14:textId="77777777" w:rsidR="00E36FCD" w:rsidRDefault="00000000">
      <w:pPr>
        <w:pStyle w:val="BodyText"/>
      </w:pPr>
      <w:r>
        <w:t xml:space="preserve">I’d like to propose a 30‑minute session for [Conference Name] on </w:t>
      </w:r>
      <w:r>
        <w:rPr>
          <w:b/>
          <w:bCs/>
        </w:rPr>
        <w:t>how commodity teams can use AI and large language models to accelerate analysis while improving provenance, auditability, and governance</w:t>
      </w:r>
      <w:r>
        <w:t xml:space="preserve">. This is a concrete, architectural talk (not AI hype) with short demo workflows: </w:t>
      </w:r>
      <w:r>
        <w:rPr>
          <w:b/>
          <w:bCs/>
        </w:rPr>
        <w:t>WASDE-day diff-to-brief</w:t>
      </w:r>
      <w:r>
        <w:t xml:space="preserve">, </w:t>
      </w:r>
      <w:r>
        <w:rPr>
          <w:b/>
          <w:bCs/>
        </w:rPr>
        <w:t>feedstock/policy shock-to-scenario matrix</w:t>
      </w:r>
      <w:r>
        <w:t xml:space="preserve">, and </w:t>
      </w:r>
      <w:r>
        <w:rPr>
          <w:b/>
          <w:bCs/>
        </w:rPr>
        <w:t>basis anomaly triage</w:t>
      </w:r>
      <w:r>
        <w:t xml:space="preserve">—all designed for experienced commercial audiences. </w:t>
      </w:r>
      <w:hyperlink r:id="rId62">
        <w:r>
          <w:rPr>
            <w:rStyle w:val="Hyperlink"/>
          </w:rPr>
          <w:t>[43]</w:t>
        </w:r>
      </w:hyperlink>
    </w:p>
    <w:p w14:paraId="6A000388" w14:textId="77777777" w:rsidR="00E36FCD" w:rsidRDefault="00000000">
      <w:pPr>
        <w:pStyle w:val="BodyText"/>
      </w:pPr>
      <w:r>
        <w:t xml:space="preserve">I’m an agricultural economist and former Head of Agricultural Analytics at Round Lakes Companies (RLC). I’m currently building an LLM-driven commodity intelligence platform under RLC that uses medallion data layers (Bronze/Silver/Gold), a multi-agent design, and explicit guardrails to produce </w:t>
      </w:r>
      <w:r>
        <w:rPr>
          <w:b/>
          <w:bCs/>
        </w:rPr>
        <w:t>source-linked, replayable outputs</w:t>
      </w:r>
      <w:r>
        <w:t xml:space="preserve">. (Some platform details are proprietary; happy to share a 1‑page overview under NDA if appropriate.) </w:t>
      </w:r>
      <w:hyperlink r:id="rId63">
        <w:r>
          <w:rPr>
            <w:rStyle w:val="Hyperlink"/>
          </w:rPr>
          <w:t>[35]</w:t>
        </w:r>
      </w:hyperlink>
    </w:p>
    <w:p w14:paraId="1D945CBD" w14:textId="77777777" w:rsidR="00E36FCD" w:rsidRDefault="00000000">
      <w:pPr>
        <w:pStyle w:val="BodyText"/>
      </w:pPr>
      <w:r>
        <w:rPr>
          <w:b/>
          <w:bCs/>
        </w:rPr>
        <w:t>CTA option A:</w:t>
      </w:r>
      <w:r>
        <w:t xml:space="preserve"> If this fits your program, what is the preferred process for submitting a formal abstract and speaker details?</w:t>
      </w:r>
      <w:r>
        <w:br/>
      </w:r>
      <w:r>
        <w:rPr>
          <w:b/>
          <w:bCs/>
        </w:rPr>
        <w:t>CTA option B:</w:t>
      </w:r>
      <w:r>
        <w:t xml:space="preserve"> I can send a one-page abstract and draft slide outline within 48 hours—who is the best person to review it?</w:t>
      </w:r>
    </w:p>
    <w:p w14:paraId="5FB67A74" w14:textId="77777777" w:rsidR="00E36FCD" w:rsidRDefault="00000000">
      <w:pPr>
        <w:pStyle w:val="BodyText"/>
      </w:pPr>
      <w:r>
        <w:t>Best regards,</w:t>
      </w:r>
      <w:r>
        <w:br/>
        <w:t>Tore Alden</w:t>
      </w:r>
      <w:r>
        <w:br/>
        <w:t>Founder, Round Lakes Companies (RLC)</w:t>
      </w:r>
      <w:r>
        <w:br/>
        <w:t>[Email] | [Phone] | [LinkedIn]</w:t>
      </w:r>
    </w:p>
    <w:p w14:paraId="76848C07" w14:textId="77777777" w:rsidR="00E36FCD" w:rsidRDefault="00000000">
      <w:pPr>
        <w:pStyle w:val="Heading3"/>
      </w:pPr>
      <w:bookmarkStart w:id="11" w:name="speaker-bio"/>
      <w:bookmarkEnd w:id="10"/>
      <w:r>
        <w:t>Speaker bio</w:t>
      </w:r>
    </w:p>
    <w:p w14:paraId="55FCEB38" w14:textId="77777777" w:rsidR="00E36FCD" w:rsidRDefault="00000000">
      <w:pPr>
        <w:pStyle w:val="FirstParagraph"/>
      </w:pPr>
      <w:r>
        <w:t>Tore Alden is an agricultural economist and former Head of Agricultural Analytics at Round Lakes Companies (RLC). He builds decision-grade commodity intelligence systems for commercial and analytical teams. He is currently developing an LLM-driven commodity intelligence platform under RLC focused on audit-first workflows that combine validated data engineering (Bronze/Silver/Gold medallion layers), multi-agent analysis, retrieval-</w:t>
      </w:r>
      <w:r>
        <w:lastRenderedPageBreak/>
        <w:t xml:space="preserve">grounded drafting, and explicit risk controls to turn high-volume market inputs into reproducible, source-linked insight across feedstocks, biofuels, and global grain trade. </w:t>
      </w:r>
      <w:hyperlink r:id="rId64">
        <w:r>
          <w:rPr>
            <w:rStyle w:val="Hyperlink"/>
          </w:rPr>
          <w:t>[27]</w:t>
        </w:r>
      </w:hyperlink>
    </w:p>
    <w:p w14:paraId="62D894CA" w14:textId="77777777" w:rsidR="00E36FCD" w:rsidRDefault="00000000">
      <w:pPr>
        <w:pStyle w:val="Heading2"/>
      </w:pPr>
      <w:bookmarkStart w:id="12" w:name="X9a8bd71106307683f89de13c1cf1f11e6a3d7c1"/>
      <w:bookmarkEnd w:id="9"/>
      <w:bookmarkEnd w:id="11"/>
      <w:r>
        <w:t>Additional conferences and events to target</w:t>
      </w:r>
    </w:p>
    <w:p w14:paraId="29D0F43B" w14:textId="77777777" w:rsidR="00E36FCD" w:rsidRDefault="00000000">
      <w:pPr>
        <w:pStyle w:val="FirstParagraph"/>
      </w:pPr>
      <w:r>
        <w:t xml:space="preserve">The list below contains </w:t>
      </w:r>
      <w:r>
        <w:rPr>
          <w:b/>
          <w:bCs/>
        </w:rPr>
        <w:t>12 additional</w:t>
      </w:r>
      <w:r>
        <w:t xml:space="preserve"> targets (beyond AFOA, Fastmarkets Biofuels &amp; Feedstocks Americas, and Geneva grains). It includes </w:t>
      </w:r>
      <w:r>
        <w:rPr>
          <w:b/>
          <w:bCs/>
        </w:rPr>
        <w:t>at least 4 events in South America and at least 4 in Asia</w:t>
      </w:r>
      <w:r>
        <w:t xml:space="preserve">. Any missing speaker-submission deadlines are marked </w:t>
      </w:r>
      <w:r>
        <w:rPr>
          <w:b/>
          <w:bCs/>
        </w:rPr>
        <w:t>unspecified</w:t>
      </w:r>
      <w:r>
        <w:t>.</w:t>
      </w:r>
    </w:p>
    <w:tbl>
      <w:tblPr>
        <w:tblStyle w:val="Table"/>
        <w:tblW w:w="0" w:type="auto"/>
        <w:tblLook w:val="0020" w:firstRow="1" w:lastRow="0" w:firstColumn="0" w:lastColumn="0" w:noHBand="0" w:noVBand="0"/>
      </w:tblPr>
      <w:tblGrid>
        <w:gridCol w:w="723"/>
        <w:gridCol w:w="1135"/>
        <w:gridCol w:w="814"/>
        <w:gridCol w:w="1707"/>
        <w:gridCol w:w="1133"/>
        <w:gridCol w:w="2266"/>
        <w:gridCol w:w="1582"/>
      </w:tblGrid>
      <w:tr w:rsidR="00E36FCD" w14:paraId="7A528760" w14:textId="77777777" w:rsidTr="00E36FCD">
        <w:trPr>
          <w:cnfStyle w:val="100000000000" w:firstRow="1" w:lastRow="0" w:firstColumn="0" w:lastColumn="0" w:oddVBand="0" w:evenVBand="0" w:oddHBand="0" w:evenHBand="0" w:firstRowFirstColumn="0" w:firstRowLastColumn="0" w:lastRowFirstColumn="0" w:lastRowLastColumn="0"/>
          <w:tblHeader/>
        </w:trPr>
        <w:tc>
          <w:tcPr>
            <w:tcW w:w="0" w:type="auto"/>
          </w:tcPr>
          <w:p w14:paraId="50365605" w14:textId="77777777" w:rsidR="00E36FCD" w:rsidRDefault="00000000">
            <w:pPr>
              <w:pStyle w:val="Compact"/>
              <w:jc w:val="right"/>
            </w:pPr>
            <w:r>
              <w:t>Priority</w:t>
            </w:r>
          </w:p>
        </w:tc>
        <w:tc>
          <w:tcPr>
            <w:tcW w:w="0" w:type="auto"/>
          </w:tcPr>
          <w:p w14:paraId="4F8EEECF" w14:textId="77777777" w:rsidR="00E36FCD" w:rsidRDefault="00000000">
            <w:pPr>
              <w:pStyle w:val="Compact"/>
            </w:pPr>
            <w:r>
              <w:t>Event</w:t>
            </w:r>
          </w:p>
        </w:tc>
        <w:tc>
          <w:tcPr>
            <w:tcW w:w="0" w:type="auto"/>
          </w:tcPr>
          <w:p w14:paraId="396C51BE" w14:textId="77777777" w:rsidR="00E36FCD" w:rsidRDefault="00000000">
            <w:pPr>
              <w:pStyle w:val="Compact"/>
            </w:pPr>
            <w:r>
              <w:t>Region</w:t>
            </w:r>
          </w:p>
        </w:tc>
        <w:tc>
          <w:tcPr>
            <w:tcW w:w="0" w:type="auto"/>
          </w:tcPr>
          <w:p w14:paraId="0B88B800" w14:textId="77777777" w:rsidR="00E36FCD" w:rsidRDefault="00000000">
            <w:pPr>
              <w:pStyle w:val="Compact"/>
            </w:pPr>
            <w:r>
              <w:t>Typical audience</w:t>
            </w:r>
          </w:p>
        </w:tc>
        <w:tc>
          <w:tcPr>
            <w:tcW w:w="0" w:type="auto"/>
          </w:tcPr>
          <w:p w14:paraId="1707808A" w14:textId="77777777" w:rsidR="00E36FCD" w:rsidRDefault="00000000">
            <w:pPr>
              <w:pStyle w:val="Compact"/>
            </w:pPr>
            <w:r>
              <w:t>Submission deadline</w:t>
            </w:r>
          </w:p>
        </w:tc>
        <w:tc>
          <w:tcPr>
            <w:tcW w:w="0" w:type="auto"/>
          </w:tcPr>
          <w:p w14:paraId="15DAEBE0" w14:textId="77777777" w:rsidR="00E36FCD" w:rsidRDefault="00000000">
            <w:pPr>
              <w:pStyle w:val="Compact"/>
            </w:pPr>
            <w:r>
              <w:t>Suggested talk angle</w:t>
            </w:r>
          </w:p>
        </w:tc>
        <w:tc>
          <w:tcPr>
            <w:tcW w:w="0" w:type="auto"/>
          </w:tcPr>
          <w:p w14:paraId="0A97BDA1" w14:textId="77777777" w:rsidR="00E36FCD" w:rsidRDefault="00000000">
            <w:pPr>
              <w:pStyle w:val="Compact"/>
            </w:pPr>
            <w:r>
              <w:t>Why it fits</w:t>
            </w:r>
          </w:p>
        </w:tc>
      </w:tr>
      <w:tr w:rsidR="00E36FCD" w14:paraId="624D1D99" w14:textId="77777777">
        <w:tc>
          <w:tcPr>
            <w:tcW w:w="0" w:type="auto"/>
          </w:tcPr>
          <w:p w14:paraId="4B206F6D" w14:textId="77777777" w:rsidR="00E36FCD" w:rsidRDefault="00000000">
            <w:pPr>
              <w:pStyle w:val="Compact"/>
              <w:jc w:val="right"/>
            </w:pPr>
            <w:r>
              <w:t>1</w:t>
            </w:r>
          </w:p>
        </w:tc>
        <w:tc>
          <w:tcPr>
            <w:tcW w:w="0" w:type="auto"/>
          </w:tcPr>
          <w:p w14:paraId="365F84AF" w14:textId="77777777" w:rsidR="00E36FCD" w:rsidRDefault="00000000">
            <w:pPr>
              <w:pStyle w:val="Compact"/>
            </w:pPr>
            <w:r>
              <w:t>Argus Biofuels &amp; Feedstocks Asia Conference</w:t>
            </w:r>
          </w:p>
        </w:tc>
        <w:tc>
          <w:tcPr>
            <w:tcW w:w="0" w:type="auto"/>
          </w:tcPr>
          <w:p w14:paraId="0972107C" w14:textId="77777777" w:rsidR="00E36FCD" w:rsidRDefault="00000000">
            <w:pPr>
              <w:pStyle w:val="Compact"/>
            </w:pPr>
            <w:r>
              <w:t>Asia</w:t>
            </w:r>
          </w:p>
        </w:tc>
        <w:tc>
          <w:tcPr>
            <w:tcW w:w="0" w:type="auto"/>
          </w:tcPr>
          <w:p w14:paraId="77EF0F87" w14:textId="77777777" w:rsidR="00E36FCD" w:rsidRDefault="00000000">
            <w:pPr>
              <w:pStyle w:val="Compact"/>
            </w:pPr>
            <w:r>
              <w:t>Biofuels/SAF, feedstocks, traders, airlines, policymakers</w:t>
            </w:r>
          </w:p>
        </w:tc>
        <w:tc>
          <w:tcPr>
            <w:tcW w:w="0" w:type="auto"/>
          </w:tcPr>
          <w:p w14:paraId="2933ADDF" w14:textId="77777777" w:rsidR="00E36FCD" w:rsidRDefault="00000000">
            <w:pPr>
              <w:pStyle w:val="Compact"/>
            </w:pPr>
            <w:r>
              <w:t xml:space="preserve">Unspecified (speaking interest routed via organizer contact) </w:t>
            </w:r>
            <w:hyperlink r:id="rId65">
              <w:r>
                <w:rPr>
                  <w:rStyle w:val="Hyperlink"/>
                </w:rPr>
                <w:t>[44]</w:t>
              </w:r>
            </w:hyperlink>
          </w:p>
        </w:tc>
        <w:tc>
          <w:tcPr>
            <w:tcW w:w="0" w:type="auto"/>
          </w:tcPr>
          <w:p w14:paraId="3EA2195B" w14:textId="77777777" w:rsidR="00E36FCD" w:rsidRDefault="00000000">
            <w:pPr>
              <w:pStyle w:val="Compact"/>
            </w:pPr>
            <w:r>
              <w:t>“Policy-to-margin in Asia: audit-first shock response with RIN/LCFS analogs and provenance controls”</w:t>
            </w:r>
          </w:p>
        </w:tc>
        <w:tc>
          <w:tcPr>
            <w:tcW w:w="0" w:type="auto"/>
          </w:tcPr>
          <w:p w14:paraId="6BB38DA0" w14:textId="77777777" w:rsidR="00E36FCD" w:rsidRDefault="00000000">
            <w:pPr>
              <w:pStyle w:val="Compact"/>
            </w:pPr>
            <w:r>
              <w:t xml:space="preserve">Strong fit for your Motiva SAF work (details unspecified) + your credits expertise; event dates/venue published. </w:t>
            </w:r>
            <w:hyperlink r:id="rId66">
              <w:r>
                <w:rPr>
                  <w:rStyle w:val="Hyperlink"/>
                </w:rPr>
                <w:t>[45]</w:t>
              </w:r>
            </w:hyperlink>
          </w:p>
        </w:tc>
      </w:tr>
      <w:tr w:rsidR="00E36FCD" w14:paraId="585F4463" w14:textId="77777777">
        <w:tc>
          <w:tcPr>
            <w:tcW w:w="0" w:type="auto"/>
          </w:tcPr>
          <w:p w14:paraId="437554C4" w14:textId="77777777" w:rsidR="00E36FCD" w:rsidRDefault="00000000">
            <w:pPr>
              <w:pStyle w:val="Compact"/>
              <w:jc w:val="right"/>
            </w:pPr>
            <w:r>
              <w:t>2</w:t>
            </w:r>
          </w:p>
        </w:tc>
        <w:tc>
          <w:tcPr>
            <w:tcW w:w="0" w:type="auto"/>
          </w:tcPr>
          <w:p w14:paraId="0741C969" w14:textId="77777777" w:rsidR="00E36FCD" w:rsidRDefault="00000000">
            <w:pPr>
              <w:pStyle w:val="Compact"/>
            </w:pPr>
            <w:r>
              <w:t>AGIC Asia 2026</w:t>
            </w:r>
          </w:p>
        </w:tc>
        <w:tc>
          <w:tcPr>
            <w:tcW w:w="0" w:type="auto"/>
          </w:tcPr>
          <w:p w14:paraId="01D86B55" w14:textId="77777777" w:rsidR="00E36FCD" w:rsidRDefault="00000000">
            <w:pPr>
              <w:pStyle w:val="Compact"/>
            </w:pPr>
            <w:r>
              <w:t>Asia</w:t>
            </w:r>
          </w:p>
        </w:tc>
        <w:tc>
          <w:tcPr>
            <w:tcW w:w="0" w:type="auto"/>
          </w:tcPr>
          <w:p w14:paraId="669A5978" w14:textId="77777777" w:rsidR="00E36FCD" w:rsidRDefault="00000000">
            <w:pPr>
              <w:pStyle w:val="Compact"/>
            </w:pPr>
            <w:r>
              <w:t>Grain exporters, flour/feed millers, regulators across Asia</w:t>
            </w:r>
          </w:p>
        </w:tc>
        <w:tc>
          <w:tcPr>
            <w:tcW w:w="0" w:type="auto"/>
          </w:tcPr>
          <w:p w14:paraId="4A673646" w14:textId="77777777" w:rsidR="00E36FCD" w:rsidRDefault="00000000">
            <w:pPr>
              <w:pStyle w:val="Compact"/>
            </w:pPr>
            <w:r>
              <w:t xml:space="preserve">Unspecified </w:t>
            </w:r>
            <w:hyperlink r:id="rId67">
              <w:r>
                <w:rPr>
                  <w:rStyle w:val="Hyperlink"/>
                </w:rPr>
                <w:t>[46]</w:t>
              </w:r>
            </w:hyperlink>
          </w:p>
        </w:tc>
        <w:tc>
          <w:tcPr>
            <w:tcW w:w="0" w:type="auto"/>
          </w:tcPr>
          <w:p w14:paraId="7499F890" w14:textId="77777777" w:rsidR="00E36FCD" w:rsidRDefault="00000000">
            <w:pPr>
              <w:pStyle w:val="Compact"/>
            </w:pPr>
            <w:r>
              <w:t>“Trade-grade intelligence OS: flows + quality + basis constraints with a replayable audit trail”</w:t>
            </w:r>
          </w:p>
        </w:tc>
        <w:tc>
          <w:tcPr>
            <w:tcW w:w="0" w:type="auto"/>
          </w:tcPr>
          <w:p w14:paraId="51E1A40C" w14:textId="77777777" w:rsidR="00E36FCD" w:rsidRDefault="00000000">
            <w:pPr>
              <w:pStyle w:val="Compact"/>
            </w:pPr>
            <w:r>
              <w:t xml:space="preserve">Biofuels isn’t required—this is trade workflows and procurement discipline. </w:t>
            </w:r>
            <w:hyperlink r:id="rId68">
              <w:r>
                <w:rPr>
                  <w:rStyle w:val="Hyperlink"/>
                </w:rPr>
                <w:t>[47]</w:t>
              </w:r>
            </w:hyperlink>
          </w:p>
        </w:tc>
      </w:tr>
      <w:tr w:rsidR="00E36FCD" w14:paraId="351E7B01" w14:textId="77777777">
        <w:tc>
          <w:tcPr>
            <w:tcW w:w="0" w:type="auto"/>
          </w:tcPr>
          <w:p w14:paraId="59CF769C" w14:textId="77777777" w:rsidR="00E36FCD" w:rsidRDefault="00000000">
            <w:pPr>
              <w:pStyle w:val="Compact"/>
              <w:jc w:val="right"/>
            </w:pPr>
            <w:r>
              <w:t>3</w:t>
            </w:r>
          </w:p>
        </w:tc>
        <w:tc>
          <w:tcPr>
            <w:tcW w:w="0" w:type="auto"/>
          </w:tcPr>
          <w:p w14:paraId="0706270D" w14:textId="77777777" w:rsidR="00E36FCD" w:rsidRDefault="00000000">
            <w:pPr>
              <w:pStyle w:val="Compact"/>
            </w:pPr>
            <w:r>
              <w:t>Asia-Pacific Agri-Food Innovation Summit</w:t>
            </w:r>
          </w:p>
        </w:tc>
        <w:tc>
          <w:tcPr>
            <w:tcW w:w="0" w:type="auto"/>
          </w:tcPr>
          <w:p w14:paraId="1214D22D" w14:textId="77777777" w:rsidR="00E36FCD" w:rsidRDefault="00000000">
            <w:pPr>
              <w:pStyle w:val="Compact"/>
            </w:pPr>
            <w:r>
              <w:t>Asia</w:t>
            </w:r>
          </w:p>
        </w:tc>
        <w:tc>
          <w:tcPr>
            <w:tcW w:w="0" w:type="auto"/>
          </w:tcPr>
          <w:p w14:paraId="43CFC185" w14:textId="77777777" w:rsidR="00E36FCD" w:rsidRDefault="00000000">
            <w:pPr>
              <w:pStyle w:val="Compact"/>
            </w:pPr>
            <w:r>
              <w:t>Agribusiness leaders, investors, corporates, policymakers</w:t>
            </w:r>
          </w:p>
        </w:tc>
        <w:tc>
          <w:tcPr>
            <w:tcW w:w="0" w:type="auto"/>
          </w:tcPr>
          <w:p w14:paraId="143FD580" w14:textId="77777777" w:rsidR="00E36FCD" w:rsidRDefault="00000000">
            <w:pPr>
              <w:pStyle w:val="Compact"/>
            </w:pPr>
            <w:r>
              <w:t xml:space="preserve">Unspecified </w:t>
            </w:r>
            <w:hyperlink r:id="rId69">
              <w:r>
                <w:rPr>
                  <w:rStyle w:val="Hyperlink"/>
                </w:rPr>
                <w:t>[48]</w:t>
              </w:r>
            </w:hyperlink>
          </w:p>
        </w:tc>
        <w:tc>
          <w:tcPr>
            <w:tcW w:w="0" w:type="auto"/>
          </w:tcPr>
          <w:p w14:paraId="6FEE3C3B" w14:textId="77777777" w:rsidR="00E36FCD" w:rsidRDefault="00000000">
            <w:pPr>
              <w:pStyle w:val="Compact"/>
            </w:pPr>
            <w:r>
              <w:t>“Governed GenAI as resilience infrastructure: how to make AI outputs defensible for commodity decisions”</w:t>
            </w:r>
          </w:p>
        </w:tc>
        <w:tc>
          <w:tcPr>
            <w:tcW w:w="0" w:type="auto"/>
          </w:tcPr>
          <w:p w14:paraId="21898E22" w14:textId="77777777" w:rsidR="00E36FCD" w:rsidRDefault="00000000">
            <w:pPr>
              <w:pStyle w:val="Compact"/>
            </w:pPr>
            <w:r>
              <w:t xml:space="preserve">A broad room, but ideal to position “audit-first” as the differentiator. </w:t>
            </w:r>
            <w:hyperlink r:id="rId70">
              <w:r>
                <w:rPr>
                  <w:rStyle w:val="Hyperlink"/>
                </w:rPr>
                <w:t>[49]</w:t>
              </w:r>
            </w:hyperlink>
          </w:p>
        </w:tc>
      </w:tr>
      <w:tr w:rsidR="00E36FCD" w14:paraId="282A062A" w14:textId="77777777">
        <w:tc>
          <w:tcPr>
            <w:tcW w:w="0" w:type="auto"/>
          </w:tcPr>
          <w:p w14:paraId="6D61A83B" w14:textId="77777777" w:rsidR="00E36FCD" w:rsidRDefault="00000000">
            <w:pPr>
              <w:pStyle w:val="Compact"/>
              <w:jc w:val="right"/>
            </w:pPr>
            <w:r>
              <w:t>4</w:t>
            </w:r>
          </w:p>
        </w:tc>
        <w:tc>
          <w:tcPr>
            <w:tcW w:w="0" w:type="auto"/>
          </w:tcPr>
          <w:p w14:paraId="567FDB97" w14:textId="77777777" w:rsidR="00E36FCD" w:rsidRDefault="00000000">
            <w:pPr>
              <w:pStyle w:val="Compact"/>
            </w:pPr>
            <w:r>
              <w:t xml:space="preserve">SAF APAC </w:t>
            </w:r>
            <w:r>
              <w:lastRenderedPageBreak/>
              <w:t>Summit</w:t>
            </w:r>
          </w:p>
        </w:tc>
        <w:tc>
          <w:tcPr>
            <w:tcW w:w="0" w:type="auto"/>
          </w:tcPr>
          <w:p w14:paraId="021808F3" w14:textId="77777777" w:rsidR="00E36FCD" w:rsidRDefault="00000000">
            <w:pPr>
              <w:pStyle w:val="Compact"/>
            </w:pPr>
            <w:r>
              <w:lastRenderedPageBreak/>
              <w:t>Asia</w:t>
            </w:r>
          </w:p>
        </w:tc>
        <w:tc>
          <w:tcPr>
            <w:tcW w:w="0" w:type="auto"/>
          </w:tcPr>
          <w:p w14:paraId="6F1C04A0" w14:textId="77777777" w:rsidR="00E36FCD" w:rsidRDefault="00000000">
            <w:pPr>
              <w:pStyle w:val="Compact"/>
            </w:pPr>
            <w:r>
              <w:t xml:space="preserve">SAF value chain: airlines, </w:t>
            </w:r>
            <w:r>
              <w:lastRenderedPageBreak/>
              <w:t>policy, producers, finance</w:t>
            </w:r>
          </w:p>
        </w:tc>
        <w:tc>
          <w:tcPr>
            <w:tcW w:w="0" w:type="auto"/>
          </w:tcPr>
          <w:p w14:paraId="20EA70BB" w14:textId="77777777" w:rsidR="00E36FCD" w:rsidRDefault="00000000">
            <w:pPr>
              <w:pStyle w:val="Compact"/>
            </w:pPr>
            <w:r>
              <w:lastRenderedPageBreak/>
              <w:t xml:space="preserve">Unspecified </w:t>
            </w:r>
            <w:hyperlink r:id="rId71">
              <w:r>
                <w:rPr>
                  <w:rStyle w:val="Hyperlink"/>
                </w:rPr>
                <w:t>[50]</w:t>
              </w:r>
            </w:hyperlink>
          </w:p>
        </w:tc>
        <w:tc>
          <w:tcPr>
            <w:tcW w:w="0" w:type="auto"/>
          </w:tcPr>
          <w:p w14:paraId="5CF3710D" w14:textId="77777777" w:rsidR="00E36FCD" w:rsidRDefault="00000000">
            <w:pPr>
              <w:pStyle w:val="Compact"/>
            </w:pPr>
            <w:r>
              <w:t xml:space="preserve">“SAF intelligence without hype: </w:t>
            </w:r>
            <w:r>
              <w:lastRenderedPageBreak/>
              <w:t>provenance-first pipeline from policy and feedstocks to scenarios”</w:t>
            </w:r>
          </w:p>
        </w:tc>
        <w:tc>
          <w:tcPr>
            <w:tcW w:w="0" w:type="auto"/>
          </w:tcPr>
          <w:p w14:paraId="0244E5A1" w14:textId="77777777" w:rsidR="00E36FCD" w:rsidRDefault="00000000">
            <w:pPr>
              <w:pStyle w:val="Compact"/>
            </w:pPr>
            <w:r>
              <w:lastRenderedPageBreak/>
              <w:t xml:space="preserve">Direct SAR/aviation </w:t>
            </w:r>
            <w:r>
              <w:lastRenderedPageBreak/>
              <w:t xml:space="preserve">fit; official event dates/venue and registration timeline published. </w:t>
            </w:r>
            <w:hyperlink r:id="rId72">
              <w:r>
                <w:rPr>
                  <w:rStyle w:val="Hyperlink"/>
                </w:rPr>
                <w:t>[51]</w:t>
              </w:r>
            </w:hyperlink>
          </w:p>
        </w:tc>
      </w:tr>
      <w:tr w:rsidR="00E36FCD" w14:paraId="673817F2" w14:textId="77777777">
        <w:tc>
          <w:tcPr>
            <w:tcW w:w="0" w:type="auto"/>
          </w:tcPr>
          <w:p w14:paraId="6F3B4755" w14:textId="77777777" w:rsidR="00E36FCD" w:rsidRDefault="00000000">
            <w:pPr>
              <w:pStyle w:val="Compact"/>
              <w:jc w:val="right"/>
            </w:pPr>
            <w:r>
              <w:lastRenderedPageBreak/>
              <w:t>5</w:t>
            </w:r>
          </w:p>
        </w:tc>
        <w:tc>
          <w:tcPr>
            <w:tcW w:w="0" w:type="auto"/>
          </w:tcPr>
          <w:p w14:paraId="502C830F" w14:textId="77777777" w:rsidR="00E36FCD" w:rsidRDefault="00000000">
            <w:pPr>
              <w:pStyle w:val="Compact"/>
            </w:pPr>
            <w:r>
              <w:t>Argus Biofuels &amp; Feedstocks Latin America Conference</w:t>
            </w:r>
          </w:p>
        </w:tc>
        <w:tc>
          <w:tcPr>
            <w:tcW w:w="0" w:type="auto"/>
          </w:tcPr>
          <w:p w14:paraId="56ACC7F7" w14:textId="77777777" w:rsidR="00E36FCD" w:rsidRDefault="00000000">
            <w:pPr>
              <w:pStyle w:val="Compact"/>
            </w:pPr>
            <w:r>
              <w:t>South America</w:t>
            </w:r>
          </w:p>
        </w:tc>
        <w:tc>
          <w:tcPr>
            <w:tcW w:w="0" w:type="auto"/>
          </w:tcPr>
          <w:p w14:paraId="3D802FB0" w14:textId="77777777" w:rsidR="00E36FCD" w:rsidRDefault="00000000">
            <w:pPr>
              <w:pStyle w:val="Compact"/>
            </w:pPr>
            <w:r>
              <w:t>Biofuels, feedstocks, carbon markets; Brazilian commercial ecosystem</w:t>
            </w:r>
          </w:p>
        </w:tc>
        <w:tc>
          <w:tcPr>
            <w:tcW w:w="0" w:type="auto"/>
          </w:tcPr>
          <w:p w14:paraId="79B24E6C" w14:textId="77777777" w:rsidR="00E36FCD" w:rsidRDefault="00000000">
            <w:pPr>
              <w:pStyle w:val="Compact"/>
            </w:pPr>
            <w:r>
              <w:t xml:space="preserve">Unspecified </w:t>
            </w:r>
            <w:hyperlink r:id="rId73">
              <w:r>
                <w:rPr>
                  <w:rStyle w:val="Hyperlink"/>
                </w:rPr>
                <w:t>[52]</w:t>
              </w:r>
            </w:hyperlink>
          </w:p>
        </w:tc>
        <w:tc>
          <w:tcPr>
            <w:tcW w:w="0" w:type="auto"/>
          </w:tcPr>
          <w:p w14:paraId="48777D1F" w14:textId="77777777" w:rsidR="00E36FCD" w:rsidRDefault="00000000">
            <w:pPr>
              <w:pStyle w:val="Compact"/>
            </w:pPr>
            <w:r>
              <w:t>“Brazil/LatAm feedstocks + credits: multi-agent monitoring with evidence gates and scenario packs”</w:t>
            </w:r>
          </w:p>
        </w:tc>
        <w:tc>
          <w:tcPr>
            <w:tcW w:w="0" w:type="auto"/>
          </w:tcPr>
          <w:p w14:paraId="2B07D9B7" w14:textId="77777777" w:rsidR="00E36FCD" w:rsidRDefault="00000000">
            <w:pPr>
              <w:pStyle w:val="Compact"/>
            </w:pPr>
            <w:r>
              <w:t xml:space="preserve">Official dates/venue confirmed; strong link to DATAGRO ecosystem and the RD/ethanol complex. </w:t>
            </w:r>
            <w:hyperlink r:id="rId74">
              <w:r>
                <w:rPr>
                  <w:rStyle w:val="Hyperlink"/>
                </w:rPr>
                <w:t>[53]</w:t>
              </w:r>
            </w:hyperlink>
          </w:p>
        </w:tc>
      </w:tr>
      <w:tr w:rsidR="00E36FCD" w14:paraId="5B275E7F" w14:textId="77777777">
        <w:tc>
          <w:tcPr>
            <w:tcW w:w="0" w:type="auto"/>
          </w:tcPr>
          <w:p w14:paraId="6DFB9047" w14:textId="77777777" w:rsidR="00E36FCD" w:rsidRDefault="00000000">
            <w:pPr>
              <w:pStyle w:val="Compact"/>
              <w:jc w:val="right"/>
            </w:pPr>
            <w:r>
              <w:t>6</w:t>
            </w:r>
          </w:p>
        </w:tc>
        <w:tc>
          <w:tcPr>
            <w:tcW w:w="0" w:type="auto"/>
          </w:tcPr>
          <w:p w14:paraId="66DAED2D" w14:textId="77777777" w:rsidR="00E36FCD" w:rsidRDefault="00000000">
            <w:pPr>
              <w:pStyle w:val="Compact"/>
            </w:pPr>
            <w:r>
              <w:t>Fastmarkets Feedstocks &amp; Biofuels South America 2026</w:t>
            </w:r>
          </w:p>
        </w:tc>
        <w:tc>
          <w:tcPr>
            <w:tcW w:w="0" w:type="auto"/>
          </w:tcPr>
          <w:p w14:paraId="77C9BB13" w14:textId="77777777" w:rsidR="00E36FCD" w:rsidRDefault="00000000">
            <w:pPr>
              <w:pStyle w:val="Compact"/>
            </w:pPr>
            <w:r>
              <w:t>South America</w:t>
            </w:r>
          </w:p>
        </w:tc>
        <w:tc>
          <w:tcPr>
            <w:tcW w:w="0" w:type="auto"/>
          </w:tcPr>
          <w:p w14:paraId="111ABF0B" w14:textId="77777777" w:rsidR="00E36FCD" w:rsidRDefault="00000000">
            <w:pPr>
              <w:pStyle w:val="Compact"/>
            </w:pPr>
            <w:r>
              <w:t>Brazilian crushers, grain traders, animal feed and biofuels</w:t>
            </w:r>
          </w:p>
        </w:tc>
        <w:tc>
          <w:tcPr>
            <w:tcW w:w="0" w:type="auto"/>
          </w:tcPr>
          <w:p w14:paraId="4A1FB547" w14:textId="77777777" w:rsidR="00E36FCD" w:rsidRDefault="00000000">
            <w:pPr>
              <w:pStyle w:val="Compact"/>
            </w:pPr>
            <w:r>
              <w:t xml:space="preserve">Unspecified </w:t>
            </w:r>
            <w:hyperlink r:id="rId75">
              <w:r>
                <w:rPr>
                  <w:rStyle w:val="Hyperlink"/>
                </w:rPr>
                <w:t>[54]</w:t>
              </w:r>
            </w:hyperlink>
          </w:p>
        </w:tc>
        <w:tc>
          <w:tcPr>
            <w:tcW w:w="0" w:type="auto"/>
          </w:tcPr>
          <w:p w14:paraId="3D7A4C0B" w14:textId="77777777" w:rsidR="00E36FCD" w:rsidRDefault="00000000">
            <w:pPr>
              <w:pStyle w:val="Compact"/>
            </w:pPr>
            <w:r>
              <w:t>“US biofuel policy spillover into South American crush and meal exports—auditable scenario engines”</w:t>
            </w:r>
          </w:p>
        </w:tc>
        <w:tc>
          <w:tcPr>
            <w:tcW w:w="0" w:type="auto"/>
          </w:tcPr>
          <w:p w14:paraId="17C42760" w14:textId="77777777" w:rsidR="00E36FCD" w:rsidRDefault="00000000">
            <w:pPr>
              <w:pStyle w:val="Compact"/>
            </w:pPr>
            <w:r>
              <w:t xml:space="preserve">Fastmarkets-hosted, aligned with your origin story and analytics credibility. </w:t>
            </w:r>
            <w:hyperlink r:id="rId76">
              <w:r>
                <w:rPr>
                  <w:rStyle w:val="Hyperlink"/>
                </w:rPr>
                <w:t>[54]</w:t>
              </w:r>
            </w:hyperlink>
          </w:p>
        </w:tc>
      </w:tr>
      <w:tr w:rsidR="00E36FCD" w14:paraId="0AF2D4C1" w14:textId="77777777">
        <w:tc>
          <w:tcPr>
            <w:tcW w:w="0" w:type="auto"/>
          </w:tcPr>
          <w:p w14:paraId="10611910" w14:textId="77777777" w:rsidR="00E36FCD" w:rsidRDefault="00000000">
            <w:pPr>
              <w:pStyle w:val="Compact"/>
              <w:jc w:val="right"/>
            </w:pPr>
            <w:r>
              <w:t>7</w:t>
            </w:r>
          </w:p>
        </w:tc>
        <w:tc>
          <w:tcPr>
            <w:tcW w:w="0" w:type="auto"/>
          </w:tcPr>
          <w:p w14:paraId="780B3601" w14:textId="77777777" w:rsidR="00E36FCD" w:rsidRDefault="00000000">
            <w:pPr>
              <w:pStyle w:val="Compact"/>
            </w:pPr>
            <w:r>
              <w:t>DATAGRO Opening Crop – Sugarcane, Sugar and Ethanol</w:t>
            </w:r>
          </w:p>
        </w:tc>
        <w:tc>
          <w:tcPr>
            <w:tcW w:w="0" w:type="auto"/>
          </w:tcPr>
          <w:p w14:paraId="6123B13B" w14:textId="77777777" w:rsidR="00E36FCD" w:rsidRDefault="00000000">
            <w:pPr>
              <w:pStyle w:val="Compact"/>
            </w:pPr>
            <w:r>
              <w:t>South America</w:t>
            </w:r>
          </w:p>
        </w:tc>
        <w:tc>
          <w:tcPr>
            <w:tcW w:w="0" w:type="auto"/>
          </w:tcPr>
          <w:p w14:paraId="315321CA" w14:textId="77777777" w:rsidR="00E36FCD" w:rsidRDefault="00000000">
            <w:pPr>
              <w:pStyle w:val="Compact"/>
            </w:pPr>
            <w:r>
              <w:t>Sugar-energy executives, producers, policymakers</w:t>
            </w:r>
          </w:p>
        </w:tc>
        <w:tc>
          <w:tcPr>
            <w:tcW w:w="0" w:type="auto"/>
          </w:tcPr>
          <w:p w14:paraId="5D4417CD" w14:textId="77777777" w:rsidR="00E36FCD" w:rsidRDefault="00000000">
            <w:pPr>
              <w:pStyle w:val="Compact"/>
            </w:pPr>
            <w:r>
              <w:t xml:space="preserve">Unspecified </w:t>
            </w:r>
            <w:hyperlink r:id="rId77">
              <w:r>
                <w:rPr>
                  <w:rStyle w:val="Hyperlink"/>
                </w:rPr>
                <w:t>[55]</w:t>
              </w:r>
            </w:hyperlink>
          </w:p>
        </w:tc>
        <w:tc>
          <w:tcPr>
            <w:tcW w:w="0" w:type="auto"/>
          </w:tcPr>
          <w:p w14:paraId="1851F003" w14:textId="77777777" w:rsidR="00E36FCD" w:rsidRDefault="00000000">
            <w:pPr>
              <w:pStyle w:val="Compact"/>
            </w:pPr>
            <w:r>
              <w:t>“Diff-to-brief at crop-season launch: turning outlook docs into scenario packs with lineage”</w:t>
            </w:r>
          </w:p>
        </w:tc>
        <w:tc>
          <w:tcPr>
            <w:tcW w:w="0" w:type="auto"/>
          </w:tcPr>
          <w:p w14:paraId="1A716315" w14:textId="77777777" w:rsidR="00E36FCD" w:rsidRDefault="00000000">
            <w:pPr>
              <w:pStyle w:val="Compact"/>
            </w:pPr>
            <w:r>
              <w:t xml:space="preserve">Biofuels/ethanol economics + policy + operational chain. </w:t>
            </w:r>
            <w:hyperlink r:id="rId78">
              <w:r>
                <w:rPr>
                  <w:rStyle w:val="Hyperlink"/>
                </w:rPr>
                <w:t>[55]</w:t>
              </w:r>
            </w:hyperlink>
          </w:p>
        </w:tc>
      </w:tr>
      <w:tr w:rsidR="00E36FCD" w14:paraId="35391505" w14:textId="77777777">
        <w:tc>
          <w:tcPr>
            <w:tcW w:w="0" w:type="auto"/>
          </w:tcPr>
          <w:p w14:paraId="20D8A577" w14:textId="77777777" w:rsidR="00E36FCD" w:rsidRDefault="00000000">
            <w:pPr>
              <w:pStyle w:val="Compact"/>
              <w:jc w:val="right"/>
            </w:pPr>
            <w:r>
              <w:t>8</w:t>
            </w:r>
          </w:p>
        </w:tc>
        <w:tc>
          <w:tcPr>
            <w:tcW w:w="0" w:type="auto"/>
          </w:tcPr>
          <w:p w14:paraId="3250864C" w14:textId="77777777" w:rsidR="00E36FCD" w:rsidRDefault="00000000">
            <w:pPr>
              <w:pStyle w:val="Compact"/>
            </w:pPr>
            <w:r>
              <w:t>DATAGRO Opening Crop – Soybean</w:t>
            </w:r>
            <w:r>
              <w:lastRenderedPageBreak/>
              <w:t>, Corn and Cotton</w:t>
            </w:r>
          </w:p>
        </w:tc>
        <w:tc>
          <w:tcPr>
            <w:tcW w:w="0" w:type="auto"/>
          </w:tcPr>
          <w:p w14:paraId="563CD0B3" w14:textId="77777777" w:rsidR="00E36FCD" w:rsidRDefault="00000000">
            <w:pPr>
              <w:pStyle w:val="Compact"/>
            </w:pPr>
            <w:r>
              <w:lastRenderedPageBreak/>
              <w:t>South America</w:t>
            </w:r>
          </w:p>
        </w:tc>
        <w:tc>
          <w:tcPr>
            <w:tcW w:w="0" w:type="auto"/>
          </w:tcPr>
          <w:p w14:paraId="761F3A9E" w14:textId="77777777" w:rsidR="00E36FCD" w:rsidRDefault="00000000">
            <w:pPr>
              <w:pStyle w:val="Compact"/>
            </w:pPr>
            <w:r>
              <w:t>Brazil row crop leaders; logistics and risk</w:t>
            </w:r>
          </w:p>
        </w:tc>
        <w:tc>
          <w:tcPr>
            <w:tcW w:w="0" w:type="auto"/>
          </w:tcPr>
          <w:p w14:paraId="2718A634" w14:textId="77777777" w:rsidR="00E36FCD" w:rsidRDefault="00000000">
            <w:pPr>
              <w:pStyle w:val="Compact"/>
            </w:pPr>
            <w:r>
              <w:t xml:space="preserve">Unspecified </w:t>
            </w:r>
            <w:hyperlink r:id="rId79">
              <w:r>
                <w:rPr>
                  <w:rStyle w:val="Hyperlink"/>
                </w:rPr>
                <w:t>[56]</w:t>
              </w:r>
            </w:hyperlink>
          </w:p>
        </w:tc>
        <w:tc>
          <w:tcPr>
            <w:tcW w:w="0" w:type="auto"/>
          </w:tcPr>
          <w:p w14:paraId="77ACD475" w14:textId="77777777" w:rsidR="00E36FCD" w:rsidRDefault="00000000">
            <w:pPr>
              <w:pStyle w:val="Compact"/>
            </w:pPr>
            <w:r>
              <w:t xml:space="preserve">“Weather-to-basis: NOAA ingestion + trade flows + anomaly triage with confirmation </w:t>
            </w:r>
            <w:r>
              <w:lastRenderedPageBreak/>
              <w:t>checklists”</w:t>
            </w:r>
          </w:p>
        </w:tc>
        <w:tc>
          <w:tcPr>
            <w:tcW w:w="0" w:type="auto"/>
          </w:tcPr>
          <w:p w14:paraId="3C5F75DB" w14:textId="77777777" w:rsidR="00E36FCD" w:rsidRDefault="00000000">
            <w:pPr>
              <w:pStyle w:val="Compact"/>
            </w:pPr>
            <w:r>
              <w:lastRenderedPageBreak/>
              <w:t xml:space="preserve">Perfect venue for the basis anomaly demo and </w:t>
            </w:r>
            <w:r>
              <w:lastRenderedPageBreak/>
              <w:t xml:space="preserve">NOAA pipeline proof. </w:t>
            </w:r>
            <w:hyperlink r:id="rId80">
              <w:r>
                <w:rPr>
                  <w:rStyle w:val="Hyperlink"/>
                </w:rPr>
                <w:t>[57]</w:t>
              </w:r>
            </w:hyperlink>
          </w:p>
        </w:tc>
      </w:tr>
      <w:tr w:rsidR="00E36FCD" w14:paraId="3CB68F85" w14:textId="77777777">
        <w:tc>
          <w:tcPr>
            <w:tcW w:w="0" w:type="auto"/>
          </w:tcPr>
          <w:p w14:paraId="69E83F13" w14:textId="77777777" w:rsidR="00E36FCD" w:rsidRDefault="00000000">
            <w:pPr>
              <w:pStyle w:val="Compact"/>
              <w:jc w:val="right"/>
            </w:pPr>
            <w:r>
              <w:lastRenderedPageBreak/>
              <w:t>9</w:t>
            </w:r>
          </w:p>
        </w:tc>
        <w:tc>
          <w:tcPr>
            <w:tcW w:w="0" w:type="auto"/>
          </w:tcPr>
          <w:p w14:paraId="0DC8A914" w14:textId="77777777" w:rsidR="00E36FCD" w:rsidRDefault="00000000">
            <w:pPr>
              <w:pStyle w:val="Compact"/>
            </w:pPr>
            <w:r>
              <w:t>UNEM DATAGRO International Conference on Corn Ethanol</w:t>
            </w:r>
          </w:p>
        </w:tc>
        <w:tc>
          <w:tcPr>
            <w:tcW w:w="0" w:type="auto"/>
          </w:tcPr>
          <w:p w14:paraId="660B0A54" w14:textId="77777777" w:rsidR="00E36FCD" w:rsidRDefault="00000000">
            <w:pPr>
              <w:pStyle w:val="Compact"/>
            </w:pPr>
            <w:r>
              <w:t>South America</w:t>
            </w:r>
          </w:p>
        </w:tc>
        <w:tc>
          <w:tcPr>
            <w:tcW w:w="0" w:type="auto"/>
          </w:tcPr>
          <w:p w14:paraId="50981CD8" w14:textId="77777777" w:rsidR="00E36FCD" w:rsidRDefault="00000000">
            <w:pPr>
              <w:pStyle w:val="Compact"/>
            </w:pPr>
            <w:r>
              <w:t>Corn ethanol industry, investors, government</w:t>
            </w:r>
          </w:p>
        </w:tc>
        <w:tc>
          <w:tcPr>
            <w:tcW w:w="0" w:type="auto"/>
          </w:tcPr>
          <w:p w14:paraId="76976C9F" w14:textId="77777777" w:rsidR="00E36FCD" w:rsidRDefault="00000000">
            <w:pPr>
              <w:pStyle w:val="Compact"/>
            </w:pPr>
            <w:r>
              <w:t xml:space="preserve">Unspecified </w:t>
            </w:r>
            <w:hyperlink r:id="rId81">
              <w:r>
                <w:rPr>
                  <w:rStyle w:val="Hyperlink"/>
                </w:rPr>
                <w:t>[58]</w:t>
              </w:r>
            </w:hyperlink>
          </w:p>
        </w:tc>
        <w:tc>
          <w:tcPr>
            <w:tcW w:w="0" w:type="auto"/>
          </w:tcPr>
          <w:p w14:paraId="2A2F0E04" w14:textId="77777777" w:rsidR="00E36FCD" w:rsidRDefault="00000000">
            <w:pPr>
              <w:pStyle w:val="Compact"/>
            </w:pPr>
            <w:r>
              <w:t>“Corn ethanol intelligence: plant economics + feedstock risk + policy—governed pipelines”</w:t>
            </w:r>
          </w:p>
        </w:tc>
        <w:tc>
          <w:tcPr>
            <w:tcW w:w="0" w:type="auto"/>
          </w:tcPr>
          <w:p w14:paraId="6A398BD6" w14:textId="77777777" w:rsidR="00E36FCD" w:rsidRDefault="00000000">
            <w:pPr>
              <w:pStyle w:val="Compact"/>
            </w:pPr>
            <w:r>
              <w:t xml:space="preserve">Direct match to your feedstock/logistics framing; strong Brazil ethanol context. </w:t>
            </w:r>
            <w:hyperlink r:id="rId82">
              <w:r>
                <w:rPr>
                  <w:rStyle w:val="Hyperlink"/>
                </w:rPr>
                <w:t>[58]</w:t>
              </w:r>
            </w:hyperlink>
          </w:p>
        </w:tc>
      </w:tr>
      <w:tr w:rsidR="00E36FCD" w14:paraId="1105E5D5" w14:textId="77777777">
        <w:tc>
          <w:tcPr>
            <w:tcW w:w="0" w:type="auto"/>
          </w:tcPr>
          <w:p w14:paraId="42ACC80B" w14:textId="77777777" w:rsidR="00E36FCD" w:rsidRDefault="00000000">
            <w:pPr>
              <w:pStyle w:val="Compact"/>
              <w:jc w:val="right"/>
            </w:pPr>
            <w:r>
              <w:t>10</w:t>
            </w:r>
          </w:p>
        </w:tc>
        <w:tc>
          <w:tcPr>
            <w:tcW w:w="0" w:type="auto"/>
          </w:tcPr>
          <w:p w14:paraId="798328F5" w14:textId="77777777" w:rsidR="00E36FCD" w:rsidRDefault="00000000">
            <w:pPr>
              <w:pStyle w:val="Compact"/>
            </w:pPr>
            <w:r>
              <w:t>Clean Fuels Conference</w:t>
            </w:r>
          </w:p>
        </w:tc>
        <w:tc>
          <w:tcPr>
            <w:tcW w:w="0" w:type="auto"/>
          </w:tcPr>
          <w:p w14:paraId="37C72C7A" w14:textId="77777777" w:rsidR="00E36FCD" w:rsidRDefault="00000000">
            <w:pPr>
              <w:pStyle w:val="Compact"/>
            </w:pPr>
            <w:r>
              <w:t>North America</w:t>
            </w:r>
          </w:p>
        </w:tc>
        <w:tc>
          <w:tcPr>
            <w:tcW w:w="0" w:type="auto"/>
          </w:tcPr>
          <w:p w14:paraId="6F020654" w14:textId="77777777" w:rsidR="00E36FCD" w:rsidRDefault="00000000">
            <w:pPr>
              <w:pStyle w:val="Compact"/>
            </w:pPr>
            <w:r>
              <w:t>Biodiesel/RD/SAF producers, feedstock providers, OEMs</w:t>
            </w:r>
          </w:p>
        </w:tc>
        <w:tc>
          <w:tcPr>
            <w:tcW w:w="0" w:type="auto"/>
          </w:tcPr>
          <w:p w14:paraId="3BB9C5B1" w14:textId="77777777" w:rsidR="00E36FCD" w:rsidRDefault="00000000">
            <w:pPr>
              <w:pStyle w:val="Compact"/>
            </w:pPr>
            <w:r>
              <w:t xml:space="preserve">Unspecified </w:t>
            </w:r>
            <w:hyperlink r:id="rId83">
              <w:r>
                <w:rPr>
                  <w:rStyle w:val="Hyperlink"/>
                </w:rPr>
                <w:t>[59]</w:t>
              </w:r>
            </w:hyperlink>
          </w:p>
        </w:tc>
        <w:tc>
          <w:tcPr>
            <w:tcW w:w="0" w:type="auto"/>
          </w:tcPr>
          <w:p w14:paraId="60E1F6D5" w14:textId="77777777" w:rsidR="00E36FCD" w:rsidRDefault="00000000">
            <w:pPr>
              <w:pStyle w:val="Compact"/>
            </w:pPr>
            <w:r>
              <w:t>“From RIN data to desk briefs: building an auditable credit and feedstock monitoring stack”</w:t>
            </w:r>
          </w:p>
        </w:tc>
        <w:tc>
          <w:tcPr>
            <w:tcW w:w="0" w:type="auto"/>
          </w:tcPr>
          <w:p w14:paraId="57C739EC" w14:textId="77777777" w:rsidR="00E36FCD" w:rsidRDefault="00000000">
            <w:pPr>
              <w:pStyle w:val="Compact"/>
            </w:pPr>
            <w:r>
              <w:t xml:space="preserve">Official positioning fits feedstocks + SAF; conference positioning and attendee types published. </w:t>
            </w:r>
            <w:hyperlink r:id="rId84">
              <w:r>
                <w:rPr>
                  <w:rStyle w:val="Hyperlink"/>
                </w:rPr>
                <w:t>[60]</w:t>
              </w:r>
            </w:hyperlink>
          </w:p>
        </w:tc>
      </w:tr>
      <w:tr w:rsidR="00E36FCD" w14:paraId="1DD2CB39" w14:textId="77777777">
        <w:tc>
          <w:tcPr>
            <w:tcW w:w="0" w:type="auto"/>
          </w:tcPr>
          <w:p w14:paraId="2A4EE0B7" w14:textId="77777777" w:rsidR="00E36FCD" w:rsidRDefault="00000000">
            <w:pPr>
              <w:pStyle w:val="Compact"/>
              <w:jc w:val="right"/>
            </w:pPr>
            <w:r>
              <w:t>11</w:t>
            </w:r>
          </w:p>
        </w:tc>
        <w:tc>
          <w:tcPr>
            <w:tcW w:w="0" w:type="auto"/>
          </w:tcPr>
          <w:p w14:paraId="2F0F9922" w14:textId="77777777" w:rsidR="00E36FCD" w:rsidRDefault="00000000">
            <w:pPr>
              <w:pStyle w:val="Compact"/>
            </w:pPr>
            <w:r>
              <w:t>Fuel Ethanol Workshop &amp; Expo</w:t>
            </w:r>
          </w:p>
        </w:tc>
        <w:tc>
          <w:tcPr>
            <w:tcW w:w="0" w:type="auto"/>
          </w:tcPr>
          <w:p w14:paraId="0472803A" w14:textId="77777777" w:rsidR="00E36FCD" w:rsidRDefault="00000000">
            <w:pPr>
              <w:pStyle w:val="Compact"/>
            </w:pPr>
            <w:r>
              <w:t>North America</w:t>
            </w:r>
          </w:p>
        </w:tc>
        <w:tc>
          <w:tcPr>
            <w:tcW w:w="0" w:type="auto"/>
          </w:tcPr>
          <w:p w14:paraId="37ADE080" w14:textId="77777777" w:rsidR="00E36FCD" w:rsidRDefault="00000000">
            <w:pPr>
              <w:pStyle w:val="Compact"/>
            </w:pPr>
            <w:r>
              <w:t>Ethanol producers/operators + commercial teams</w:t>
            </w:r>
          </w:p>
        </w:tc>
        <w:tc>
          <w:tcPr>
            <w:tcW w:w="0" w:type="auto"/>
          </w:tcPr>
          <w:p w14:paraId="248A6784" w14:textId="77777777" w:rsidR="00E36FCD" w:rsidRDefault="00000000">
            <w:pPr>
              <w:pStyle w:val="Compact"/>
            </w:pPr>
            <w:r>
              <w:t xml:space="preserve">Presentation ideas deadline: Jan 30, 2026 (passed) </w:t>
            </w:r>
            <w:hyperlink r:id="rId85">
              <w:r>
                <w:rPr>
                  <w:rStyle w:val="Hyperlink"/>
                </w:rPr>
                <w:t>[61]</w:t>
              </w:r>
            </w:hyperlink>
          </w:p>
        </w:tc>
        <w:tc>
          <w:tcPr>
            <w:tcW w:w="0" w:type="auto"/>
          </w:tcPr>
          <w:p w14:paraId="6CB204B3" w14:textId="77777777" w:rsidR="00E36FCD" w:rsidRDefault="00000000">
            <w:pPr>
              <w:pStyle w:val="Compact"/>
            </w:pPr>
            <w:r>
              <w:t>“Plant-to-market intelligence: medallion layers + agents for monthly and daily cadences”</w:t>
            </w:r>
          </w:p>
        </w:tc>
        <w:tc>
          <w:tcPr>
            <w:tcW w:w="0" w:type="auto"/>
          </w:tcPr>
          <w:p w14:paraId="046B2764" w14:textId="77777777" w:rsidR="00E36FCD" w:rsidRDefault="00000000">
            <w:pPr>
              <w:pStyle w:val="Compact"/>
            </w:pPr>
            <w:r>
              <w:t xml:space="preserve">Very receptive audience for workflow automation; now target 2027 invited slots if needed. </w:t>
            </w:r>
            <w:hyperlink r:id="rId86">
              <w:r>
                <w:rPr>
                  <w:rStyle w:val="Hyperlink"/>
                </w:rPr>
                <w:t>[61]</w:t>
              </w:r>
            </w:hyperlink>
          </w:p>
        </w:tc>
      </w:tr>
      <w:tr w:rsidR="00E36FCD" w14:paraId="41FA3420" w14:textId="77777777">
        <w:tc>
          <w:tcPr>
            <w:tcW w:w="0" w:type="auto"/>
          </w:tcPr>
          <w:p w14:paraId="3ACAFD68" w14:textId="77777777" w:rsidR="00E36FCD" w:rsidRDefault="00000000">
            <w:pPr>
              <w:pStyle w:val="Compact"/>
              <w:jc w:val="right"/>
            </w:pPr>
            <w:r>
              <w:t>12</w:t>
            </w:r>
          </w:p>
        </w:tc>
        <w:tc>
          <w:tcPr>
            <w:tcW w:w="0" w:type="auto"/>
          </w:tcPr>
          <w:p w14:paraId="1868655C" w14:textId="77777777" w:rsidR="00E36FCD" w:rsidRDefault="00000000">
            <w:pPr>
              <w:pStyle w:val="Compact"/>
            </w:pPr>
            <w:r>
              <w:t>IGC Grains Conference</w:t>
            </w:r>
          </w:p>
        </w:tc>
        <w:tc>
          <w:tcPr>
            <w:tcW w:w="0" w:type="auto"/>
          </w:tcPr>
          <w:p w14:paraId="78054772" w14:textId="77777777" w:rsidR="00E36FCD" w:rsidRDefault="00000000">
            <w:pPr>
              <w:pStyle w:val="Compact"/>
            </w:pPr>
            <w:r>
              <w:t>Europe</w:t>
            </w:r>
          </w:p>
        </w:tc>
        <w:tc>
          <w:tcPr>
            <w:tcW w:w="0" w:type="auto"/>
          </w:tcPr>
          <w:p w14:paraId="7D92D61F" w14:textId="77777777" w:rsidR="00E36FCD" w:rsidRDefault="00000000">
            <w:pPr>
              <w:pStyle w:val="Compact"/>
            </w:pPr>
            <w:r>
              <w:t>Global grain trade, policy and operators</w:t>
            </w:r>
          </w:p>
        </w:tc>
        <w:tc>
          <w:tcPr>
            <w:tcW w:w="0" w:type="auto"/>
          </w:tcPr>
          <w:p w14:paraId="052D7141" w14:textId="77777777" w:rsidR="00E36FCD" w:rsidRDefault="00000000">
            <w:pPr>
              <w:pStyle w:val="Compact"/>
            </w:pPr>
            <w:r>
              <w:t xml:space="preserve">Unspecified </w:t>
            </w:r>
            <w:hyperlink r:id="rId87">
              <w:r>
                <w:rPr>
                  <w:rStyle w:val="Hyperlink"/>
                </w:rPr>
                <w:t>[62]</w:t>
              </w:r>
            </w:hyperlink>
          </w:p>
        </w:tc>
        <w:tc>
          <w:tcPr>
            <w:tcW w:w="0" w:type="auto"/>
          </w:tcPr>
          <w:p w14:paraId="3B5E862F" w14:textId="77777777" w:rsidR="00E36FCD" w:rsidRDefault="00000000">
            <w:pPr>
              <w:pStyle w:val="Compact"/>
            </w:pPr>
            <w:r>
              <w:t>“Trade-grade GenAI: reconciling WASDE/AMIS/flows/weather into scenario triggers and explainable briefs”</w:t>
            </w:r>
          </w:p>
        </w:tc>
        <w:tc>
          <w:tcPr>
            <w:tcW w:w="0" w:type="auto"/>
          </w:tcPr>
          <w:p w14:paraId="344E7C10" w14:textId="77777777" w:rsidR="00E36FCD" w:rsidRDefault="00000000">
            <w:pPr>
              <w:pStyle w:val="Compact"/>
            </w:pPr>
            <w:r>
              <w:t xml:space="preserve">IGC explicitly highlights innovation in logistics and a Southeast Asia emphasis—aligned with </w:t>
            </w:r>
            <w:r>
              <w:lastRenderedPageBreak/>
              <w:t xml:space="preserve">your Geneva deck. </w:t>
            </w:r>
            <w:hyperlink r:id="rId88">
              <w:r>
                <w:rPr>
                  <w:rStyle w:val="Hyperlink"/>
                </w:rPr>
                <w:t>[63]</w:t>
              </w:r>
            </w:hyperlink>
          </w:p>
        </w:tc>
      </w:tr>
    </w:tbl>
    <w:p w14:paraId="36AE7FF3" w14:textId="77777777" w:rsidR="00E36FCD" w:rsidRDefault="00000000">
      <w:pPr>
        <w:pStyle w:val="Heading2"/>
      </w:pPr>
      <w:bookmarkStart w:id="13" w:name="X9db17a0d96f8c7fbf7ef1c3d4dcc49b6d2d2155"/>
      <w:bookmarkEnd w:id="12"/>
      <w:r>
        <w:lastRenderedPageBreak/>
        <w:t>Architecture diagram concept and WASDE-day timeline</w:t>
      </w:r>
    </w:p>
    <w:p w14:paraId="5F6F5C53" w14:textId="77777777" w:rsidR="00E36FCD" w:rsidRDefault="00000000">
      <w:pPr>
        <w:pStyle w:val="FirstParagraph"/>
      </w:pPr>
      <w:r>
        <w:t xml:space="preserve">Your “one-slide architecture” should look like a regulated commodity system: immutable inputs, progressive validation, controlled model actions, and replayable outputs. Use this slide in all three decks (AFOA: emphasize specs/logistics; Fastmarkets: credits/margins; Geneva: flows/freight/weather). The architecture choices below are supported by primary source documentation for the key input APIs and by NIST’s framing that trustworthy AI systems require risk management and documentation across the lifecycle. </w:t>
      </w:r>
      <w:hyperlink r:id="rId89">
        <w:r>
          <w:rPr>
            <w:rStyle w:val="Hyperlink"/>
          </w:rPr>
          <w:t>[64]</w:t>
        </w:r>
      </w:hyperlink>
    </w:p>
    <w:p w14:paraId="4E35CE31" w14:textId="77777777" w:rsidR="00E36FCD" w:rsidRDefault="00000000">
      <w:pPr>
        <w:pStyle w:val="Heading3"/>
      </w:pPr>
      <w:bookmarkStart w:id="14" w:name="one-page-diagram-concept"/>
      <w:r>
        <w:t>One-page diagram concept</w:t>
      </w:r>
    </w:p>
    <w:p w14:paraId="0134192D" w14:textId="77777777" w:rsidR="00E36FCD" w:rsidRDefault="00000000">
      <w:pPr>
        <w:pStyle w:val="FirstParagraph"/>
      </w:pPr>
      <w:r>
        <w:rPr>
          <w:b/>
          <w:bCs/>
        </w:rPr>
        <w:t>Left: source connectors (versioned inputs)</w:t>
      </w:r>
      <w:r>
        <w:t xml:space="preserve"> - USDA: WASDE release ingest + diff baseline. </w:t>
      </w:r>
      <w:hyperlink r:id="rId90">
        <w:r>
          <w:rPr>
            <w:rStyle w:val="Hyperlink"/>
          </w:rPr>
          <w:t>[11]</w:t>
        </w:r>
      </w:hyperlink>
      <w:r>
        <w:br/>
        <w:t xml:space="preserve">- USDA FAS PSD API (per your build): accessed via API key + Swagger endpoints (your key management details unspecified). </w:t>
      </w:r>
      <w:hyperlink r:id="rId91">
        <w:r>
          <w:rPr>
            <w:rStyle w:val="Hyperlink"/>
          </w:rPr>
          <w:t>[65]</w:t>
        </w:r>
      </w:hyperlink>
      <w:r>
        <w:br/>
        <w:t xml:space="preserve">- Census trade time series endpoints for exports/imports and agriculture classifications. </w:t>
      </w:r>
      <w:hyperlink r:id="rId92">
        <w:r>
          <w:rPr>
            <w:rStyle w:val="Hyperlink"/>
          </w:rPr>
          <w:t>[23]</w:t>
        </w:r>
      </w:hyperlink>
      <w:r>
        <w:br/>
        <w:t xml:space="preserve">- NOAA/NCEI CDO API v2 for reproducible weather/climate pulls. </w:t>
      </w:r>
      <w:hyperlink r:id="rId93">
        <w:r>
          <w:rPr>
            <w:rStyle w:val="Hyperlink"/>
          </w:rPr>
          <w:t>[19]</w:t>
        </w:r>
      </w:hyperlink>
      <w:r>
        <w:br/>
        <w:t xml:space="preserve">- EIA API v2 for energy/capacity time series and dataset discovery. </w:t>
      </w:r>
      <w:hyperlink r:id="rId94">
        <w:r>
          <w:rPr>
            <w:rStyle w:val="Hyperlink"/>
          </w:rPr>
          <w:t>[21]</w:t>
        </w:r>
      </w:hyperlink>
      <w:r>
        <w:br/>
        <w:t xml:space="preserve">- EPA RFS public data (RIN transactions, production volume, prices) and definitions. </w:t>
      </w:r>
      <w:hyperlink r:id="rId95">
        <w:r>
          <w:rPr>
            <w:rStyle w:val="Hyperlink"/>
          </w:rPr>
          <w:t>[66]</w:t>
        </w:r>
      </w:hyperlink>
      <w:r>
        <w:br/>
        <w:t>- Internal artifacts: deal notes, PDFs, project documents (OIC due diligence, HOBO study, Motiva SAF assessment) and BioTrack AI rail monitoring (details unspecified).</w:t>
      </w:r>
    </w:p>
    <w:p w14:paraId="46B691FD" w14:textId="77777777" w:rsidR="00E36FCD" w:rsidRDefault="00000000">
      <w:pPr>
        <w:pStyle w:val="BodyText"/>
      </w:pPr>
      <w:r>
        <w:rPr>
          <w:b/>
          <w:bCs/>
        </w:rPr>
        <w:t>Center: medallion layers</w:t>
      </w:r>
      <w:r>
        <w:t xml:space="preserve"> - </w:t>
      </w:r>
      <w:r>
        <w:rPr>
          <w:b/>
          <w:bCs/>
        </w:rPr>
        <w:t>Bronze:</w:t>
      </w:r>
      <w:r>
        <w:t xml:space="preserve"> immutable snapshots (PDF/HTML/API JSON) + metadata (source, retrieval time, hash).</w:t>
      </w:r>
      <w:r>
        <w:br/>
        <w:t xml:space="preserve">- </w:t>
      </w:r>
      <w:r>
        <w:rPr>
          <w:b/>
          <w:bCs/>
        </w:rPr>
        <w:t>Silver:</w:t>
      </w:r>
      <w:r>
        <w:t xml:space="preserve"> schema-bound objects (</w:t>
      </w:r>
      <w:r>
        <w:rPr>
          <w:rStyle w:val="VerbatimChar"/>
        </w:rPr>
        <w:t>policy_update</w:t>
      </w:r>
      <w:r>
        <w:t xml:space="preserve">, </w:t>
      </w:r>
      <w:r>
        <w:rPr>
          <w:rStyle w:val="VerbatimChar"/>
        </w:rPr>
        <w:t>rin_series</w:t>
      </w:r>
      <w:r>
        <w:t xml:space="preserve">, </w:t>
      </w:r>
      <w:r>
        <w:rPr>
          <w:rStyle w:val="VerbatimChar"/>
        </w:rPr>
        <w:t>psd_balance</w:t>
      </w:r>
      <w:r>
        <w:t xml:space="preserve">, </w:t>
      </w:r>
      <w:r>
        <w:rPr>
          <w:rStyle w:val="VerbatimChar"/>
        </w:rPr>
        <w:t>trade_flow_event</w:t>
      </w:r>
      <w:r>
        <w:t xml:space="preserve">, </w:t>
      </w:r>
      <w:r>
        <w:rPr>
          <w:rStyle w:val="VerbatimChar"/>
        </w:rPr>
        <w:t>weather_feature</w:t>
      </w:r>
      <w:r>
        <w:t xml:space="preserve">, </w:t>
      </w:r>
      <w:r>
        <w:rPr>
          <w:rStyle w:val="VerbatimChar"/>
        </w:rPr>
        <w:t>basis_series</w:t>
      </w:r>
      <w:r>
        <w:t>) with validation results attached.</w:t>
      </w:r>
      <w:r>
        <w:br/>
        <w:t xml:space="preserve">- </w:t>
      </w:r>
      <w:r>
        <w:rPr>
          <w:b/>
          <w:bCs/>
        </w:rPr>
        <w:t>Gold:</w:t>
      </w:r>
      <w:r>
        <w:t xml:space="preserve"> scenario matrices, briefs, dashboards, and “research objects” (data + narrative + citations + run log).</w:t>
      </w:r>
    </w:p>
    <w:p w14:paraId="650B6B0E" w14:textId="77777777" w:rsidR="00E36FCD" w:rsidRDefault="00000000">
      <w:pPr>
        <w:pStyle w:val="BodyText"/>
      </w:pPr>
      <w:r>
        <w:rPr>
          <w:b/>
          <w:bCs/>
        </w:rPr>
        <w:t>Top overlay: agent orchestration</w:t>
      </w:r>
      <w:r>
        <w:t xml:space="preserve"> - Collector agents (snapshot + tag)</w:t>
      </w:r>
      <w:r>
        <w:br/>
        <w:t>- Parser/normalizer agents (tables/text → schema)</w:t>
      </w:r>
      <w:r>
        <w:br/>
        <w:t>- Validator/reconciler agents (units/ranges/cross-source diffs/staleness)</w:t>
      </w:r>
      <w:r>
        <w:br/>
        <w:t>- Analyst agents (scenario building from Silver only)</w:t>
      </w:r>
      <w:r>
        <w:br/>
        <w:t>- Writer agents (citation-first outputs, abstain on low evidence)</w:t>
      </w:r>
    </w:p>
    <w:p w14:paraId="0216DCB8" w14:textId="77777777" w:rsidR="00E36FCD" w:rsidRDefault="00000000">
      <w:pPr>
        <w:pStyle w:val="BodyText"/>
      </w:pPr>
      <w:r>
        <w:rPr>
          <w:b/>
          <w:bCs/>
        </w:rPr>
        <w:t>Right: governance</w:t>
      </w:r>
      <w:r>
        <w:t xml:space="preserve"> - Run manifests (inputs, prompts/tools, model versions)</w:t>
      </w:r>
      <w:r>
        <w:br/>
        <w:t>- Audit log (who/what/when)</w:t>
      </w:r>
      <w:r>
        <w:br/>
        <w:t>- Human review gates for high-stakes distribution</w:t>
      </w:r>
    </w:p>
    <w:p w14:paraId="421E3026" w14:textId="77777777" w:rsidR="00E36FCD" w:rsidRDefault="00000000">
      <w:pPr>
        <w:pStyle w:val="Heading3"/>
      </w:pPr>
      <w:bookmarkStart w:id="15" w:name="mermaid-flowchart-for-the-system"/>
      <w:bookmarkEnd w:id="14"/>
      <w:r>
        <w:lastRenderedPageBreak/>
        <w:t>Mermaid flowchart for the system</w:t>
      </w:r>
    </w:p>
    <w:p w14:paraId="1B29E937" w14:textId="77777777" w:rsidR="00E36FCD" w:rsidRDefault="00000000">
      <w:pPr>
        <w:pStyle w:val="SourceCode"/>
      </w:pPr>
      <w:r>
        <w:rPr>
          <w:rStyle w:val="VerbatimChar"/>
        </w:rPr>
        <w:t>flowchart LR</w:t>
      </w:r>
      <w:r>
        <w:br/>
      </w:r>
      <w:r>
        <w:rPr>
          <w:rStyle w:val="VerbatimChar"/>
        </w:rPr>
        <w:t xml:space="preserve">  subgraph Inputs</w:t>
      </w:r>
      <w:r>
        <w:br/>
      </w:r>
      <w:r>
        <w:rPr>
          <w:rStyle w:val="VerbatimChar"/>
        </w:rPr>
        <w:t xml:space="preserve">    A[USDA WASDE releases]</w:t>
      </w:r>
      <w:r>
        <w:br/>
      </w:r>
      <w:r>
        <w:rPr>
          <w:rStyle w:val="VerbatimChar"/>
        </w:rPr>
        <w:t xml:space="preserve">    B[USDA FAS PSD API]</w:t>
      </w:r>
      <w:r>
        <w:br/>
      </w:r>
      <w:r>
        <w:rPr>
          <w:rStyle w:val="VerbatimChar"/>
        </w:rPr>
        <w:t xml:space="preserve">    C[Census Intl Trade API]</w:t>
      </w:r>
      <w:r>
        <w:br/>
      </w:r>
      <w:r>
        <w:rPr>
          <w:rStyle w:val="VerbatimChar"/>
        </w:rPr>
        <w:t xml:space="preserve">    D[NOAA NCEI CDO API]</w:t>
      </w:r>
      <w:r>
        <w:br/>
      </w:r>
      <w:r>
        <w:rPr>
          <w:rStyle w:val="VerbatimChar"/>
        </w:rPr>
        <w:t xml:space="preserve">    E[EIA API v2]</w:t>
      </w:r>
      <w:r>
        <w:br/>
      </w:r>
      <w:r>
        <w:rPr>
          <w:rStyle w:val="VerbatimChar"/>
        </w:rPr>
        <w:t xml:space="preserve">    F[EPA RFS/RIN public data]</w:t>
      </w:r>
      <w:r>
        <w:br/>
      </w:r>
      <w:r>
        <w:rPr>
          <w:rStyle w:val="VerbatimChar"/>
        </w:rPr>
        <w:t xml:space="preserve">    G[Internal docs + notes\n(OIC, HOBO, Motiva)\n+ BioTrack AI rail module]</w:t>
      </w:r>
      <w:r>
        <w:br/>
      </w:r>
      <w:r>
        <w:rPr>
          <w:rStyle w:val="VerbatimChar"/>
        </w:rPr>
        <w:t xml:space="preserve">  end</w:t>
      </w:r>
      <w:r>
        <w:br/>
      </w:r>
      <w:r>
        <w:br/>
      </w:r>
      <w:r>
        <w:rPr>
          <w:rStyle w:val="VerbatimChar"/>
        </w:rPr>
        <w:t xml:space="preserve">  subgraph Medallion</w:t>
      </w:r>
      <w:r>
        <w:br/>
      </w:r>
      <w:r>
        <w:rPr>
          <w:rStyle w:val="VerbatimChar"/>
        </w:rPr>
        <w:t xml:space="preserve">    BR[Bronze\nimmutable snapshots + metadata]</w:t>
      </w:r>
      <w:r>
        <w:br/>
      </w:r>
      <w:r>
        <w:rPr>
          <w:rStyle w:val="VerbatimChar"/>
        </w:rPr>
        <w:t xml:space="preserve">    SI[Silver\nvalidated canonical objects]</w:t>
      </w:r>
      <w:r>
        <w:br/>
      </w:r>
      <w:r>
        <w:rPr>
          <w:rStyle w:val="VerbatimChar"/>
        </w:rPr>
        <w:t xml:space="preserve">    GO[Gold\nscenarios, briefs, dashboards]</w:t>
      </w:r>
      <w:r>
        <w:br/>
      </w:r>
      <w:r>
        <w:rPr>
          <w:rStyle w:val="VerbatimChar"/>
        </w:rPr>
        <w:t xml:space="preserve">  end</w:t>
      </w:r>
      <w:r>
        <w:br/>
      </w:r>
      <w:r>
        <w:br/>
      </w:r>
      <w:r>
        <w:rPr>
          <w:rStyle w:val="VerbatimChar"/>
        </w:rPr>
        <w:t xml:space="preserve">  subgraph Agents</w:t>
      </w:r>
      <w:r>
        <w:br/>
      </w:r>
      <w:r>
        <w:rPr>
          <w:rStyle w:val="VerbatimChar"/>
        </w:rPr>
        <w:t xml:space="preserve">    C1[Collector agents\nsnapshot + tag]</w:t>
      </w:r>
      <w:r>
        <w:br/>
      </w:r>
      <w:r>
        <w:rPr>
          <w:rStyle w:val="VerbatimChar"/>
        </w:rPr>
        <w:t xml:space="preserve">    P1[Parser/Normalizer agents\nschema mapping]</w:t>
      </w:r>
      <w:r>
        <w:br/>
      </w:r>
      <w:r>
        <w:rPr>
          <w:rStyle w:val="VerbatimChar"/>
        </w:rPr>
        <w:t xml:space="preserve">    V1[Validator/Reconciler agents\nunits, ranges, diffs, staleness]</w:t>
      </w:r>
      <w:r>
        <w:br/>
      </w:r>
      <w:r>
        <w:rPr>
          <w:rStyle w:val="VerbatimChar"/>
        </w:rPr>
        <w:t xml:space="preserve">    A1[Analyst agents\nscenarios from Silver]</w:t>
      </w:r>
      <w:r>
        <w:br/>
      </w:r>
      <w:r>
        <w:rPr>
          <w:rStyle w:val="VerbatimChar"/>
        </w:rPr>
        <w:t xml:space="preserve">    W1[Writer agents\ncitation-first outputs]</w:t>
      </w:r>
      <w:r>
        <w:br/>
      </w:r>
      <w:r>
        <w:rPr>
          <w:rStyle w:val="VerbatimChar"/>
        </w:rPr>
        <w:t xml:space="preserve">  end</w:t>
      </w:r>
      <w:r>
        <w:br/>
      </w:r>
      <w:r>
        <w:br/>
      </w:r>
      <w:r>
        <w:rPr>
          <w:rStyle w:val="VerbatimChar"/>
        </w:rPr>
        <w:t xml:space="preserve">  LOG[Audit log\nrun_id, inputs, versions, approvals]</w:t>
      </w:r>
      <w:r>
        <w:br/>
      </w:r>
      <w:r>
        <w:rPr>
          <w:rStyle w:val="VerbatimChar"/>
        </w:rPr>
        <w:t xml:space="preserve">  HR[Human review gate\nhigh-stakes threshold]</w:t>
      </w:r>
      <w:r>
        <w:br/>
      </w:r>
      <w:r>
        <w:br/>
      </w:r>
      <w:r>
        <w:rPr>
          <w:rStyle w:val="VerbatimChar"/>
        </w:rPr>
        <w:t xml:space="preserve">  A--&gt;C1</w:t>
      </w:r>
      <w:r>
        <w:br/>
      </w:r>
      <w:r>
        <w:rPr>
          <w:rStyle w:val="VerbatimChar"/>
        </w:rPr>
        <w:t xml:space="preserve">  B--&gt;C1</w:t>
      </w:r>
      <w:r>
        <w:br/>
      </w:r>
      <w:r>
        <w:rPr>
          <w:rStyle w:val="VerbatimChar"/>
        </w:rPr>
        <w:t xml:space="preserve">  C--&gt;C1</w:t>
      </w:r>
      <w:r>
        <w:br/>
      </w:r>
      <w:r>
        <w:rPr>
          <w:rStyle w:val="VerbatimChar"/>
        </w:rPr>
        <w:t xml:space="preserve">  D--&gt;C1</w:t>
      </w:r>
      <w:r>
        <w:br/>
      </w:r>
      <w:r>
        <w:rPr>
          <w:rStyle w:val="VerbatimChar"/>
        </w:rPr>
        <w:t xml:space="preserve">  E--&gt;C1</w:t>
      </w:r>
      <w:r>
        <w:br/>
      </w:r>
      <w:r>
        <w:rPr>
          <w:rStyle w:val="VerbatimChar"/>
        </w:rPr>
        <w:t xml:space="preserve">  F--&gt;C1</w:t>
      </w:r>
      <w:r>
        <w:br/>
      </w:r>
      <w:r>
        <w:rPr>
          <w:rStyle w:val="VerbatimChar"/>
        </w:rPr>
        <w:t xml:space="preserve">  G--&gt;C1</w:t>
      </w:r>
      <w:r>
        <w:br/>
      </w:r>
      <w:r>
        <w:br/>
      </w:r>
      <w:r>
        <w:rPr>
          <w:rStyle w:val="VerbatimChar"/>
        </w:rPr>
        <w:t xml:space="preserve">  C1--&gt;BR</w:t>
      </w:r>
      <w:r>
        <w:br/>
      </w:r>
      <w:r>
        <w:rPr>
          <w:rStyle w:val="VerbatimChar"/>
        </w:rPr>
        <w:t xml:space="preserve">  BR--&gt;P1</w:t>
      </w:r>
      <w:r>
        <w:br/>
      </w:r>
      <w:r>
        <w:rPr>
          <w:rStyle w:val="VerbatimChar"/>
        </w:rPr>
        <w:t xml:space="preserve">  P1--&gt;V1</w:t>
      </w:r>
      <w:r>
        <w:br/>
      </w:r>
      <w:r>
        <w:rPr>
          <w:rStyle w:val="VerbatimChar"/>
        </w:rPr>
        <w:t xml:space="preserve">  V1--&gt;SI</w:t>
      </w:r>
      <w:r>
        <w:br/>
      </w:r>
      <w:r>
        <w:rPr>
          <w:rStyle w:val="VerbatimChar"/>
        </w:rPr>
        <w:t xml:space="preserve">  SI--&gt;A1</w:t>
      </w:r>
      <w:r>
        <w:br/>
      </w:r>
      <w:r>
        <w:rPr>
          <w:rStyle w:val="VerbatimChar"/>
        </w:rPr>
        <w:t xml:space="preserve">  A1--&gt;GO</w:t>
      </w:r>
      <w:r>
        <w:br/>
      </w:r>
      <w:r>
        <w:rPr>
          <w:rStyle w:val="VerbatimChar"/>
        </w:rPr>
        <w:t xml:space="preserve">  GO--&gt;W1</w:t>
      </w:r>
      <w:r>
        <w:br/>
      </w:r>
      <w:r>
        <w:rPr>
          <w:rStyle w:val="VerbatimChar"/>
        </w:rPr>
        <w:t xml:space="preserve">  W1--&gt;HR</w:t>
      </w:r>
      <w:r>
        <w:br/>
      </w:r>
      <w:r>
        <w:rPr>
          <w:rStyle w:val="VerbatimChar"/>
        </w:rPr>
        <w:t xml:space="preserve">  HR--&gt;GO</w:t>
      </w:r>
      <w:r>
        <w:br/>
      </w:r>
      <w:r>
        <w:br/>
      </w:r>
      <w:r>
        <w:rPr>
          <w:rStyle w:val="VerbatimChar"/>
        </w:rPr>
        <w:t xml:space="preserve">  C1--&gt;LOG</w:t>
      </w:r>
      <w:r>
        <w:br/>
      </w:r>
      <w:r>
        <w:rPr>
          <w:rStyle w:val="VerbatimChar"/>
        </w:rPr>
        <w:lastRenderedPageBreak/>
        <w:t xml:space="preserve">  P1--&gt;LOG</w:t>
      </w:r>
      <w:r>
        <w:br/>
      </w:r>
      <w:r>
        <w:rPr>
          <w:rStyle w:val="VerbatimChar"/>
        </w:rPr>
        <w:t xml:space="preserve">  V1--&gt;LOG</w:t>
      </w:r>
      <w:r>
        <w:br/>
      </w:r>
      <w:r>
        <w:rPr>
          <w:rStyle w:val="VerbatimChar"/>
        </w:rPr>
        <w:t xml:space="preserve">  A1--&gt;LOG</w:t>
      </w:r>
      <w:r>
        <w:br/>
      </w:r>
      <w:r>
        <w:rPr>
          <w:rStyle w:val="VerbatimChar"/>
        </w:rPr>
        <w:t xml:space="preserve">  W1--&gt;LOG</w:t>
      </w:r>
    </w:p>
    <w:p w14:paraId="31E4B16E" w14:textId="77777777" w:rsidR="00E36FCD" w:rsidRDefault="00000000">
      <w:pPr>
        <w:pStyle w:val="FirstParagraph"/>
      </w:pPr>
      <w:hyperlink r:id="rId96">
        <w:r>
          <w:rPr>
            <w:rStyle w:val="Hyperlink"/>
          </w:rPr>
          <w:t>[67]</w:t>
        </w:r>
      </w:hyperlink>
    </w:p>
    <w:p w14:paraId="2D77A99F" w14:textId="77777777" w:rsidR="00E36FCD" w:rsidRDefault="00000000">
      <w:pPr>
        <w:pStyle w:val="Heading3"/>
      </w:pPr>
      <w:bookmarkStart w:id="16" w:name="mermaid-timeline-for-wasde-day"/>
      <w:bookmarkEnd w:id="15"/>
      <w:r>
        <w:t>Mermaid timeline for WASDE-day</w:t>
      </w:r>
    </w:p>
    <w:p w14:paraId="62B2F860" w14:textId="77777777" w:rsidR="00E36FCD" w:rsidRDefault="00000000">
      <w:pPr>
        <w:pStyle w:val="FirstParagraph"/>
      </w:pPr>
      <w:r>
        <w:t xml:space="preserve">This reflects a realistic “release-to-brief” cadence (your internal measurement targets ~8 minutes to a cited brief) and USDA’s documented monthly WASDE cadence and typical noon ET release times in USDA release calendars. </w:t>
      </w:r>
      <w:hyperlink r:id="rId97">
        <w:r>
          <w:rPr>
            <w:rStyle w:val="Hyperlink"/>
          </w:rPr>
          <w:t>[68]</w:t>
        </w:r>
      </w:hyperlink>
    </w:p>
    <w:p w14:paraId="06EF5CE3" w14:textId="77777777" w:rsidR="00E36FCD" w:rsidRDefault="00000000">
      <w:pPr>
        <w:pStyle w:val="SourceCode"/>
      </w:pPr>
      <w:r>
        <w:rPr>
          <w:rStyle w:val="VerbatimChar"/>
        </w:rPr>
        <w:t>gantt</w:t>
      </w:r>
      <w:r>
        <w:br/>
      </w:r>
      <w:r>
        <w:rPr>
          <w:rStyle w:val="VerbatimChar"/>
        </w:rPr>
        <w:t xml:space="preserve">  title WASDE-day pipeline (release to cited brief)</w:t>
      </w:r>
      <w:r>
        <w:br/>
      </w:r>
      <w:r>
        <w:rPr>
          <w:rStyle w:val="VerbatimChar"/>
        </w:rPr>
        <w:t xml:space="preserve">  dateFormat  HH:mm</w:t>
      </w:r>
      <w:r>
        <w:br/>
      </w:r>
      <w:r>
        <w:rPr>
          <w:rStyle w:val="VerbatimChar"/>
        </w:rPr>
        <w:t xml:space="preserve">  axisFormat  %H:%M</w:t>
      </w:r>
      <w:r>
        <w:br/>
      </w:r>
      <w:r>
        <w:br/>
      </w:r>
      <w:r>
        <w:rPr>
          <w:rStyle w:val="VerbatimChar"/>
        </w:rPr>
        <w:t xml:space="preserve">  section Release &amp; ingestion</w:t>
      </w:r>
      <w:r>
        <w:br/>
      </w:r>
      <w:r>
        <w:rPr>
          <w:rStyle w:val="VerbatimChar"/>
        </w:rPr>
        <w:t xml:space="preserve">  WASDE released (typ. 12:00 ET)        :milestone, 12:00, 0m</w:t>
      </w:r>
      <w:r>
        <w:br/>
      </w:r>
      <w:r>
        <w:rPr>
          <w:rStyle w:val="VerbatimChar"/>
        </w:rPr>
        <w:t xml:space="preserve">  Snapshot to Bronze + metadata          :12:00, 1m</w:t>
      </w:r>
      <w:r>
        <w:br/>
      </w:r>
      <w:r>
        <w:br/>
      </w:r>
      <w:r>
        <w:rPr>
          <w:rStyle w:val="VerbatimChar"/>
        </w:rPr>
        <w:t xml:space="preserve">  section Parsing &amp; validation</w:t>
      </w:r>
      <w:r>
        <w:br/>
      </w:r>
      <w:r>
        <w:rPr>
          <w:rStyle w:val="VerbatimChar"/>
        </w:rPr>
        <w:t xml:space="preserve">  Extract target tables (oilseeds/grains):12:01, 2m</w:t>
      </w:r>
      <w:r>
        <w:br/>
      </w:r>
      <w:r>
        <w:rPr>
          <w:rStyle w:val="VerbatimChar"/>
        </w:rPr>
        <w:t xml:space="preserve">  Normalize keys/units                   :12:03, 1m</w:t>
      </w:r>
      <w:r>
        <w:br/>
      </w:r>
      <w:r>
        <w:rPr>
          <w:rStyle w:val="VerbatimChar"/>
        </w:rPr>
        <w:t xml:space="preserve">  Compute m/m deltas + outlier flags     :12:04, 2m</w:t>
      </w:r>
      <w:r>
        <w:br/>
      </w:r>
      <w:r>
        <w:rPr>
          <w:rStyle w:val="VerbatimChar"/>
        </w:rPr>
        <w:t xml:space="preserve">  Validation gates + conflict checks     :12:06, 1m</w:t>
      </w:r>
      <w:r>
        <w:br/>
      </w:r>
      <w:r>
        <w:br/>
      </w:r>
      <w:r>
        <w:rPr>
          <w:rStyle w:val="VerbatimChar"/>
        </w:rPr>
        <w:t xml:space="preserve">  section Brief production</w:t>
      </w:r>
      <w:r>
        <w:br/>
      </w:r>
      <w:r>
        <w:rPr>
          <w:rStyle w:val="VerbatimChar"/>
        </w:rPr>
        <w:t xml:space="preserve">  Draft implications (from validated objs):12:07, 1m</w:t>
      </w:r>
      <w:r>
        <w:br/>
      </w:r>
      <w:r>
        <w:rPr>
          <w:rStyle w:val="VerbatimChar"/>
        </w:rPr>
        <w:t xml:space="preserve">  Publish cited one-pager + run manifest :12:08, 1m</w:t>
      </w:r>
      <w:r>
        <w:br/>
      </w:r>
      <w:r>
        <w:br/>
      </w:r>
      <w:r>
        <w:rPr>
          <w:rStyle w:val="VerbatimChar"/>
        </w:rPr>
        <w:t xml:space="preserve">  section Review &amp; distribution</w:t>
      </w:r>
      <w:r>
        <w:br/>
      </w:r>
      <w:r>
        <w:rPr>
          <w:rStyle w:val="VerbatimChar"/>
        </w:rPr>
        <w:t xml:space="preserve">  Human review (if required)             :12:09, 5m</w:t>
      </w:r>
      <w:r>
        <w:br/>
      </w:r>
      <w:r>
        <w:rPr>
          <w:rStyle w:val="VerbatimChar"/>
        </w:rPr>
        <w:t xml:space="preserve">  Distribute to desk/dashboard           :12:14, 1m</w:t>
      </w:r>
    </w:p>
    <w:p w14:paraId="27CB140F" w14:textId="77777777" w:rsidR="00E36FCD" w:rsidRDefault="00000000">
      <w:pPr>
        <w:pStyle w:val="Heading2"/>
      </w:pPr>
      <w:bookmarkStart w:id="17" w:name="three-demo-scenarios-and-case-studies"/>
      <w:bookmarkEnd w:id="13"/>
      <w:bookmarkEnd w:id="16"/>
      <w:r>
        <w:t>Three demo scenarios and case studies</w:t>
      </w:r>
    </w:p>
    <w:p w14:paraId="34CD41A4" w14:textId="77777777" w:rsidR="00E36FCD" w:rsidRDefault="00000000">
      <w:pPr>
        <w:pStyle w:val="FirstParagraph"/>
      </w:pPr>
      <w:r>
        <w:t xml:space="preserve">Each case is designed to be runnable as either a </w:t>
      </w:r>
      <w:r>
        <w:rPr>
          <w:b/>
          <w:bCs/>
        </w:rPr>
        <w:t>live demo</w:t>
      </w:r>
      <w:r>
        <w:t xml:space="preserve"> or a </w:t>
      </w:r>
      <w:r>
        <w:rPr>
          <w:b/>
          <w:bCs/>
        </w:rPr>
        <w:t>screenshot walkthrough</w:t>
      </w:r>
      <w:r>
        <w:t xml:space="preserve">. All proprietary values are marked </w:t>
      </w:r>
      <w:r>
        <w:rPr>
          <w:b/>
          <w:bCs/>
        </w:rPr>
        <w:t>unspecified</w:t>
      </w:r>
      <w:r>
        <w:t>.</w:t>
      </w:r>
    </w:p>
    <w:p w14:paraId="415C0147" w14:textId="77777777" w:rsidR="00E36FCD" w:rsidRDefault="00000000">
      <w:pPr>
        <w:pStyle w:val="Heading3"/>
      </w:pPr>
      <w:bookmarkStart w:id="18" w:name="wasde-day"/>
      <w:r>
        <w:t>WASDE day</w:t>
      </w:r>
    </w:p>
    <w:p w14:paraId="01A9CC53" w14:textId="77777777" w:rsidR="00E36FCD" w:rsidRDefault="00000000">
      <w:pPr>
        <w:pStyle w:val="FirstParagraph"/>
      </w:pPr>
      <w:r>
        <w:rPr>
          <w:b/>
          <w:bCs/>
        </w:rPr>
        <w:t>Inputs</w:t>
      </w:r>
      <w:r>
        <w:t xml:space="preserve"> - New WASDE release (PDF/text) and prior month for diffs. </w:t>
      </w:r>
      <w:hyperlink r:id="rId98">
        <w:r>
          <w:rPr>
            <w:rStyle w:val="Hyperlink"/>
          </w:rPr>
          <w:t>[11]</w:t>
        </w:r>
      </w:hyperlink>
      <w:r>
        <w:br/>
        <w:t xml:space="preserve">- Optional PSD series pulls (your platform uses PSD APIs; exact endpoints/keys unspecified). </w:t>
      </w:r>
      <w:hyperlink r:id="rId99">
        <w:r>
          <w:rPr>
            <w:rStyle w:val="Hyperlink"/>
          </w:rPr>
          <w:t>[69]</w:t>
        </w:r>
      </w:hyperlink>
    </w:p>
    <w:p w14:paraId="6A104339" w14:textId="77777777" w:rsidR="00E36FCD" w:rsidRDefault="00000000">
      <w:pPr>
        <w:pStyle w:val="BodyText"/>
      </w:pPr>
      <w:r>
        <w:rPr>
          <w:b/>
          <w:bCs/>
        </w:rPr>
        <w:t>Agent steps</w:t>
      </w:r>
      <w:r>
        <w:t xml:space="preserve"> 1. Collector snapshots WASDE to Bronze with metadata.</w:t>
      </w:r>
      <w:r>
        <w:br/>
        <w:t>2. Parser extracts targeted tables; normalizer maps to canonical balance-sheet schema.</w:t>
      </w:r>
      <w:r>
        <w:br/>
      </w:r>
      <w:r>
        <w:lastRenderedPageBreak/>
        <w:t>3. Validator computes deltas vs prior, flags outliers, and enforces unit/key constraints.</w:t>
      </w:r>
      <w:r>
        <w:br/>
        <w:t xml:space="preserve">4. Analyst agent drafts implications and scenario triggers from </w:t>
      </w:r>
      <w:r>
        <w:rPr>
          <w:b/>
          <w:bCs/>
        </w:rPr>
        <w:t>validated</w:t>
      </w:r>
      <w:r>
        <w:t xml:space="preserve"> Silver objects only.</w:t>
      </w:r>
      <w:r>
        <w:br/>
        <w:t>5. Writer agent generates a 1‑page brief with citations back to extracted cells; run manifest logged.</w:t>
      </w:r>
    </w:p>
    <w:p w14:paraId="0CEFCEF5" w14:textId="77777777" w:rsidR="00E36FCD" w:rsidRDefault="00000000">
      <w:pPr>
        <w:pStyle w:val="BodyText"/>
      </w:pPr>
      <w:r>
        <w:rPr>
          <w:b/>
          <w:bCs/>
        </w:rPr>
        <w:t>Expected outputs</w:t>
      </w:r>
      <w:r>
        <w:t xml:space="preserve"> - Delta table (m/m changes) with links to source table cells.</w:t>
      </w:r>
      <w:r>
        <w:br/>
        <w:t>- Short “what changed / why it matters” memo with explicit uncertainty markers.</w:t>
      </w:r>
      <w:r>
        <w:br/>
        <w:t>- Dashboard refresh (Power BI integration exists per your request; implementation details unspecified).</w:t>
      </w:r>
    </w:p>
    <w:p w14:paraId="66E3457F" w14:textId="77777777" w:rsidR="00E36FCD" w:rsidRDefault="00000000">
      <w:pPr>
        <w:pStyle w:val="BodyText"/>
      </w:pPr>
      <w:r>
        <w:rPr>
          <w:b/>
          <w:bCs/>
        </w:rPr>
        <w:t>Time-to-delivery</w:t>
      </w:r>
      <w:r>
        <w:t xml:space="preserve"> - Cited draft brief: ~8–10 minutes (per your internal workflow measurement; details unspecified).</w:t>
      </w:r>
      <w:r>
        <w:br/>
        <w:t>- Reviewed and distributed: ~15–25 minutes depending on review gate.</w:t>
      </w:r>
    </w:p>
    <w:p w14:paraId="37EE17B1" w14:textId="77777777" w:rsidR="00E36FCD" w:rsidRDefault="00000000">
      <w:pPr>
        <w:pStyle w:val="Heading3"/>
      </w:pPr>
      <w:bookmarkStart w:id="19" w:name="biofuel-feedstock-shock"/>
      <w:bookmarkEnd w:id="18"/>
      <w:r>
        <w:t>Biofuel feedstock shock</w:t>
      </w:r>
    </w:p>
    <w:p w14:paraId="440FB31F" w14:textId="77777777" w:rsidR="00E36FCD" w:rsidRDefault="00000000">
      <w:pPr>
        <w:pStyle w:val="FirstParagraph"/>
      </w:pPr>
      <w:r>
        <w:rPr>
          <w:b/>
          <w:bCs/>
        </w:rPr>
        <w:t>Inputs</w:t>
      </w:r>
      <w:r>
        <w:t xml:space="preserve"> - EPA RIN definition + public RFS datasets (RIN transactions, production volumes, RIN prices). </w:t>
      </w:r>
      <w:hyperlink r:id="rId100">
        <w:r>
          <w:rPr>
            <w:rStyle w:val="Hyperlink"/>
          </w:rPr>
          <w:t>[13]</w:t>
        </w:r>
      </w:hyperlink>
      <w:r>
        <w:br/>
        <w:t xml:space="preserve">- EIA API time series for contextual energy variables (as integrated in your platform; exact series unspecified). </w:t>
      </w:r>
      <w:hyperlink r:id="rId101">
        <w:r>
          <w:rPr>
            <w:rStyle w:val="Hyperlink"/>
          </w:rPr>
          <w:t>[21]</w:t>
        </w:r>
      </w:hyperlink>
      <w:r>
        <w:br/>
        <w:t>- Internal feedstock observations + logistics signals (including BioTrack AI rail monitoring; details unspecified).</w:t>
      </w:r>
    </w:p>
    <w:p w14:paraId="29579397" w14:textId="77777777" w:rsidR="00E36FCD" w:rsidRDefault="00000000">
      <w:pPr>
        <w:pStyle w:val="BodyText"/>
      </w:pPr>
      <w:r>
        <w:rPr>
          <w:b/>
          <w:bCs/>
        </w:rPr>
        <w:t>Agent steps</w:t>
      </w:r>
      <w:r>
        <w:t xml:space="preserve"> 1. Collector snapshots updated EPA/EIA datasets to Bronze with timestamps.</w:t>
      </w:r>
      <w:r>
        <w:br/>
        <w:t xml:space="preserve">2. Parser maps to canonical objects: </w:t>
      </w:r>
      <w:r>
        <w:rPr>
          <w:rStyle w:val="VerbatimChar"/>
        </w:rPr>
        <w:t>rin_price_series</w:t>
      </w:r>
      <w:r>
        <w:t xml:space="preserve">, </w:t>
      </w:r>
      <w:r>
        <w:rPr>
          <w:rStyle w:val="VerbatimChar"/>
        </w:rPr>
        <w:t>rin_generation</w:t>
      </w:r>
      <w:r>
        <w:t xml:space="preserve">, </w:t>
      </w:r>
      <w:r>
        <w:rPr>
          <w:rStyle w:val="VerbatimChar"/>
        </w:rPr>
        <w:t>fuel_volume</w:t>
      </w:r>
      <w:r>
        <w:t>.</w:t>
      </w:r>
      <w:r>
        <w:br/>
        <w:t>3. Validators check staleness, missing weeks, abnormal jumps, and cross-source conflicts.</w:t>
      </w:r>
      <w:r>
        <w:br/>
        <w:t>4. Analyst builds a scenario matrix: feedstock and credit sensitivities (values proprietary/unspecified).</w:t>
      </w:r>
      <w:r>
        <w:br/>
        <w:t>5. Writer publishes a “shock brief” with: what changed, sensitivities, watchlist triggers, and audit pack.</w:t>
      </w:r>
    </w:p>
    <w:p w14:paraId="1FC5CDD7" w14:textId="77777777" w:rsidR="00E36FCD" w:rsidRDefault="00000000">
      <w:pPr>
        <w:pStyle w:val="BodyText"/>
      </w:pPr>
      <w:r>
        <w:rPr>
          <w:b/>
          <w:bCs/>
        </w:rPr>
        <w:t>Expected outputs</w:t>
      </w:r>
      <w:r>
        <w:t xml:space="preserve"> - Scenario matrix (Base/Bull/Bear) with explicit assumptions and confidence tags.</w:t>
      </w:r>
      <w:r>
        <w:br/>
        <w:t>- Watchlist: the next EPA datapoints that could flip the conclusion.</w:t>
      </w:r>
      <w:r>
        <w:br/>
        <w:t>- Evidence bundle: datasets + timestamps + run_id.</w:t>
      </w:r>
    </w:p>
    <w:p w14:paraId="02767D9D" w14:textId="77777777" w:rsidR="00E36FCD" w:rsidRDefault="00000000">
      <w:pPr>
        <w:pStyle w:val="BodyText"/>
      </w:pPr>
      <w:r>
        <w:rPr>
          <w:b/>
          <w:bCs/>
        </w:rPr>
        <w:t>Time-to-delivery</w:t>
      </w:r>
      <w:r>
        <w:t xml:space="preserve"> - Initial “flash” memo: ~10–20 minutes.</w:t>
      </w:r>
      <w:r>
        <w:br/>
        <w:t>- Scenario pack with review: ~30–60 minutes.</w:t>
      </w:r>
    </w:p>
    <w:p w14:paraId="16BD8E9C" w14:textId="77777777" w:rsidR="00E36FCD" w:rsidRDefault="00000000">
      <w:pPr>
        <w:pStyle w:val="Heading3"/>
      </w:pPr>
      <w:bookmarkStart w:id="20" w:name="basis-anomaly"/>
      <w:bookmarkEnd w:id="19"/>
      <w:r>
        <w:t>Basis anomaly</w:t>
      </w:r>
    </w:p>
    <w:p w14:paraId="0114AE5A" w14:textId="77777777" w:rsidR="00E36FCD" w:rsidRDefault="00000000">
      <w:pPr>
        <w:pStyle w:val="FirstParagraph"/>
      </w:pPr>
      <w:r>
        <w:rPr>
          <w:b/>
          <w:bCs/>
        </w:rPr>
        <w:t>Inputs</w:t>
      </w:r>
      <w:r>
        <w:t xml:space="preserve"> - CME benchmark futures context (contracts used as reference; exact contract selection unspecified). </w:t>
      </w:r>
      <w:hyperlink r:id="rId102">
        <w:r>
          <w:rPr>
            <w:rStyle w:val="Hyperlink"/>
          </w:rPr>
          <w:t>[15]</w:t>
        </w:r>
      </w:hyperlink>
      <w:r>
        <w:br/>
        <w:t xml:space="preserve">- Census trade API pulls for flow confirmation (if needed). </w:t>
      </w:r>
      <w:hyperlink r:id="rId103">
        <w:r>
          <w:rPr>
            <w:rStyle w:val="Hyperlink"/>
          </w:rPr>
          <w:t>[23]</w:t>
        </w:r>
      </w:hyperlink>
      <w:r>
        <w:br/>
      </w:r>
      <w:r>
        <w:lastRenderedPageBreak/>
        <w:t xml:space="preserve">- NOAA CDO weather features for localized disruption checks. </w:t>
      </w:r>
      <w:hyperlink r:id="rId104">
        <w:r>
          <w:rPr>
            <w:rStyle w:val="Hyperlink"/>
          </w:rPr>
          <w:t>[19]</w:t>
        </w:r>
      </w:hyperlink>
      <w:r>
        <w:br/>
        <w:t>- Internal cash/basis observations (source proprietary/unspecified).</w:t>
      </w:r>
    </w:p>
    <w:p w14:paraId="1171553E" w14:textId="77777777" w:rsidR="00E36FCD" w:rsidRDefault="00000000">
      <w:pPr>
        <w:pStyle w:val="BodyText"/>
      </w:pPr>
      <w:r>
        <w:rPr>
          <w:b/>
          <w:bCs/>
        </w:rPr>
        <w:t>Agent steps</w:t>
      </w:r>
      <w:r>
        <w:t xml:space="preserve"> 1. Validator computes basis vs futures reference, flags anomalies vs history/peer locations.</w:t>
      </w:r>
      <w:r>
        <w:br/>
        <w:t>2. Analyst generates hypothesis tree (logistics, quality, demand, policy, weather) and a confirmation checklist.</w:t>
      </w:r>
      <w:r>
        <w:br/>
        <w:t>3. Writer produces triage brief separating: observed facts vs hypotheses vs required confirmations.</w:t>
      </w:r>
      <w:r>
        <w:br/>
        <w:t>4. If confirmation evidence is insufficient or conflicting, the system abstains and escalates.</w:t>
      </w:r>
    </w:p>
    <w:p w14:paraId="43DFD4E3" w14:textId="77777777" w:rsidR="00E36FCD" w:rsidRDefault="00000000">
      <w:pPr>
        <w:pStyle w:val="BodyText"/>
      </w:pPr>
      <w:r>
        <w:rPr>
          <w:b/>
          <w:bCs/>
        </w:rPr>
        <w:t>Expected outputs</w:t>
      </w:r>
      <w:r>
        <w:t xml:space="preserve"> - Alert panel + evidence summary (what moved, where, when).</w:t>
      </w:r>
      <w:r>
        <w:br/>
        <w:t>- Hypothesis tree + checklist (“check these 5 items before acting”).</w:t>
      </w:r>
      <w:r>
        <w:br/>
        <w:t>- Audit pack: inputs, computations, and links to source objects.</w:t>
      </w:r>
    </w:p>
    <w:p w14:paraId="7CF6D1A1" w14:textId="77777777" w:rsidR="00E36FCD" w:rsidRDefault="00000000">
      <w:pPr>
        <w:pStyle w:val="BodyText"/>
      </w:pPr>
      <w:r>
        <w:rPr>
          <w:b/>
          <w:bCs/>
        </w:rPr>
        <w:t>Time-to-delivery</w:t>
      </w:r>
      <w:r>
        <w:t xml:space="preserve"> - Alert + triage brief: ~5–15 minutes.</w:t>
      </w:r>
      <w:r>
        <w:br/>
        <w:t>- Expanded hypothesis pack: ~20–40 minutes.</w:t>
      </w:r>
    </w:p>
    <w:bookmarkEnd w:id="1"/>
    <w:bookmarkEnd w:id="2"/>
    <w:bookmarkEnd w:id="17"/>
    <w:bookmarkEnd w:id="20"/>
    <w:p w14:paraId="23D508D3" w14:textId="77777777" w:rsidR="00E36FCD" w:rsidRDefault="00000000">
      <w:r>
        <w:pict w14:anchorId="35C5A4AD">
          <v:rect id="_x0000_i1025" style="width:0;height:1.5pt" o:hralign="center" o:hrstd="t" o:hr="t"/>
        </w:pict>
      </w:r>
    </w:p>
    <w:bookmarkStart w:id="21" w:name="citations"/>
    <w:p w14:paraId="3EC03987" w14:textId="77777777" w:rsidR="00E36FCD" w:rsidRDefault="00000000">
      <w:pPr>
        <w:pStyle w:val="FirstParagraph"/>
      </w:pPr>
      <w:r>
        <w:fldChar w:fldCharType="begin"/>
      </w:r>
      <w:r>
        <w:instrText>HYPERLINK "https://www.fastmarkets.com/events/biofuels-and-feedstocks-americas/" \h</w:instrText>
      </w:r>
      <w:r>
        <w:fldChar w:fldCharType="separate"/>
      </w:r>
      <w:r>
        <w:rPr>
          <w:rStyle w:val="Hyperlink"/>
        </w:rPr>
        <w:t>[1]</w:t>
      </w:r>
      <w:r>
        <w:fldChar w:fldCharType="end"/>
      </w:r>
      <w:r>
        <w:t xml:space="preserve"> </w:t>
      </w:r>
      <w:hyperlink r:id="rId105">
        <w:r>
          <w:rPr>
            <w:rStyle w:val="Hyperlink"/>
          </w:rPr>
          <w:t>[6]</w:t>
        </w:r>
      </w:hyperlink>
      <w:r>
        <w:t xml:space="preserve"> </w:t>
      </w:r>
      <w:hyperlink r:id="rId106">
        <w:r>
          <w:rPr>
            <w:rStyle w:val="Hyperlink"/>
          </w:rPr>
          <w:t>[9]</w:t>
        </w:r>
      </w:hyperlink>
      <w:r>
        <w:t xml:space="preserve"> </w:t>
      </w:r>
      <w:hyperlink r:id="rId107">
        <w:r>
          <w:rPr>
            <w:rStyle w:val="Hyperlink"/>
          </w:rPr>
          <w:t>[24]</w:t>
        </w:r>
      </w:hyperlink>
      <w:r>
        <w:t xml:space="preserve"> </w:t>
      </w:r>
      <w:hyperlink r:id="rId108">
        <w:r>
          <w:rPr>
            <w:rStyle w:val="Hyperlink"/>
          </w:rPr>
          <w:t>[31]</w:t>
        </w:r>
      </w:hyperlink>
      <w:r>
        <w:t xml:space="preserve"> </w:t>
      </w:r>
      <w:hyperlink r:id="rId109">
        <w:r>
          <w:rPr>
            <w:rStyle w:val="Hyperlink"/>
          </w:rPr>
          <w:t>[32]</w:t>
        </w:r>
      </w:hyperlink>
      <w:r>
        <w:t xml:space="preserve"> https://www.fastmarkets.com/events/biofuels-and-feedstocks-americas/</w:t>
      </w:r>
    </w:p>
    <w:p w14:paraId="6F6BD6B1" w14:textId="77777777" w:rsidR="00E36FCD" w:rsidRDefault="00000000">
      <w:pPr>
        <w:pStyle w:val="BodyText"/>
      </w:pPr>
      <w:hyperlink r:id="rId110">
        <w:r>
          <w:rPr>
            <w:rStyle w:val="Hyperlink"/>
          </w:rPr>
          <w:t>https://www.fastmarkets.com/events/biofuels-and-feedstocks-americas/</w:t>
        </w:r>
      </w:hyperlink>
    </w:p>
    <w:p w14:paraId="17183EA9" w14:textId="77777777" w:rsidR="00E36FCD" w:rsidRDefault="00000000">
      <w:pPr>
        <w:pStyle w:val="BodyText"/>
      </w:pPr>
      <w:hyperlink r:id="rId111">
        <w:r>
          <w:rPr>
            <w:rStyle w:val="Hyperlink"/>
          </w:rPr>
          <w:t>[2]</w:t>
        </w:r>
      </w:hyperlink>
      <w:r>
        <w:t xml:space="preserve"> </w:t>
      </w:r>
      <w:hyperlink r:id="rId112">
        <w:r>
          <w:rPr>
            <w:rStyle w:val="Hyperlink"/>
          </w:rPr>
          <w:t>[21]</w:t>
        </w:r>
      </w:hyperlink>
      <w:r>
        <w:t xml:space="preserve"> https://www.eia.gov/opendata/documentation.php</w:t>
      </w:r>
    </w:p>
    <w:p w14:paraId="1828A4B3" w14:textId="77777777" w:rsidR="00E36FCD" w:rsidRDefault="00000000">
      <w:pPr>
        <w:pStyle w:val="BodyText"/>
      </w:pPr>
      <w:hyperlink r:id="rId113">
        <w:r>
          <w:rPr>
            <w:rStyle w:val="Hyperlink"/>
          </w:rPr>
          <w:t>https://www.eia.gov/opendata/documentation.php</w:t>
        </w:r>
      </w:hyperlink>
    </w:p>
    <w:p w14:paraId="6A432F8E" w14:textId="77777777" w:rsidR="00E36FCD" w:rsidRDefault="00000000">
      <w:pPr>
        <w:pStyle w:val="BodyText"/>
      </w:pPr>
      <w:hyperlink r:id="rId114">
        <w:r>
          <w:rPr>
            <w:rStyle w:val="Hyperlink"/>
          </w:rPr>
          <w:t>[3]</w:t>
        </w:r>
      </w:hyperlink>
      <w:r>
        <w:t xml:space="preserve"> </w:t>
      </w:r>
      <w:hyperlink r:id="rId115">
        <w:r>
          <w:rPr>
            <w:rStyle w:val="Hyperlink"/>
          </w:rPr>
          <w:t>[11]</w:t>
        </w:r>
      </w:hyperlink>
      <w:r>
        <w:t xml:space="preserve"> </w:t>
      </w:r>
      <w:hyperlink r:id="rId116">
        <w:r>
          <w:rPr>
            <w:rStyle w:val="Hyperlink"/>
          </w:rPr>
          <w:t>[36]</w:t>
        </w:r>
      </w:hyperlink>
      <w:r>
        <w:t xml:space="preserve"> https://www.usda.gov/oce/commodity/wasde/</w:t>
      </w:r>
    </w:p>
    <w:p w14:paraId="2E845432" w14:textId="77777777" w:rsidR="00E36FCD" w:rsidRDefault="00000000">
      <w:pPr>
        <w:pStyle w:val="BodyText"/>
      </w:pPr>
      <w:hyperlink r:id="rId117">
        <w:r>
          <w:rPr>
            <w:rStyle w:val="Hyperlink"/>
          </w:rPr>
          <w:t>https://www.usda.gov/oce/commodity/wasde/</w:t>
        </w:r>
      </w:hyperlink>
    </w:p>
    <w:p w14:paraId="259ED470" w14:textId="77777777" w:rsidR="00E36FCD" w:rsidRDefault="00000000">
      <w:pPr>
        <w:pStyle w:val="BodyText"/>
      </w:pPr>
      <w:hyperlink r:id="rId118">
        <w:r>
          <w:rPr>
            <w:rStyle w:val="Hyperlink"/>
          </w:rPr>
          <w:t>[4]</w:t>
        </w:r>
      </w:hyperlink>
      <w:r>
        <w:t xml:space="preserve"> </w:t>
      </w:r>
      <w:hyperlink r:id="rId119">
        <w:r>
          <w:rPr>
            <w:rStyle w:val="Hyperlink"/>
          </w:rPr>
          <w:t>[26]</w:t>
        </w:r>
      </w:hyperlink>
      <w:r>
        <w:t xml:space="preserve"> https://fatsandoils.org/</w:t>
      </w:r>
    </w:p>
    <w:p w14:paraId="59489119" w14:textId="77777777" w:rsidR="00E36FCD" w:rsidRDefault="00000000">
      <w:pPr>
        <w:pStyle w:val="BodyText"/>
      </w:pPr>
      <w:hyperlink r:id="rId120">
        <w:r>
          <w:rPr>
            <w:rStyle w:val="Hyperlink"/>
          </w:rPr>
          <w:t>https://fatsandoils.org/</w:t>
        </w:r>
      </w:hyperlink>
    </w:p>
    <w:p w14:paraId="4FF33FB4" w14:textId="77777777" w:rsidR="00E36FCD" w:rsidRDefault="00000000">
      <w:pPr>
        <w:pStyle w:val="BodyText"/>
      </w:pPr>
      <w:hyperlink r:id="rId121">
        <w:r>
          <w:rPr>
            <w:rStyle w:val="Hyperlink"/>
          </w:rPr>
          <w:t>[5]</w:t>
        </w:r>
      </w:hyperlink>
      <w:r>
        <w:t xml:space="preserve"> </w:t>
      </w:r>
      <w:hyperlink r:id="rId122">
        <w:r>
          <w:rPr>
            <w:rStyle w:val="Hyperlink"/>
          </w:rPr>
          <w:t>[48]</w:t>
        </w:r>
      </w:hyperlink>
      <w:r>
        <w:t xml:space="preserve"> </w:t>
      </w:r>
      <w:hyperlink r:id="rId123">
        <w:r>
          <w:rPr>
            <w:rStyle w:val="Hyperlink"/>
          </w:rPr>
          <w:t>[49]</w:t>
        </w:r>
      </w:hyperlink>
      <w:r>
        <w:t xml:space="preserve"> https://agrifoodinnovation.com/</w:t>
      </w:r>
    </w:p>
    <w:p w14:paraId="41DFAB24" w14:textId="77777777" w:rsidR="00E36FCD" w:rsidRDefault="00000000">
      <w:pPr>
        <w:pStyle w:val="BodyText"/>
      </w:pPr>
      <w:hyperlink r:id="rId124">
        <w:r>
          <w:rPr>
            <w:rStyle w:val="Hyperlink"/>
          </w:rPr>
          <w:t>https://agrifoodinnovation.com/</w:t>
        </w:r>
      </w:hyperlink>
    </w:p>
    <w:p w14:paraId="3CB55A3F" w14:textId="77777777" w:rsidR="00E36FCD" w:rsidRDefault="00000000">
      <w:pPr>
        <w:pStyle w:val="BodyText"/>
      </w:pPr>
      <w:hyperlink r:id="rId125">
        <w:r>
          <w:rPr>
            <w:rStyle w:val="Hyperlink"/>
          </w:rPr>
          <w:t>[7]</w:t>
        </w:r>
      </w:hyperlink>
      <w:r>
        <w:t xml:space="preserve"> </w:t>
      </w:r>
      <w:hyperlink r:id="rId126">
        <w:r>
          <w:rPr>
            <w:rStyle w:val="Hyperlink"/>
          </w:rPr>
          <w:t>[39]</w:t>
        </w:r>
      </w:hyperlink>
      <w:r>
        <w:t xml:space="preserve"> https://www.fastmarkets.com/events/global-grain-geneva-2025/</w:t>
      </w:r>
    </w:p>
    <w:p w14:paraId="1453F862" w14:textId="77777777" w:rsidR="00E36FCD" w:rsidRDefault="00000000">
      <w:pPr>
        <w:pStyle w:val="BodyText"/>
      </w:pPr>
      <w:hyperlink r:id="rId127">
        <w:r>
          <w:rPr>
            <w:rStyle w:val="Hyperlink"/>
          </w:rPr>
          <w:t>https://www.fastmarkets.com/events/global-grain-geneva-2025/</w:t>
        </w:r>
      </w:hyperlink>
    </w:p>
    <w:p w14:paraId="746C84BD" w14:textId="77777777" w:rsidR="00E36FCD" w:rsidRDefault="00000000">
      <w:pPr>
        <w:pStyle w:val="BodyText"/>
      </w:pPr>
      <w:hyperlink r:id="rId128">
        <w:r>
          <w:rPr>
            <w:rStyle w:val="Hyperlink"/>
          </w:rPr>
          <w:t>[8]</w:t>
        </w:r>
      </w:hyperlink>
      <w:r>
        <w:t xml:space="preserve"> </w:t>
      </w:r>
      <w:hyperlink r:id="rId129">
        <w:r>
          <w:rPr>
            <w:rStyle w:val="Hyperlink"/>
          </w:rPr>
          <w:t>[17]</w:t>
        </w:r>
      </w:hyperlink>
      <w:r>
        <w:t xml:space="preserve"> </w:t>
      </w:r>
      <w:hyperlink r:id="rId130">
        <w:r>
          <w:rPr>
            <w:rStyle w:val="Hyperlink"/>
          </w:rPr>
          <w:t>[18]</w:t>
        </w:r>
      </w:hyperlink>
      <w:r>
        <w:t xml:space="preserve"> https://www.fao.org/newsroom/briefing-notes-detail/agricultural-market-information-system-%28amis%29/en</w:t>
      </w:r>
    </w:p>
    <w:p w14:paraId="022D4F42" w14:textId="77777777" w:rsidR="00E36FCD" w:rsidRDefault="00000000">
      <w:pPr>
        <w:pStyle w:val="BodyText"/>
      </w:pPr>
      <w:hyperlink r:id="rId131">
        <w:r>
          <w:rPr>
            <w:rStyle w:val="Hyperlink"/>
          </w:rPr>
          <w:t>https://www.fao.org/newsroom/briefing-notes-detail/agricultural-market-information-system-%28amis%29/en</w:t>
        </w:r>
      </w:hyperlink>
    </w:p>
    <w:p w14:paraId="1F464F8D" w14:textId="77777777" w:rsidR="00E36FCD" w:rsidRDefault="00000000">
      <w:pPr>
        <w:pStyle w:val="BodyText"/>
      </w:pPr>
      <w:hyperlink r:id="rId132">
        <w:r>
          <w:rPr>
            <w:rStyle w:val="Hyperlink"/>
          </w:rPr>
          <w:t>[10]</w:t>
        </w:r>
      </w:hyperlink>
      <w:r>
        <w:t xml:space="preserve"> </w:t>
      </w:r>
      <w:hyperlink r:id="rId133">
        <w:r>
          <w:rPr>
            <w:rStyle w:val="Hyperlink"/>
          </w:rPr>
          <w:t>[50]</w:t>
        </w:r>
      </w:hyperlink>
      <w:r>
        <w:t xml:space="preserve"> </w:t>
      </w:r>
      <w:hyperlink r:id="rId134">
        <w:r>
          <w:rPr>
            <w:rStyle w:val="Hyperlink"/>
          </w:rPr>
          <w:t>[51]</w:t>
        </w:r>
      </w:hyperlink>
      <w:r>
        <w:t xml:space="preserve"> https://www.safapacsummit.com/</w:t>
      </w:r>
    </w:p>
    <w:p w14:paraId="67668D05" w14:textId="77777777" w:rsidR="00E36FCD" w:rsidRDefault="00000000">
      <w:pPr>
        <w:pStyle w:val="BodyText"/>
      </w:pPr>
      <w:hyperlink r:id="rId135">
        <w:r>
          <w:rPr>
            <w:rStyle w:val="Hyperlink"/>
          </w:rPr>
          <w:t>https://www.safapacsummit.com/</w:t>
        </w:r>
      </w:hyperlink>
    </w:p>
    <w:p w14:paraId="643CDD85" w14:textId="77777777" w:rsidR="00E36FCD" w:rsidRDefault="00000000">
      <w:pPr>
        <w:pStyle w:val="BodyText"/>
      </w:pPr>
      <w:hyperlink r:id="rId136">
        <w:r>
          <w:rPr>
            <w:rStyle w:val="Hyperlink"/>
          </w:rPr>
          <w:t>[12]</w:t>
        </w:r>
      </w:hyperlink>
      <w:r>
        <w:t xml:space="preserve"> </w:t>
      </w:r>
      <w:hyperlink r:id="rId137">
        <w:r>
          <w:rPr>
            <w:rStyle w:val="Hyperlink"/>
          </w:rPr>
          <w:t>[27]</w:t>
        </w:r>
      </w:hyperlink>
      <w:r>
        <w:t xml:space="preserve"> </w:t>
      </w:r>
      <w:hyperlink r:id="rId138">
        <w:r>
          <w:rPr>
            <w:rStyle w:val="Hyperlink"/>
          </w:rPr>
          <w:t>[35]</w:t>
        </w:r>
      </w:hyperlink>
      <w:r>
        <w:t xml:space="preserve"> https://www.oecd.org/en/publications/2025/10/agricultural-policy-monitoring-and-evaluation-2025_354e7040/full-report/making-the-most-of-the-trade-and-environment-nexus-in-agriculture_d74b07a7.html</w:t>
      </w:r>
    </w:p>
    <w:p w14:paraId="0E0B15F4" w14:textId="77777777" w:rsidR="00E36FCD" w:rsidRDefault="00000000">
      <w:pPr>
        <w:pStyle w:val="BodyText"/>
      </w:pPr>
      <w:hyperlink r:id="rId139">
        <w:r>
          <w:rPr>
            <w:rStyle w:val="Hyperlink"/>
          </w:rPr>
          <w:t>https://www.oecd.org/en/publications/2025/10/agricultural-policy-monitoring-and-evaluation-2025_354e7040/full-report/making-the-most-of-the-trade-and-environment-nexus-in-agriculture_d74b07a7.html</w:t>
        </w:r>
      </w:hyperlink>
    </w:p>
    <w:p w14:paraId="5A55F4ED" w14:textId="77777777" w:rsidR="00E36FCD" w:rsidRDefault="00000000">
      <w:pPr>
        <w:pStyle w:val="BodyText"/>
      </w:pPr>
      <w:hyperlink r:id="rId140">
        <w:r>
          <w:rPr>
            <w:rStyle w:val="Hyperlink"/>
          </w:rPr>
          <w:t>[13]</w:t>
        </w:r>
      </w:hyperlink>
      <w:r>
        <w:t xml:space="preserve"> </w:t>
      </w:r>
      <w:hyperlink r:id="rId141">
        <w:r>
          <w:rPr>
            <w:rStyle w:val="Hyperlink"/>
          </w:rPr>
          <w:t>[30]</w:t>
        </w:r>
      </w:hyperlink>
      <w:r>
        <w:t xml:space="preserve"> </w:t>
      </w:r>
      <w:hyperlink r:id="rId142">
        <w:r>
          <w:rPr>
            <w:rStyle w:val="Hyperlink"/>
          </w:rPr>
          <w:t>[37]</w:t>
        </w:r>
      </w:hyperlink>
      <w:r>
        <w:t xml:space="preserve"> https://www.epa.gov/renewable-fuel-standard-program/renewable-identification-numbers-rins-under-renewable-fuel-standard</w:t>
      </w:r>
    </w:p>
    <w:p w14:paraId="2EA20649" w14:textId="77777777" w:rsidR="00E36FCD" w:rsidRDefault="00000000">
      <w:pPr>
        <w:pStyle w:val="BodyText"/>
      </w:pPr>
      <w:hyperlink r:id="rId143">
        <w:r>
          <w:rPr>
            <w:rStyle w:val="Hyperlink"/>
          </w:rPr>
          <w:t>https://www.epa.gov/renewable-fuel-standard-program/renewable-identification-numbers-rins-under-renewable-fuel-standard</w:t>
        </w:r>
      </w:hyperlink>
    </w:p>
    <w:p w14:paraId="18D7DE5C" w14:textId="77777777" w:rsidR="00E36FCD" w:rsidRDefault="00000000">
      <w:pPr>
        <w:pStyle w:val="BodyText"/>
      </w:pPr>
      <w:hyperlink r:id="rId144">
        <w:r>
          <w:rPr>
            <w:rStyle w:val="Hyperlink"/>
          </w:rPr>
          <w:t>[14]</w:t>
        </w:r>
      </w:hyperlink>
      <w:r>
        <w:t xml:space="preserve"> </w:t>
      </w:r>
      <w:hyperlink r:id="rId145">
        <w:r>
          <w:rPr>
            <w:rStyle w:val="Hyperlink"/>
          </w:rPr>
          <w:t>[20]</w:t>
        </w:r>
      </w:hyperlink>
      <w:r>
        <w:t xml:space="preserve"> </w:t>
      </w:r>
      <w:hyperlink r:id="rId146">
        <w:r>
          <w:rPr>
            <w:rStyle w:val="Hyperlink"/>
          </w:rPr>
          <w:t>[34]</w:t>
        </w:r>
      </w:hyperlink>
      <w:r>
        <w:t xml:space="preserve"> </w:t>
      </w:r>
      <w:hyperlink r:id="rId147">
        <w:r>
          <w:rPr>
            <w:rStyle w:val="Hyperlink"/>
          </w:rPr>
          <w:t>[66]</w:t>
        </w:r>
      </w:hyperlink>
      <w:r>
        <w:t xml:space="preserve"> https://www.epa.gov/fuels-registration-reporting-and-compliance-help/public-data-renewable-fuel-standard</w:t>
      </w:r>
    </w:p>
    <w:p w14:paraId="2C7A3FF9" w14:textId="77777777" w:rsidR="00E36FCD" w:rsidRDefault="00000000">
      <w:pPr>
        <w:pStyle w:val="BodyText"/>
      </w:pPr>
      <w:hyperlink r:id="rId148">
        <w:r>
          <w:rPr>
            <w:rStyle w:val="Hyperlink"/>
          </w:rPr>
          <w:t>https://www.epa.gov/fuels-registration-reporting-and-compliance-help/public-data-renewable-fuel-standard</w:t>
        </w:r>
      </w:hyperlink>
    </w:p>
    <w:p w14:paraId="68F4F10C" w14:textId="77777777" w:rsidR="00E36FCD" w:rsidRDefault="00000000">
      <w:pPr>
        <w:pStyle w:val="BodyText"/>
      </w:pPr>
      <w:hyperlink r:id="rId149">
        <w:r>
          <w:rPr>
            <w:rStyle w:val="Hyperlink"/>
          </w:rPr>
          <w:t>[15]</w:t>
        </w:r>
      </w:hyperlink>
      <w:r>
        <w:t xml:space="preserve"> </w:t>
      </w:r>
      <w:hyperlink r:id="rId150">
        <w:r>
          <w:rPr>
            <w:rStyle w:val="Hyperlink"/>
          </w:rPr>
          <w:t>[41]</w:t>
        </w:r>
      </w:hyperlink>
      <w:r>
        <w:t xml:space="preserve"> https://www.cmegroup.com/markets/agriculture/grain-and-oilseed.html</w:t>
      </w:r>
    </w:p>
    <w:p w14:paraId="17D03F0A" w14:textId="77777777" w:rsidR="00E36FCD" w:rsidRDefault="00000000">
      <w:pPr>
        <w:pStyle w:val="BodyText"/>
      </w:pPr>
      <w:hyperlink r:id="rId151">
        <w:r>
          <w:rPr>
            <w:rStyle w:val="Hyperlink"/>
          </w:rPr>
          <w:t>https://www.cmegroup.com/markets/agriculture/grain-and-oilseed.html</w:t>
        </w:r>
      </w:hyperlink>
    </w:p>
    <w:p w14:paraId="2B0F28C4" w14:textId="77777777" w:rsidR="00E36FCD" w:rsidRDefault="00000000">
      <w:pPr>
        <w:pStyle w:val="BodyText"/>
      </w:pPr>
      <w:hyperlink r:id="rId152">
        <w:r>
          <w:rPr>
            <w:rStyle w:val="Hyperlink"/>
          </w:rPr>
          <w:t>[16]</w:t>
        </w:r>
      </w:hyperlink>
      <w:r>
        <w:t xml:space="preserve"> </w:t>
      </w:r>
      <w:hyperlink r:id="rId153">
        <w:r>
          <w:rPr>
            <w:rStyle w:val="Hyperlink"/>
          </w:rPr>
          <w:t>[46]</w:t>
        </w:r>
      </w:hyperlink>
      <w:r>
        <w:t xml:space="preserve"> </w:t>
      </w:r>
      <w:hyperlink r:id="rId154">
        <w:r>
          <w:rPr>
            <w:rStyle w:val="Hyperlink"/>
          </w:rPr>
          <w:t>[47]</w:t>
        </w:r>
      </w:hyperlink>
      <w:r>
        <w:t xml:space="preserve"> https://agic.org.au/asia/</w:t>
      </w:r>
    </w:p>
    <w:p w14:paraId="7F9BC1A3" w14:textId="77777777" w:rsidR="00E36FCD" w:rsidRDefault="00000000">
      <w:pPr>
        <w:pStyle w:val="BodyText"/>
      </w:pPr>
      <w:hyperlink r:id="rId155">
        <w:r>
          <w:rPr>
            <w:rStyle w:val="Hyperlink"/>
          </w:rPr>
          <w:t>https://agic.org.au/asia/</w:t>
        </w:r>
      </w:hyperlink>
    </w:p>
    <w:p w14:paraId="156093A3" w14:textId="77777777" w:rsidR="00E36FCD" w:rsidRDefault="00000000">
      <w:pPr>
        <w:pStyle w:val="BodyText"/>
      </w:pPr>
      <w:hyperlink r:id="rId156">
        <w:r>
          <w:rPr>
            <w:rStyle w:val="Hyperlink"/>
          </w:rPr>
          <w:t>[19]</w:t>
        </w:r>
      </w:hyperlink>
      <w:r>
        <w:t xml:space="preserve"> </w:t>
      </w:r>
      <w:hyperlink r:id="rId157">
        <w:r>
          <w:rPr>
            <w:rStyle w:val="Hyperlink"/>
          </w:rPr>
          <w:t>[22]</w:t>
        </w:r>
      </w:hyperlink>
      <w:r>
        <w:t xml:space="preserve"> https://www.ncei.noaa.gov/cdo-web/webservices/v2</w:t>
      </w:r>
    </w:p>
    <w:p w14:paraId="350C8CC9" w14:textId="77777777" w:rsidR="00E36FCD" w:rsidRDefault="00000000">
      <w:pPr>
        <w:pStyle w:val="BodyText"/>
      </w:pPr>
      <w:hyperlink r:id="rId158">
        <w:r>
          <w:rPr>
            <w:rStyle w:val="Hyperlink"/>
          </w:rPr>
          <w:t>https://www.ncei.noaa.gov/cdo-web/webservices/v2</w:t>
        </w:r>
      </w:hyperlink>
    </w:p>
    <w:p w14:paraId="3D81DA2E" w14:textId="77777777" w:rsidR="00E36FCD" w:rsidRDefault="00000000">
      <w:pPr>
        <w:pStyle w:val="BodyText"/>
      </w:pPr>
      <w:hyperlink r:id="rId159">
        <w:r>
          <w:rPr>
            <w:rStyle w:val="Hyperlink"/>
          </w:rPr>
          <w:t>[23]</w:t>
        </w:r>
      </w:hyperlink>
      <w:r>
        <w:t xml:space="preserve"> https://api.census.gov/data/timeseries.html</w:t>
      </w:r>
    </w:p>
    <w:p w14:paraId="399BE46A" w14:textId="77777777" w:rsidR="00E36FCD" w:rsidRDefault="00000000">
      <w:pPr>
        <w:pStyle w:val="BodyText"/>
      </w:pPr>
      <w:hyperlink r:id="rId160">
        <w:r>
          <w:rPr>
            <w:rStyle w:val="Hyperlink"/>
          </w:rPr>
          <w:t>https://api.census.gov/data/timeseries.html</w:t>
        </w:r>
      </w:hyperlink>
    </w:p>
    <w:p w14:paraId="2C9677D9" w14:textId="77777777" w:rsidR="00E36FCD" w:rsidRDefault="00000000">
      <w:pPr>
        <w:pStyle w:val="BodyText"/>
      </w:pPr>
      <w:hyperlink r:id="rId161">
        <w:r>
          <w:rPr>
            <w:rStyle w:val="Hyperlink"/>
          </w:rPr>
          <w:t>[25]</w:t>
        </w:r>
      </w:hyperlink>
      <w:r>
        <w:t xml:space="preserve"> </w:t>
      </w:r>
      <w:hyperlink r:id="rId162">
        <w:r>
          <w:rPr>
            <w:rStyle w:val="Hyperlink"/>
          </w:rPr>
          <w:t>[65]</w:t>
        </w:r>
      </w:hyperlink>
      <w:r>
        <w:t xml:space="preserve"> </w:t>
      </w:r>
      <w:hyperlink r:id="rId163">
        <w:r>
          <w:rPr>
            <w:rStyle w:val="Hyperlink"/>
          </w:rPr>
          <w:t>[69]</w:t>
        </w:r>
      </w:hyperlink>
      <w:r>
        <w:t xml:space="preserve"> https://www.nass.usda.gov/Education_and_Outreach/Meeting/2020/2020-data-users-questions-answers.pdf</w:t>
      </w:r>
    </w:p>
    <w:p w14:paraId="2380824C" w14:textId="77777777" w:rsidR="00E36FCD" w:rsidRDefault="00000000">
      <w:pPr>
        <w:pStyle w:val="BodyText"/>
      </w:pPr>
      <w:hyperlink r:id="rId164">
        <w:r>
          <w:rPr>
            <w:rStyle w:val="Hyperlink"/>
          </w:rPr>
          <w:t>https://www.nass.usda.gov/Education_and_Outreach/Meeting/2020/2020-data-users-questions-answers.pdf</w:t>
        </w:r>
      </w:hyperlink>
    </w:p>
    <w:p w14:paraId="14135582" w14:textId="77777777" w:rsidR="00E36FCD" w:rsidRDefault="00000000">
      <w:pPr>
        <w:pStyle w:val="BodyText"/>
      </w:pPr>
      <w:hyperlink r:id="rId165">
        <w:r>
          <w:rPr>
            <w:rStyle w:val="Hyperlink"/>
          </w:rPr>
          <w:t>[28]</w:t>
        </w:r>
      </w:hyperlink>
      <w:r>
        <w:t xml:space="preserve"> </w:t>
      </w:r>
      <w:hyperlink r:id="rId166">
        <w:r>
          <w:rPr>
            <w:rStyle w:val="Hyperlink"/>
          </w:rPr>
          <w:t>[33]</w:t>
        </w:r>
      </w:hyperlink>
      <w:r>
        <w:t xml:space="preserve"> </w:t>
      </w:r>
      <w:hyperlink r:id="rId167">
        <w:r>
          <w:rPr>
            <w:rStyle w:val="Hyperlink"/>
          </w:rPr>
          <w:t>[38]</w:t>
        </w:r>
      </w:hyperlink>
      <w:r>
        <w:t xml:space="preserve"> </w:t>
      </w:r>
      <w:hyperlink r:id="rId168">
        <w:r>
          <w:rPr>
            <w:rStyle w:val="Hyperlink"/>
          </w:rPr>
          <w:t>[40]</w:t>
        </w:r>
      </w:hyperlink>
      <w:r>
        <w:t xml:space="preserve"> </w:t>
      </w:r>
      <w:hyperlink r:id="rId169">
        <w:r>
          <w:rPr>
            <w:rStyle w:val="Hyperlink"/>
          </w:rPr>
          <w:t>[42]</w:t>
        </w:r>
      </w:hyperlink>
      <w:r>
        <w:t xml:space="preserve"> </w:t>
      </w:r>
      <w:hyperlink r:id="rId170">
        <w:r>
          <w:rPr>
            <w:rStyle w:val="Hyperlink"/>
          </w:rPr>
          <w:t>[43]</w:t>
        </w:r>
      </w:hyperlink>
      <w:r>
        <w:t xml:space="preserve"> </w:t>
      </w:r>
      <w:hyperlink r:id="rId171">
        <w:r>
          <w:rPr>
            <w:rStyle w:val="Hyperlink"/>
          </w:rPr>
          <w:t>[64]</w:t>
        </w:r>
      </w:hyperlink>
      <w:r>
        <w:t xml:space="preserve"> </w:t>
      </w:r>
      <w:hyperlink r:id="rId172">
        <w:r>
          <w:rPr>
            <w:rStyle w:val="Hyperlink"/>
          </w:rPr>
          <w:t>[67]</w:t>
        </w:r>
      </w:hyperlink>
      <w:r>
        <w:t xml:space="preserve"> https://www.usda.gov/about-usda/general-information/staff-offices/office-chief-economist/commodity-markets/wasde-report/about-wasde</w:t>
      </w:r>
    </w:p>
    <w:p w14:paraId="44C42309" w14:textId="77777777" w:rsidR="00E36FCD" w:rsidRDefault="00000000">
      <w:pPr>
        <w:pStyle w:val="BodyText"/>
      </w:pPr>
      <w:hyperlink r:id="rId173">
        <w:r>
          <w:rPr>
            <w:rStyle w:val="Hyperlink"/>
          </w:rPr>
          <w:t>https://www.usda.gov/about-usda/general-information/staff-offices/office-chief-economist/commodity-markets/wasde-report/about-wasde</w:t>
        </w:r>
      </w:hyperlink>
    </w:p>
    <w:p w14:paraId="3380DCB3" w14:textId="77777777" w:rsidR="00E36FCD" w:rsidRDefault="00000000">
      <w:pPr>
        <w:pStyle w:val="BodyText"/>
      </w:pPr>
      <w:hyperlink r:id="rId174">
        <w:r>
          <w:rPr>
            <w:rStyle w:val="Hyperlink"/>
          </w:rPr>
          <w:t>[29]</w:t>
        </w:r>
      </w:hyperlink>
      <w:r>
        <w:t xml:space="preserve"> https://www.usda.gov/about-usda/reports-and-data/data</w:t>
      </w:r>
    </w:p>
    <w:p w14:paraId="719F7CFE" w14:textId="77777777" w:rsidR="00E36FCD" w:rsidRDefault="00000000">
      <w:pPr>
        <w:pStyle w:val="BodyText"/>
      </w:pPr>
      <w:hyperlink r:id="rId175">
        <w:r>
          <w:rPr>
            <w:rStyle w:val="Hyperlink"/>
          </w:rPr>
          <w:t>https://www.usda.gov/about-usda/reports-and-data/data</w:t>
        </w:r>
      </w:hyperlink>
    </w:p>
    <w:p w14:paraId="0E8AFE6F" w14:textId="77777777" w:rsidR="00E36FCD" w:rsidRDefault="00000000">
      <w:pPr>
        <w:pStyle w:val="BodyText"/>
      </w:pPr>
      <w:hyperlink r:id="rId176">
        <w:r>
          <w:rPr>
            <w:rStyle w:val="Hyperlink"/>
          </w:rPr>
          <w:t>[44]</w:t>
        </w:r>
      </w:hyperlink>
      <w:r>
        <w:t xml:space="preserve"> https://www.argusmedia.com/en/events/conferences/biofuels-and-feedstocks-asia-conference/agenda</w:t>
      </w:r>
    </w:p>
    <w:p w14:paraId="054F9A01" w14:textId="77777777" w:rsidR="00E36FCD" w:rsidRDefault="00000000">
      <w:pPr>
        <w:pStyle w:val="BodyText"/>
      </w:pPr>
      <w:hyperlink r:id="rId177">
        <w:r>
          <w:rPr>
            <w:rStyle w:val="Hyperlink"/>
          </w:rPr>
          <w:t>https://www.argusmedia.com/en/events/conferences/biofuels-and-feedstocks-asia-conference/agenda</w:t>
        </w:r>
      </w:hyperlink>
    </w:p>
    <w:p w14:paraId="59D3DC3F" w14:textId="77777777" w:rsidR="00E36FCD" w:rsidRDefault="00000000">
      <w:pPr>
        <w:pStyle w:val="BodyText"/>
      </w:pPr>
      <w:hyperlink r:id="rId178">
        <w:r>
          <w:rPr>
            <w:rStyle w:val="Hyperlink"/>
          </w:rPr>
          <w:t>[45]</w:t>
        </w:r>
      </w:hyperlink>
      <w:r>
        <w:t xml:space="preserve"> https://www.argusmedia.com/en/events/conferences/biofuels-and-feedstocks-asia-conference/venue</w:t>
      </w:r>
    </w:p>
    <w:p w14:paraId="2FB54C75" w14:textId="77777777" w:rsidR="00E36FCD" w:rsidRDefault="00000000">
      <w:pPr>
        <w:pStyle w:val="BodyText"/>
      </w:pPr>
      <w:hyperlink r:id="rId179">
        <w:r>
          <w:rPr>
            <w:rStyle w:val="Hyperlink"/>
          </w:rPr>
          <w:t>https://www.argusmedia.com/en/events/conferences/biofuels-and-feedstocks-asia-conference/venue</w:t>
        </w:r>
      </w:hyperlink>
    </w:p>
    <w:p w14:paraId="5942E9BD" w14:textId="77777777" w:rsidR="00E36FCD" w:rsidRDefault="00000000">
      <w:pPr>
        <w:pStyle w:val="BodyText"/>
      </w:pPr>
      <w:hyperlink r:id="rId180">
        <w:r>
          <w:rPr>
            <w:rStyle w:val="Hyperlink"/>
          </w:rPr>
          <w:t>[52]</w:t>
        </w:r>
      </w:hyperlink>
      <w:r>
        <w:t xml:space="preserve"> </w:t>
      </w:r>
      <w:hyperlink r:id="rId181">
        <w:r>
          <w:rPr>
            <w:rStyle w:val="Hyperlink"/>
          </w:rPr>
          <w:t>[53]</w:t>
        </w:r>
      </w:hyperlink>
      <w:r>
        <w:t xml:space="preserve"> https://www.argusmedia.com/en/events/conferences/latin-america-biofuels</w:t>
      </w:r>
    </w:p>
    <w:p w14:paraId="770DCB34" w14:textId="77777777" w:rsidR="00E36FCD" w:rsidRDefault="00000000">
      <w:pPr>
        <w:pStyle w:val="BodyText"/>
      </w:pPr>
      <w:hyperlink r:id="rId182">
        <w:r>
          <w:rPr>
            <w:rStyle w:val="Hyperlink"/>
          </w:rPr>
          <w:t>https://www.argusmedia.com/en/events/conferences/latin-america-biofuels</w:t>
        </w:r>
      </w:hyperlink>
    </w:p>
    <w:p w14:paraId="67397808" w14:textId="77777777" w:rsidR="00E36FCD" w:rsidRDefault="00000000">
      <w:pPr>
        <w:pStyle w:val="BodyText"/>
      </w:pPr>
      <w:hyperlink r:id="rId183">
        <w:r>
          <w:rPr>
            <w:rStyle w:val="Hyperlink"/>
          </w:rPr>
          <w:t>[54]</w:t>
        </w:r>
      </w:hyperlink>
      <w:r>
        <w:t xml:space="preserve"> https://www.fastmarkets.com/events/fastmarkets-feedstocks-biofuels-south-america/</w:t>
      </w:r>
    </w:p>
    <w:p w14:paraId="22BECBB6" w14:textId="77777777" w:rsidR="00E36FCD" w:rsidRDefault="00000000">
      <w:pPr>
        <w:pStyle w:val="BodyText"/>
      </w:pPr>
      <w:hyperlink r:id="rId184">
        <w:r>
          <w:rPr>
            <w:rStyle w:val="Hyperlink"/>
          </w:rPr>
          <w:t>https://www.fastmarkets.com/events/fastmarkets-feedstocks-biofuels-south-america/</w:t>
        </w:r>
      </w:hyperlink>
    </w:p>
    <w:p w14:paraId="0C99C1D0" w14:textId="77777777" w:rsidR="00E36FCD" w:rsidRDefault="00000000">
      <w:pPr>
        <w:pStyle w:val="BodyText"/>
      </w:pPr>
      <w:hyperlink r:id="rId185">
        <w:r>
          <w:rPr>
            <w:rStyle w:val="Hyperlink"/>
          </w:rPr>
          <w:t>[55]</w:t>
        </w:r>
      </w:hyperlink>
      <w:r>
        <w:t xml:space="preserve"> https://www.datagroconferences.com/en/eventos/datagro-opening-crop-sugarcane-sugar-ethanol-2026/</w:t>
      </w:r>
    </w:p>
    <w:p w14:paraId="01AD00FD" w14:textId="77777777" w:rsidR="00E36FCD" w:rsidRDefault="00000000">
      <w:pPr>
        <w:pStyle w:val="BodyText"/>
      </w:pPr>
      <w:hyperlink r:id="rId186">
        <w:r>
          <w:rPr>
            <w:rStyle w:val="Hyperlink"/>
          </w:rPr>
          <w:t>https://www.datagroconferences.com/en/eventos/datagro-opening-crop-sugarcane-sugar-ethanol-2026/</w:t>
        </w:r>
      </w:hyperlink>
    </w:p>
    <w:p w14:paraId="650B94C4" w14:textId="77777777" w:rsidR="00E36FCD" w:rsidRDefault="00000000">
      <w:pPr>
        <w:pStyle w:val="BodyText"/>
      </w:pPr>
      <w:hyperlink r:id="rId187">
        <w:r>
          <w:rPr>
            <w:rStyle w:val="Hyperlink"/>
          </w:rPr>
          <w:t>[56]</w:t>
        </w:r>
      </w:hyperlink>
      <w:r>
        <w:t xml:space="preserve"> </w:t>
      </w:r>
      <w:hyperlink r:id="rId188">
        <w:r>
          <w:rPr>
            <w:rStyle w:val="Hyperlink"/>
          </w:rPr>
          <w:t>[57]</w:t>
        </w:r>
      </w:hyperlink>
      <w:r>
        <w:t xml:space="preserve"> https://www.datagroconferences.com/en/eventos/datagro-opening-crop-soybean-corn-cotton-2026/</w:t>
      </w:r>
    </w:p>
    <w:p w14:paraId="08571F84" w14:textId="77777777" w:rsidR="00E36FCD" w:rsidRDefault="00000000">
      <w:pPr>
        <w:pStyle w:val="BodyText"/>
      </w:pPr>
      <w:hyperlink r:id="rId189">
        <w:r>
          <w:rPr>
            <w:rStyle w:val="Hyperlink"/>
          </w:rPr>
          <w:t>https://www.datagroconferences.com/en/eventos/datagro-opening-crop-soybean-corn-cotton-2026/</w:t>
        </w:r>
      </w:hyperlink>
    </w:p>
    <w:p w14:paraId="1160BC2F" w14:textId="77777777" w:rsidR="00E36FCD" w:rsidRDefault="00000000">
      <w:pPr>
        <w:pStyle w:val="BodyText"/>
      </w:pPr>
      <w:hyperlink r:id="rId190">
        <w:r>
          <w:rPr>
            <w:rStyle w:val="Hyperlink"/>
          </w:rPr>
          <w:t>[58]</w:t>
        </w:r>
      </w:hyperlink>
      <w:r>
        <w:t xml:space="preserve"> https://www.datagroconferences.com/en/eventos/international-conference-unem-datagro-about-corn-ethanol-2026/</w:t>
      </w:r>
    </w:p>
    <w:p w14:paraId="47201783" w14:textId="77777777" w:rsidR="00E36FCD" w:rsidRDefault="00000000">
      <w:pPr>
        <w:pStyle w:val="BodyText"/>
      </w:pPr>
      <w:hyperlink r:id="rId191">
        <w:r>
          <w:rPr>
            <w:rStyle w:val="Hyperlink"/>
          </w:rPr>
          <w:t>https://www.datagroconferences.com/en/eventos/international-conference-unem-datagro-about-corn-ethanol-2026/</w:t>
        </w:r>
      </w:hyperlink>
    </w:p>
    <w:p w14:paraId="3532DE86" w14:textId="77777777" w:rsidR="00E36FCD" w:rsidRDefault="00000000">
      <w:pPr>
        <w:pStyle w:val="BodyText"/>
      </w:pPr>
      <w:hyperlink r:id="rId192">
        <w:r>
          <w:rPr>
            <w:rStyle w:val="Hyperlink"/>
          </w:rPr>
          <w:t>[59]</w:t>
        </w:r>
      </w:hyperlink>
      <w:r>
        <w:t xml:space="preserve"> </w:t>
      </w:r>
      <w:hyperlink r:id="rId193">
        <w:r>
          <w:rPr>
            <w:rStyle w:val="Hyperlink"/>
          </w:rPr>
          <w:t>[60]</w:t>
        </w:r>
      </w:hyperlink>
      <w:r>
        <w:t xml:space="preserve"> https://www.cleanfuelsconference.org/</w:t>
      </w:r>
    </w:p>
    <w:p w14:paraId="7B8F7DAA" w14:textId="77777777" w:rsidR="00E36FCD" w:rsidRDefault="00000000">
      <w:pPr>
        <w:pStyle w:val="BodyText"/>
      </w:pPr>
      <w:hyperlink r:id="rId194">
        <w:r>
          <w:rPr>
            <w:rStyle w:val="Hyperlink"/>
          </w:rPr>
          <w:t>https://www.cleanfuelsconference.org/</w:t>
        </w:r>
      </w:hyperlink>
    </w:p>
    <w:p w14:paraId="4AD4CB6F" w14:textId="77777777" w:rsidR="00E36FCD" w:rsidRDefault="00000000">
      <w:pPr>
        <w:pStyle w:val="BodyText"/>
      </w:pPr>
      <w:hyperlink r:id="rId195">
        <w:r>
          <w:rPr>
            <w:rStyle w:val="Hyperlink"/>
          </w:rPr>
          <w:t>[61]</w:t>
        </w:r>
      </w:hyperlink>
      <w:r>
        <w:t xml:space="preserve"> https://few.bbiconferences.com/ema/DisplayPage.aspx?pageId=Contact</w:t>
      </w:r>
    </w:p>
    <w:p w14:paraId="608D31B8" w14:textId="77777777" w:rsidR="00E36FCD" w:rsidRDefault="00000000">
      <w:pPr>
        <w:pStyle w:val="BodyText"/>
      </w:pPr>
      <w:hyperlink r:id="rId196">
        <w:r>
          <w:rPr>
            <w:rStyle w:val="Hyperlink"/>
          </w:rPr>
          <w:t>https://few.bbiconferences.com/ema/DisplayPage.aspx?pageId=Contact</w:t>
        </w:r>
      </w:hyperlink>
    </w:p>
    <w:p w14:paraId="23B95C3A" w14:textId="77777777" w:rsidR="00E36FCD" w:rsidRDefault="00000000">
      <w:pPr>
        <w:pStyle w:val="BodyText"/>
      </w:pPr>
      <w:hyperlink r:id="rId197">
        <w:r>
          <w:rPr>
            <w:rStyle w:val="Hyperlink"/>
          </w:rPr>
          <w:t>[62]</w:t>
        </w:r>
      </w:hyperlink>
      <w:r>
        <w:t xml:space="preserve"> </w:t>
      </w:r>
      <w:hyperlink r:id="rId198">
        <w:r>
          <w:rPr>
            <w:rStyle w:val="Hyperlink"/>
          </w:rPr>
          <w:t>[63]</w:t>
        </w:r>
      </w:hyperlink>
      <w:r>
        <w:t xml:space="preserve"> https://www.igc.int/en/conference/confhome.aspx</w:t>
      </w:r>
    </w:p>
    <w:p w14:paraId="1913E4A1" w14:textId="77777777" w:rsidR="00E36FCD" w:rsidRDefault="00000000">
      <w:pPr>
        <w:pStyle w:val="BodyText"/>
      </w:pPr>
      <w:hyperlink r:id="rId199">
        <w:r>
          <w:rPr>
            <w:rStyle w:val="Hyperlink"/>
          </w:rPr>
          <w:t>https://www.igc.int/en/conference/confhome.aspx</w:t>
        </w:r>
      </w:hyperlink>
    </w:p>
    <w:p w14:paraId="2B36B9E0" w14:textId="77777777" w:rsidR="00E36FCD" w:rsidRDefault="00000000">
      <w:pPr>
        <w:pStyle w:val="BodyText"/>
      </w:pPr>
      <w:hyperlink r:id="rId200">
        <w:r>
          <w:rPr>
            <w:rStyle w:val="Hyperlink"/>
          </w:rPr>
          <w:t>[68]</w:t>
        </w:r>
      </w:hyperlink>
      <w:r>
        <w:t xml:space="preserve"> https://www.usda.gov/oce/commodity/wasde</w:t>
      </w:r>
    </w:p>
    <w:p w14:paraId="6D85817E" w14:textId="77777777" w:rsidR="00E36FCD" w:rsidRDefault="00000000">
      <w:pPr>
        <w:pStyle w:val="BodyText"/>
      </w:pPr>
      <w:hyperlink r:id="rId201">
        <w:r>
          <w:rPr>
            <w:rStyle w:val="Hyperlink"/>
          </w:rPr>
          <w:t>https://www.usda.gov/oce/commodity/wasde</w:t>
        </w:r>
      </w:hyperlink>
      <w:bookmarkEnd w:id="21"/>
    </w:p>
    <w:sectPr w:rsidR="00E36F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E005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C0EF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6543681">
    <w:abstractNumId w:val="0"/>
  </w:num>
  <w:num w:numId="2" w16cid:durableId="163515275">
    <w:abstractNumId w:val="1"/>
  </w:num>
  <w:num w:numId="3" w16cid:durableId="1211039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CD"/>
    <w:rsid w:val="00184DBA"/>
    <w:rsid w:val="001B5DCB"/>
    <w:rsid w:val="00DF2FA4"/>
    <w:rsid w:val="00E36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A4406"/>
  <w15:docId w15:val="{81F8506C-3FEF-4D32-A55F-409253DC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sda.gov/oce/commodity/wasde/" TargetMode="External"/><Relationship Id="rId21" Type="http://schemas.openxmlformats.org/officeDocument/2006/relationships/hyperlink" Target="https://www.fao.org/newsroom/briefing-notes-detail/agricultural-market-information-system-%28amis%29/en" TargetMode="External"/><Relationship Id="rId42" Type="http://schemas.openxmlformats.org/officeDocument/2006/relationships/hyperlink" Target="https://www.epa.gov/fuels-registration-reporting-and-compliance-help/public-data-renewable-fuel-standard" TargetMode="External"/><Relationship Id="rId63"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84" Type="http://schemas.openxmlformats.org/officeDocument/2006/relationships/hyperlink" Target="https://www.cleanfuelsconference.org/" TargetMode="External"/><Relationship Id="rId138"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159" Type="http://schemas.openxmlformats.org/officeDocument/2006/relationships/hyperlink" Target="https://api.census.gov/data/timeseries.html" TargetMode="External"/><Relationship Id="rId170" Type="http://schemas.openxmlformats.org/officeDocument/2006/relationships/hyperlink" Target="https://www.usda.gov/about-usda/general-information/staff-offices/office-chief-economist/commodity-markets/wasde-report/about-wasde" TargetMode="External"/><Relationship Id="rId191" Type="http://schemas.openxmlformats.org/officeDocument/2006/relationships/hyperlink" Target="https://www.datagroconferences.com/en/eventos/international-conference-unem-datagro-about-corn-ethanol-2026/" TargetMode="External"/><Relationship Id="rId107" Type="http://schemas.openxmlformats.org/officeDocument/2006/relationships/hyperlink" Target="https://www.fastmarkets.com/events/biofuels-and-feedstocks-americas/" TargetMode="External"/><Relationship Id="rId11" Type="http://schemas.openxmlformats.org/officeDocument/2006/relationships/hyperlink" Target="https://www.fastmarkets.com/events/global-grain-geneva-2025/" TargetMode="External"/><Relationship Id="rId32"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53" Type="http://schemas.openxmlformats.org/officeDocument/2006/relationships/hyperlink" Target="https://api.census.gov/data/timeseries.html" TargetMode="External"/><Relationship Id="rId74" Type="http://schemas.openxmlformats.org/officeDocument/2006/relationships/hyperlink" Target="https://www.argusmedia.com/en/events/conferences/latin-america-biofuels" TargetMode="External"/><Relationship Id="rId128" Type="http://schemas.openxmlformats.org/officeDocument/2006/relationships/hyperlink" Target="https://www.fao.org/newsroom/briefing-notes-detail/agricultural-market-information-system-%28amis%29/en" TargetMode="External"/><Relationship Id="rId149" Type="http://schemas.openxmlformats.org/officeDocument/2006/relationships/hyperlink" Target="https://www.cmegroup.com/markets/agriculture/grain-and-oilseed.html" TargetMode="External"/><Relationship Id="rId5" Type="http://schemas.openxmlformats.org/officeDocument/2006/relationships/hyperlink" Target="https://www.fastmarkets.com/events/biofuels-and-feedstocks-americas/" TargetMode="External"/><Relationship Id="rId95" Type="http://schemas.openxmlformats.org/officeDocument/2006/relationships/hyperlink" Target="https://www.epa.gov/fuels-registration-reporting-and-compliance-help/public-data-renewable-fuel-standard" TargetMode="External"/><Relationship Id="rId160" Type="http://schemas.openxmlformats.org/officeDocument/2006/relationships/hyperlink" Target="https://api.census.gov/data/timeseries.html" TargetMode="External"/><Relationship Id="rId181" Type="http://schemas.openxmlformats.org/officeDocument/2006/relationships/hyperlink" Target="https://www.argusmedia.com/en/events/conferences/latin-america-biofuels" TargetMode="External"/><Relationship Id="rId22" Type="http://schemas.openxmlformats.org/officeDocument/2006/relationships/hyperlink" Target="https://www.fao.org/newsroom/briefing-notes-detail/agricultural-market-information-system-%28amis%29/en" TargetMode="External"/><Relationship Id="rId43"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64"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118" Type="http://schemas.openxmlformats.org/officeDocument/2006/relationships/hyperlink" Target="https://fatsandoils.org/" TargetMode="External"/><Relationship Id="rId139"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85" Type="http://schemas.openxmlformats.org/officeDocument/2006/relationships/hyperlink" Target="https://few.bbiconferences.com/ema/DisplayPage.aspx?pageId=Contact" TargetMode="External"/><Relationship Id="rId150" Type="http://schemas.openxmlformats.org/officeDocument/2006/relationships/hyperlink" Target="https://www.cmegroup.com/markets/agriculture/grain-and-oilseed.html" TargetMode="External"/><Relationship Id="rId171" Type="http://schemas.openxmlformats.org/officeDocument/2006/relationships/hyperlink" Target="https://www.usda.gov/about-usda/general-information/staff-offices/office-chief-economist/commodity-markets/wasde-report/about-wasde" TargetMode="External"/><Relationship Id="rId192" Type="http://schemas.openxmlformats.org/officeDocument/2006/relationships/hyperlink" Target="https://www.cleanfuelsconference.org/" TargetMode="External"/><Relationship Id="rId12" Type="http://schemas.openxmlformats.org/officeDocument/2006/relationships/hyperlink" Target="https://www.fao.org/newsroom/briefing-notes-detail/agricultural-market-information-system-%28amis%29/en" TargetMode="External"/><Relationship Id="rId33" Type="http://schemas.openxmlformats.org/officeDocument/2006/relationships/hyperlink" Target="https://www.usda.gov/about-usda/general-information/staff-offices/office-chief-economist/commodity-markets/wasde-report/about-wasde" TargetMode="External"/><Relationship Id="rId108" Type="http://schemas.openxmlformats.org/officeDocument/2006/relationships/hyperlink" Target="https://www.fastmarkets.com/events/biofuels-and-feedstocks-americas/" TargetMode="External"/><Relationship Id="rId129" Type="http://schemas.openxmlformats.org/officeDocument/2006/relationships/hyperlink" Target="https://www.fao.org/newsroom/briefing-notes-detail/agricultural-market-information-system-%28amis%29/en" TargetMode="External"/><Relationship Id="rId54" Type="http://schemas.openxmlformats.org/officeDocument/2006/relationships/hyperlink" Target="https://www.ncei.noaa.gov/cdo-web/webservices/v2" TargetMode="External"/><Relationship Id="rId75" Type="http://schemas.openxmlformats.org/officeDocument/2006/relationships/hyperlink" Target="https://www.fastmarkets.com/events/fastmarkets-feedstocks-biofuels-south-america/" TargetMode="External"/><Relationship Id="rId96" Type="http://schemas.openxmlformats.org/officeDocument/2006/relationships/hyperlink" Target="https://www.usda.gov/about-usda/general-information/staff-offices/office-chief-economist/commodity-markets/wasde-report/about-wasde" TargetMode="External"/><Relationship Id="rId140" Type="http://schemas.openxmlformats.org/officeDocument/2006/relationships/hyperlink" Target="https://www.epa.gov/renewable-fuel-standard-program/renewable-identification-numbers-rins-under-renewable-fuel-standard" TargetMode="External"/><Relationship Id="rId161" Type="http://schemas.openxmlformats.org/officeDocument/2006/relationships/hyperlink" Target="https://www.nass.usda.gov/Education_and_Outreach/Meeting/2020/2020-data-users-questions-answers.pdf" TargetMode="External"/><Relationship Id="rId182" Type="http://schemas.openxmlformats.org/officeDocument/2006/relationships/hyperlink" Target="https://www.argusmedia.com/en/events/conferences/latin-america-biofuels" TargetMode="External"/><Relationship Id="rId6" Type="http://schemas.openxmlformats.org/officeDocument/2006/relationships/hyperlink" Target="https://www.eia.gov/opendata/documentation.php" TargetMode="External"/><Relationship Id="rId23" Type="http://schemas.openxmlformats.org/officeDocument/2006/relationships/hyperlink" Target="https://www.ncei.noaa.gov/cdo-web/webservices/v2" TargetMode="External"/><Relationship Id="rId119" Type="http://schemas.openxmlformats.org/officeDocument/2006/relationships/hyperlink" Target="https://fatsandoils.org/" TargetMode="External"/><Relationship Id="rId44" Type="http://schemas.openxmlformats.org/officeDocument/2006/relationships/hyperlink" Target="https://www.usda.gov/oce/commodity/wasde/" TargetMode="External"/><Relationship Id="rId65" Type="http://schemas.openxmlformats.org/officeDocument/2006/relationships/hyperlink" Target="https://www.argusmedia.com/en/events/conferences/biofuels-and-feedstocks-asia-conference/agenda" TargetMode="External"/><Relationship Id="rId86" Type="http://schemas.openxmlformats.org/officeDocument/2006/relationships/hyperlink" Target="https://few.bbiconferences.com/ema/DisplayPage.aspx?pageId=Contact" TargetMode="External"/><Relationship Id="rId130" Type="http://schemas.openxmlformats.org/officeDocument/2006/relationships/hyperlink" Target="https://www.fao.org/newsroom/briefing-notes-detail/agricultural-market-information-system-%28amis%29/en" TargetMode="External"/><Relationship Id="rId151" Type="http://schemas.openxmlformats.org/officeDocument/2006/relationships/hyperlink" Target="https://www.cmegroup.com/markets/agriculture/grain-and-oilseed.html" TargetMode="External"/><Relationship Id="rId172" Type="http://schemas.openxmlformats.org/officeDocument/2006/relationships/hyperlink" Target="https://www.usda.gov/about-usda/general-information/staff-offices/office-chief-economist/commodity-markets/wasde-report/about-wasde" TargetMode="External"/><Relationship Id="rId193" Type="http://schemas.openxmlformats.org/officeDocument/2006/relationships/hyperlink" Target="https://www.cleanfuelsconference.org/" TargetMode="External"/><Relationship Id="rId13" Type="http://schemas.openxmlformats.org/officeDocument/2006/relationships/hyperlink" Target="https://www.fastmarkets.com/events/biofuels-and-feedstocks-americas/" TargetMode="External"/><Relationship Id="rId109" Type="http://schemas.openxmlformats.org/officeDocument/2006/relationships/hyperlink" Target="https://www.fastmarkets.com/events/biofuels-and-feedstocks-americas/" TargetMode="External"/><Relationship Id="rId34" Type="http://schemas.openxmlformats.org/officeDocument/2006/relationships/hyperlink" Target="https://www.usda.gov/about-usda/reports-and-data/data" TargetMode="External"/><Relationship Id="rId55" Type="http://schemas.openxmlformats.org/officeDocument/2006/relationships/hyperlink" Target="https://www.cmegroup.com/markets/agriculture/grain-and-oilseed.html" TargetMode="External"/><Relationship Id="rId76" Type="http://schemas.openxmlformats.org/officeDocument/2006/relationships/hyperlink" Target="https://www.fastmarkets.com/events/fastmarkets-feedstocks-biofuels-south-america/" TargetMode="External"/><Relationship Id="rId97" Type="http://schemas.openxmlformats.org/officeDocument/2006/relationships/hyperlink" Target="https://www.usda.gov/oce/commodity/wasde" TargetMode="External"/><Relationship Id="rId120" Type="http://schemas.openxmlformats.org/officeDocument/2006/relationships/hyperlink" Target="https://fatsandoils.org/" TargetMode="External"/><Relationship Id="rId141" Type="http://schemas.openxmlformats.org/officeDocument/2006/relationships/hyperlink" Target="https://www.epa.gov/renewable-fuel-standard-program/renewable-identification-numbers-rins-under-renewable-fuel-standard" TargetMode="External"/><Relationship Id="rId7" Type="http://schemas.openxmlformats.org/officeDocument/2006/relationships/hyperlink" Target="https://www.usda.gov/oce/commodity/wasde/" TargetMode="External"/><Relationship Id="rId162" Type="http://schemas.openxmlformats.org/officeDocument/2006/relationships/hyperlink" Target="https://www.nass.usda.gov/Education_and_Outreach/Meeting/2020/2020-data-users-questions-answers.pdf" TargetMode="External"/><Relationship Id="rId183" Type="http://schemas.openxmlformats.org/officeDocument/2006/relationships/hyperlink" Target="https://www.fastmarkets.com/events/fastmarkets-feedstocks-biofuels-south-america/" TargetMode="External"/><Relationship Id="rId2" Type="http://schemas.openxmlformats.org/officeDocument/2006/relationships/styles" Target="styles.xml"/><Relationship Id="rId29" Type="http://schemas.openxmlformats.org/officeDocument/2006/relationships/hyperlink" Target="https://www.nass.usda.gov/Education_and_Outreach/Meeting/2020/2020-data-users-questions-answers.pdf" TargetMode="External"/><Relationship Id="rId24" Type="http://schemas.openxmlformats.org/officeDocument/2006/relationships/hyperlink" Target="https://www.epa.gov/fuels-registration-reporting-and-compliance-help/public-data-renewable-fuel-standard" TargetMode="External"/><Relationship Id="rId40" Type="http://schemas.openxmlformats.org/officeDocument/2006/relationships/hyperlink" Target="https://www.usda.gov/about-usda/general-information/staff-offices/office-chief-economist/commodity-markets/wasde-report/about-wasde" TargetMode="External"/><Relationship Id="rId45" Type="http://schemas.openxmlformats.org/officeDocument/2006/relationships/hyperlink" Target="https://www.epa.gov/renewable-fuel-standard-program/renewable-identification-numbers-rins-under-renewable-fuel-standard" TargetMode="External"/><Relationship Id="rId66" Type="http://schemas.openxmlformats.org/officeDocument/2006/relationships/hyperlink" Target="https://www.argusmedia.com/en/events/conferences/biofuels-and-feedstocks-asia-conference/venue" TargetMode="External"/><Relationship Id="rId87" Type="http://schemas.openxmlformats.org/officeDocument/2006/relationships/hyperlink" Target="https://www.igc.int/en/conference/confhome.aspx" TargetMode="External"/><Relationship Id="rId110" Type="http://schemas.openxmlformats.org/officeDocument/2006/relationships/hyperlink" Target="https://www.fastmarkets.com/events/biofuels-and-feedstocks-americas/" TargetMode="External"/><Relationship Id="rId115" Type="http://schemas.openxmlformats.org/officeDocument/2006/relationships/hyperlink" Target="https://www.usda.gov/oce/commodity/wasde/" TargetMode="External"/><Relationship Id="rId131" Type="http://schemas.openxmlformats.org/officeDocument/2006/relationships/hyperlink" Target="https://www.fao.org/newsroom/briefing-notes-detail/agricultural-market-information-system-%28amis%29/en" TargetMode="External"/><Relationship Id="rId136"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157" Type="http://schemas.openxmlformats.org/officeDocument/2006/relationships/hyperlink" Target="https://www.ncei.noaa.gov/cdo-web/webservices/v2" TargetMode="External"/><Relationship Id="rId178" Type="http://schemas.openxmlformats.org/officeDocument/2006/relationships/hyperlink" Target="https://www.argusmedia.com/en/events/conferences/biofuels-and-feedstocks-asia-conference/venue" TargetMode="External"/><Relationship Id="rId61" Type="http://schemas.openxmlformats.org/officeDocument/2006/relationships/hyperlink" Target="https://www.fastmarkets.com/events/global-grain-geneva-2025/" TargetMode="External"/><Relationship Id="rId82" Type="http://schemas.openxmlformats.org/officeDocument/2006/relationships/hyperlink" Target="https://www.datagroconferences.com/en/eventos/international-conference-unem-datagro-about-corn-ethanol-2026/" TargetMode="External"/><Relationship Id="rId152" Type="http://schemas.openxmlformats.org/officeDocument/2006/relationships/hyperlink" Target="https://agic.org.au/asia/" TargetMode="External"/><Relationship Id="rId173" Type="http://schemas.openxmlformats.org/officeDocument/2006/relationships/hyperlink" Target="https://www.usda.gov/about-usda/general-information/staff-offices/office-chief-economist/commodity-markets/wasde-report/about-wasde" TargetMode="External"/><Relationship Id="rId194" Type="http://schemas.openxmlformats.org/officeDocument/2006/relationships/hyperlink" Target="https://www.cleanfuelsconference.org/" TargetMode="External"/><Relationship Id="rId199" Type="http://schemas.openxmlformats.org/officeDocument/2006/relationships/hyperlink" Target="https://www.igc.int/en/conference/confhome.aspx" TargetMode="External"/><Relationship Id="rId203" Type="http://schemas.openxmlformats.org/officeDocument/2006/relationships/theme" Target="theme/theme1.xml"/><Relationship Id="rId19" Type="http://schemas.openxmlformats.org/officeDocument/2006/relationships/hyperlink" Target="https://www.cmegroup.com/markets/agriculture/grain-and-oilseed.html" TargetMode="External"/><Relationship Id="rId14" Type="http://schemas.openxmlformats.org/officeDocument/2006/relationships/hyperlink" Target="https://www.safapacsummit.com/" TargetMode="External"/><Relationship Id="rId30" Type="http://schemas.openxmlformats.org/officeDocument/2006/relationships/hyperlink" Target="https://fatsandoils.org/" TargetMode="External"/><Relationship Id="rId35" Type="http://schemas.openxmlformats.org/officeDocument/2006/relationships/hyperlink" Target="https://www.usda.gov/oce/commodity/wasde/" TargetMode="External"/><Relationship Id="rId56" Type="http://schemas.openxmlformats.org/officeDocument/2006/relationships/hyperlink" Target="https://www.cmegroup.com/markets/agriculture/grain-and-oilseed.html" TargetMode="External"/><Relationship Id="rId77" Type="http://schemas.openxmlformats.org/officeDocument/2006/relationships/hyperlink" Target="https://www.datagroconferences.com/en/eventos/datagro-opening-crop-sugarcane-sugar-ethanol-2026/" TargetMode="External"/><Relationship Id="rId100" Type="http://schemas.openxmlformats.org/officeDocument/2006/relationships/hyperlink" Target="https://www.epa.gov/renewable-fuel-standard-program/renewable-identification-numbers-rins-under-renewable-fuel-standard" TargetMode="External"/><Relationship Id="rId105" Type="http://schemas.openxmlformats.org/officeDocument/2006/relationships/hyperlink" Target="https://www.fastmarkets.com/events/biofuels-and-feedstocks-americas/" TargetMode="External"/><Relationship Id="rId126" Type="http://schemas.openxmlformats.org/officeDocument/2006/relationships/hyperlink" Target="https://www.fastmarkets.com/events/global-grain-geneva-2025/" TargetMode="External"/><Relationship Id="rId147" Type="http://schemas.openxmlformats.org/officeDocument/2006/relationships/hyperlink" Target="https://www.epa.gov/fuels-registration-reporting-and-compliance-help/public-data-renewable-fuel-standard" TargetMode="External"/><Relationship Id="rId168" Type="http://schemas.openxmlformats.org/officeDocument/2006/relationships/hyperlink" Target="https://www.usda.gov/about-usda/general-information/staff-offices/office-chief-economist/commodity-markets/wasde-report/about-wasde" TargetMode="External"/><Relationship Id="rId8" Type="http://schemas.openxmlformats.org/officeDocument/2006/relationships/hyperlink" Target="https://fatsandoils.org/" TargetMode="External"/><Relationship Id="rId51" Type="http://schemas.openxmlformats.org/officeDocument/2006/relationships/hyperlink" Target="https://www.fastmarkets.com/events/global-grain-geneva-2025/" TargetMode="External"/><Relationship Id="rId72" Type="http://schemas.openxmlformats.org/officeDocument/2006/relationships/hyperlink" Target="https://www.safapacsummit.com/" TargetMode="External"/><Relationship Id="rId93" Type="http://schemas.openxmlformats.org/officeDocument/2006/relationships/hyperlink" Target="https://www.ncei.noaa.gov/cdo-web/webservices/v2" TargetMode="External"/><Relationship Id="rId98" Type="http://schemas.openxmlformats.org/officeDocument/2006/relationships/hyperlink" Target="https://www.usda.gov/oce/commodity/wasde/" TargetMode="External"/><Relationship Id="rId121" Type="http://schemas.openxmlformats.org/officeDocument/2006/relationships/hyperlink" Target="https://agrifoodinnovation.com/" TargetMode="External"/><Relationship Id="rId142" Type="http://schemas.openxmlformats.org/officeDocument/2006/relationships/hyperlink" Target="https://www.epa.gov/renewable-fuel-standard-program/renewable-identification-numbers-rins-under-renewable-fuel-standard" TargetMode="External"/><Relationship Id="rId163" Type="http://schemas.openxmlformats.org/officeDocument/2006/relationships/hyperlink" Target="https://www.nass.usda.gov/Education_and_Outreach/Meeting/2020/2020-data-users-questions-answers.pdf" TargetMode="External"/><Relationship Id="rId184" Type="http://schemas.openxmlformats.org/officeDocument/2006/relationships/hyperlink" Target="https://www.fastmarkets.com/events/fastmarkets-feedstocks-biofuels-south-america/" TargetMode="External"/><Relationship Id="rId189" Type="http://schemas.openxmlformats.org/officeDocument/2006/relationships/hyperlink" Target="https://www.datagroconferences.com/en/eventos/datagro-opening-crop-soybean-corn-cotton-2026/" TargetMode="External"/><Relationship Id="rId3" Type="http://schemas.openxmlformats.org/officeDocument/2006/relationships/settings" Target="settings.xml"/><Relationship Id="rId25" Type="http://schemas.openxmlformats.org/officeDocument/2006/relationships/hyperlink" Target="https://www.eia.gov/opendata/documentation.php" TargetMode="External"/><Relationship Id="rId46" Type="http://schemas.openxmlformats.org/officeDocument/2006/relationships/hyperlink" Target="https://www.cmegroup.com/markets/agriculture/grain-and-oilseed.html" TargetMode="External"/><Relationship Id="rId67" Type="http://schemas.openxmlformats.org/officeDocument/2006/relationships/hyperlink" Target="https://agic.org.au/asia/" TargetMode="External"/><Relationship Id="rId116" Type="http://schemas.openxmlformats.org/officeDocument/2006/relationships/hyperlink" Target="https://www.usda.gov/oce/commodity/wasde/" TargetMode="External"/><Relationship Id="rId137"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158" Type="http://schemas.openxmlformats.org/officeDocument/2006/relationships/hyperlink" Target="https://www.ncei.noaa.gov/cdo-web/webservices/v2" TargetMode="External"/><Relationship Id="rId20" Type="http://schemas.openxmlformats.org/officeDocument/2006/relationships/hyperlink" Target="https://agic.org.au/asia/" TargetMode="External"/><Relationship Id="rId41"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62" Type="http://schemas.openxmlformats.org/officeDocument/2006/relationships/hyperlink" Target="https://www.usda.gov/about-usda/general-information/staff-offices/office-chief-economist/commodity-markets/wasde-report/about-wasde" TargetMode="External"/><Relationship Id="rId83" Type="http://schemas.openxmlformats.org/officeDocument/2006/relationships/hyperlink" Target="https://www.cleanfuelsconference.org/" TargetMode="External"/><Relationship Id="rId88" Type="http://schemas.openxmlformats.org/officeDocument/2006/relationships/hyperlink" Target="https://www.igc.int/en/conference/confhome.aspx" TargetMode="External"/><Relationship Id="rId111" Type="http://schemas.openxmlformats.org/officeDocument/2006/relationships/hyperlink" Target="https://www.eia.gov/opendata/documentation.php" TargetMode="External"/><Relationship Id="rId132" Type="http://schemas.openxmlformats.org/officeDocument/2006/relationships/hyperlink" Target="https://www.safapacsummit.com/" TargetMode="External"/><Relationship Id="rId153" Type="http://schemas.openxmlformats.org/officeDocument/2006/relationships/hyperlink" Target="https://agic.org.au/asia/" TargetMode="External"/><Relationship Id="rId174" Type="http://schemas.openxmlformats.org/officeDocument/2006/relationships/hyperlink" Target="https://www.usda.gov/about-usda/reports-and-data/data" TargetMode="External"/><Relationship Id="rId179" Type="http://schemas.openxmlformats.org/officeDocument/2006/relationships/hyperlink" Target="https://www.argusmedia.com/en/events/conferences/biofuels-and-feedstocks-asia-conference/venue" TargetMode="External"/><Relationship Id="rId195" Type="http://schemas.openxmlformats.org/officeDocument/2006/relationships/hyperlink" Target="https://few.bbiconferences.com/ema/DisplayPage.aspx?pageId=Contact" TargetMode="External"/><Relationship Id="rId190" Type="http://schemas.openxmlformats.org/officeDocument/2006/relationships/hyperlink" Target="https://www.datagroconferences.com/en/eventos/international-conference-unem-datagro-about-corn-ethanol-2026/" TargetMode="External"/><Relationship Id="rId15" Type="http://schemas.openxmlformats.org/officeDocument/2006/relationships/hyperlink" Target="https://www.usda.gov/oce/commodity/wasde/" TargetMode="External"/><Relationship Id="rId36" Type="http://schemas.openxmlformats.org/officeDocument/2006/relationships/hyperlink" Target="https://www.epa.gov/renewable-fuel-standard-program/renewable-identification-numbers-rins-under-renewable-fuel-standard" TargetMode="External"/><Relationship Id="rId57" Type="http://schemas.openxmlformats.org/officeDocument/2006/relationships/hyperlink" Target="https://www.usda.gov/about-usda/general-information/staff-offices/office-chief-economist/commodity-markets/wasde-report/about-wasde" TargetMode="External"/><Relationship Id="rId106" Type="http://schemas.openxmlformats.org/officeDocument/2006/relationships/hyperlink" Target="https://www.fastmarkets.com/events/biofuels-and-feedstocks-americas/" TargetMode="External"/><Relationship Id="rId127" Type="http://schemas.openxmlformats.org/officeDocument/2006/relationships/hyperlink" Target="https://www.fastmarkets.com/events/global-grain-geneva-2025/" TargetMode="External"/><Relationship Id="rId10" Type="http://schemas.openxmlformats.org/officeDocument/2006/relationships/hyperlink" Target="https://www.fastmarkets.com/events/biofuels-and-feedstocks-americas/" TargetMode="External"/><Relationship Id="rId31" Type="http://schemas.openxmlformats.org/officeDocument/2006/relationships/hyperlink" Target="https://fatsandoils.org/" TargetMode="External"/><Relationship Id="rId52" Type="http://schemas.openxmlformats.org/officeDocument/2006/relationships/hyperlink" Target="https://www.usda.gov/about-usda/general-information/staff-offices/office-chief-economist/commodity-markets/wasde-report/about-wasde" TargetMode="External"/><Relationship Id="rId73" Type="http://schemas.openxmlformats.org/officeDocument/2006/relationships/hyperlink" Target="https://www.argusmedia.com/en/events/conferences/latin-america-biofuels" TargetMode="External"/><Relationship Id="rId78" Type="http://schemas.openxmlformats.org/officeDocument/2006/relationships/hyperlink" Target="https://www.datagroconferences.com/en/eventos/datagro-opening-crop-sugarcane-sugar-ethanol-2026/" TargetMode="External"/><Relationship Id="rId94" Type="http://schemas.openxmlformats.org/officeDocument/2006/relationships/hyperlink" Target="https://www.eia.gov/opendata/documentation.php" TargetMode="External"/><Relationship Id="rId99" Type="http://schemas.openxmlformats.org/officeDocument/2006/relationships/hyperlink" Target="https://www.nass.usda.gov/Education_and_Outreach/Meeting/2020/2020-data-users-questions-answers.pdf" TargetMode="External"/><Relationship Id="rId101" Type="http://schemas.openxmlformats.org/officeDocument/2006/relationships/hyperlink" Target="https://www.eia.gov/opendata/documentation.php" TargetMode="External"/><Relationship Id="rId122" Type="http://schemas.openxmlformats.org/officeDocument/2006/relationships/hyperlink" Target="https://agrifoodinnovation.com/" TargetMode="External"/><Relationship Id="rId143" Type="http://schemas.openxmlformats.org/officeDocument/2006/relationships/hyperlink" Target="https://www.epa.gov/renewable-fuel-standard-program/renewable-identification-numbers-rins-under-renewable-fuel-standard" TargetMode="External"/><Relationship Id="rId148" Type="http://schemas.openxmlformats.org/officeDocument/2006/relationships/hyperlink" Target="https://www.epa.gov/fuels-registration-reporting-and-compliance-help/public-data-renewable-fuel-standard" TargetMode="External"/><Relationship Id="rId164" Type="http://schemas.openxmlformats.org/officeDocument/2006/relationships/hyperlink" Target="https://www.nass.usda.gov/Education_and_Outreach/Meeting/2020/2020-data-users-questions-answers.pdf" TargetMode="External"/><Relationship Id="rId169" Type="http://schemas.openxmlformats.org/officeDocument/2006/relationships/hyperlink" Target="https://www.usda.gov/about-usda/general-information/staff-offices/office-chief-economist/commodity-markets/wasde-report/about-wasde" TargetMode="External"/><Relationship Id="rId185" Type="http://schemas.openxmlformats.org/officeDocument/2006/relationships/hyperlink" Target="https://www.datagroconferences.com/en/eventos/datagro-opening-crop-sugarcane-sugar-ethanol-2026/" TargetMode="External"/><Relationship Id="rId4" Type="http://schemas.openxmlformats.org/officeDocument/2006/relationships/webSettings" Target="webSettings.xml"/><Relationship Id="rId9" Type="http://schemas.openxmlformats.org/officeDocument/2006/relationships/hyperlink" Target="https://agrifoodinnovation.com/" TargetMode="External"/><Relationship Id="rId180" Type="http://schemas.openxmlformats.org/officeDocument/2006/relationships/hyperlink" Target="https://www.argusmedia.com/en/events/conferences/latin-america-biofuels" TargetMode="External"/><Relationship Id="rId26" Type="http://schemas.openxmlformats.org/officeDocument/2006/relationships/hyperlink" Target="https://www.ncei.noaa.gov/cdo-web/webservices/v2" TargetMode="External"/><Relationship Id="rId47" Type="http://schemas.openxmlformats.org/officeDocument/2006/relationships/hyperlink" Target="https://www.usda.gov/about-usda/general-information/staff-offices/office-chief-economist/commodity-markets/wasde-report/about-wasde" TargetMode="External"/><Relationship Id="rId68" Type="http://schemas.openxmlformats.org/officeDocument/2006/relationships/hyperlink" Target="https://agic.org.au/asia/" TargetMode="External"/><Relationship Id="rId89" Type="http://schemas.openxmlformats.org/officeDocument/2006/relationships/hyperlink" Target="https://www.usda.gov/about-usda/general-information/staff-offices/office-chief-economist/commodity-markets/wasde-report/about-wasde" TargetMode="External"/><Relationship Id="rId112" Type="http://schemas.openxmlformats.org/officeDocument/2006/relationships/hyperlink" Target="https://www.eia.gov/opendata/documentation.php" TargetMode="External"/><Relationship Id="rId133" Type="http://schemas.openxmlformats.org/officeDocument/2006/relationships/hyperlink" Target="https://www.safapacsummit.com/" TargetMode="External"/><Relationship Id="rId154" Type="http://schemas.openxmlformats.org/officeDocument/2006/relationships/hyperlink" Target="https://agic.org.au/asia/" TargetMode="External"/><Relationship Id="rId175" Type="http://schemas.openxmlformats.org/officeDocument/2006/relationships/hyperlink" Target="https://www.usda.gov/about-usda/reports-and-data/data" TargetMode="External"/><Relationship Id="rId196" Type="http://schemas.openxmlformats.org/officeDocument/2006/relationships/hyperlink" Target="https://few.bbiconferences.com/ema/DisplayPage.aspx?pageId=Contact" TargetMode="External"/><Relationship Id="rId200" Type="http://schemas.openxmlformats.org/officeDocument/2006/relationships/hyperlink" Target="https://www.usda.gov/oce/commodity/wasde" TargetMode="External"/><Relationship Id="rId16"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37"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58" Type="http://schemas.openxmlformats.org/officeDocument/2006/relationships/hyperlink" Target="https://api.census.gov/data/timeseries.html" TargetMode="External"/><Relationship Id="rId79" Type="http://schemas.openxmlformats.org/officeDocument/2006/relationships/hyperlink" Target="https://www.datagroconferences.com/en/eventos/datagro-opening-crop-soybean-corn-cotton-2026/" TargetMode="External"/><Relationship Id="rId102" Type="http://schemas.openxmlformats.org/officeDocument/2006/relationships/hyperlink" Target="https://www.cmegroup.com/markets/agriculture/grain-and-oilseed.html" TargetMode="External"/><Relationship Id="rId123" Type="http://schemas.openxmlformats.org/officeDocument/2006/relationships/hyperlink" Target="https://agrifoodinnovation.com/" TargetMode="External"/><Relationship Id="rId144" Type="http://schemas.openxmlformats.org/officeDocument/2006/relationships/hyperlink" Target="https://www.epa.gov/fuels-registration-reporting-and-compliance-help/public-data-renewable-fuel-standard" TargetMode="External"/><Relationship Id="rId90" Type="http://schemas.openxmlformats.org/officeDocument/2006/relationships/hyperlink" Target="https://www.usda.gov/oce/commodity/wasde/" TargetMode="External"/><Relationship Id="rId165" Type="http://schemas.openxmlformats.org/officeDocument/2006/relationships/hyperlink" Target="https://www.usda.gov/about-usda/general-information/staff-offices/office-chief-economist/commodity-markets/wasde-report/about-wasde" TargetMode="External"/><Relationship Id="rId186" Type="http://schemas.openxmlformats.org/officeDocument/2006/relationships/hyperlink" Target="https://www.datagroconferences.com/en/eventos/datagro-opening-crop-sugarcane-sugar-ethanol-2026/" TargetMode="External"/><Relationship Id="rId27" Type="http://schemas.openxmlformats.org/officeDocument/2006/relationships/hyperlink" Target="https://api.census.gov/data/timeseries.html" TargetMode="External"/><Relationship Id="rId48" Type="http://schemas.openxmlformats.org/officeDocument/2006/relationships/hyperlink" Target="https://www.usda.gov/about-usda/general-information/staff-offices/office-chief-economist/commodity-markets/wasde-report/about-wasde" TargetMode="External"/><Relationship Id="rId69" Type="http://schemas.openxmlformats.org/officeDocument/2006/relationships/hyperlink" Target="https://agrifoodinnovation.com/" TargetMode="External"/><Relationship Id="rId113" Type="http://schemas.openxmlformats.org/officeDocument/2006/relationships/hyperlink" Target="https://www.eia.gov/opendata/documentation.php" TargetMode="External"/><Relationship Id="rId134" Type="http://schemas.openxmlformats.org/officeDocument/2006/relationships/hyperlink" Target="https://www.safapacsummit.com/" TargetMode="External"/><Relationship Id="rId80" Type="http://schemas.openxmlformats.org/officeDocument/2006/relationships/hyperlink" Target="https://www.datagroconferences.com/en/eventos/datagro-opening-crop-soybean-corn-cotton-2026/" TargetMode="External"/><Relationship Id="rId155" Type="http://schemas.openxmlformats.org/officeDocument/2006/relationships/hyperlink" Target="https://agic.org.au/asia/" TargetMode="External"/><Relationship Id="rId176" Type="http://schemas.openxmlformats.org/officeDocument/2006/relationships/hyperlink" Target="https://www.argusmedia.com/en/events/conferences/biofuels-and-feedstocks-asia-conference/agenda" TargetMode="External"/><Relationship Id="rId197" Type="http://schemas.openxmlformats.org/officeDocument/2006/relationships/hyperlink" Target="https://www.igc.int/en/conference/confhome.aspx" TargetMode="External"/><Relationship Id="rId201" Type="http://schemas.openxmlformats.org/officeDocument/2006/relationships/hyperlink" Target="https://www.usda.gov/oce/commodity/wasde" TargetMode="External"/><Relationship Id="rId17" Type="http://schemas.openxmlformats.org/officeDocument/2006/relationships/hyperlink" Target="https://www.epa.gov/renewable-fuel-standard-program/renewable-identification-numbers-rins-under-renewable-fuel-standard" TargetMode="External"/><Relationship Id="rId38" Type="http://schemas.openxmlformats.org/officeDocument/2006/relationships/hyperlink" Target="https://www.fastmarkets.com/events/biofuels-and-feedstocks-americas/" TargetMode="External"/><Relationship Id="rId59"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103" Type="http://schemas.openxmlformats.org/officeDocument/2006/relationships/hyperlink" Target="https://api.census.gov/data/timeseries.html" TargetMode="External"/><Relationship Id="rId124" Type="http://schemas.openxmlformats.org/officeDocument/2006/relationships/hyperlink" Target="https://agrifoodinnovation.com/" TargetMode="External"/><Relationship Id="rId70" Type="http://schemas.openxmlformats.org/officeDocument/2006/relationships/hyperlink" Target="https://agrifoodinnovation.com/" TargetMode="External"/><Relationship Id="rId91" Type="http://schemas.openxmlformats.org/officeDocument/2006/relationships/hyperlink" Target="https://www.nass.usda.gov/Education_and_Outreach/Meeting/2020/2020-data-users-questions-answers.pdf" TargetMode="External"/><Relationship Id="rId145" Type="http://schemas.openxmlformats.org/officeDocument/2006/relationships/hyperlink" Target="https://www.epa.gov/fuels-registration-reporting-and-compliance-help/public-data-renewable-fuel-standard" TargetMode="External"/><Relationship Id="rId166" Type="http://schemas.openxmlformats.org/officeDocument/2006/relationships/hyperlink" Target="https://www.usda.gov/about-usda/general-information/staff-offices/office-chief-economist/commodity-markets/wasde-report/about-wasde" TargetMode="External"/><Relationship Id="rId187" Type="http://schemas.openxmlformats.org/officeDocument/2006/relationships/hyperlink" Target="https://www.datagroconferences.com/en/eventos/datagro-opening-crop-soybean-corn-cotton-2026/" TargetMode="External"/><Relationship Id="rId1" Type="http://schemas.openxmlformats.org/officeDocument/2006/relationships/numbering" Target="numbering.xml"/><Relationship Id="rId28" Type="http://schemas.openxmlformats.org/officeDocument/2006/relationships/hyperlink" Target="https://www.fastmarkets.com/events/biofuels-and-feedstocks-americas/" TargetMode="External"/><Relationship Id="rId49" Type="http://schemas.openxmlformats.org/officeDocument/2006/relationships/hyperlink" Target="https://www.fastmarkets.com/events/biofuels-and-feedstocks-americas/" TargetMode="External"/><Relationship Id="rId114" Type="http://schemas.openxmlformats.org/officeDocument/2006/relationships/hyperlink" Target="https://www.usda.gov/oce/commodity/wasde/" TargetMode="External"/><Relationship Id="rId60" Type="http://schemas.openxmlformats.org/officeDocument/2006/relationships/hyperlink" Target="https://www.oecd.org/en/publications/2025/10/agricultural-policy-monitoring-and-evaluation-2025_354e7040/full-report/making-the-most-of-the-trade-and-environment-nexus-in-agriculture_d74b07a7.html" TargetMode="External"/><Relationship Id="rId81" Type="http://schemas.openxmlformats.org/officeDocument/2006/relationships/hyperlink" Target="https://www.datagroconferences.com/en/eventos/international-conference-unem-datagro-about-corn-ethanol-2026/" TargetMode="External"/><Relationship Id="rId135" Type="http://schemas.openxmlformats.org/officeDocument/2006/relationships/hyperlink" Target="https://www.safapacsummit.com/" TargetMode="External"/><Relationship Id="rId156" Type="http://schemas.openxmlformats.org/officeDocument/2006/relationships/hyperlink" Target="https://www.ncei.noaa.gov/cdo-web/webservices/v2" TargetMode="External"/><Relationship Id="rId177" Type="http://schemas.openxmlformats.org/officeDocument/2006/relationships/hyperlink" Target="https://www.argusmedia.com/en/events/conferences/biofuels-and-feedstocks-asia-conference/agenda" TargetMode="External"/><Relationship Id="rId198" Type="http://schemas.openxmlformats.org/officeDocument/2006/relationships/hyperlink" Target="https://www.igc.int/en/conference/confhome.aspx" TargetMode="External"/><Relationship Id="rId202" Type="http://schemas.openxmlformats.org/officeDocument/2006/relationships/fontTable" Target="fontTable.xml"/><Relationship Id="rId18" Type="http://schemas.openxmlformats.org/officeDocument/2006/relationships/hyperlink" Target="https://www.epa.gov/fuels-registration-reporting-and-compliance-help/public-data-renewable-fuel-standard" TargetMode="External"/><Relationship Id="rId39" Type="http://schemas.openxmlformats.org/officeDocument/2006/relationships/hyperlink" Target="https://www.fastmarkets.com/events/biofuels-and-feedstocks-americas/" TargetMode="External"/><Relationship Id="rId50" Type="http://schemas.openxmlformats.org/officeDocument/2006/relationships/hyperlink" Target="https://www.fastmarkets.com/events/global-grain-geneva-2025/" TargetMode="External"/><Relationship Id="rId104" Type="http://schemas.openxmlformats.org/officeDocument/2006/relationships/hyperlink" Target="https://www.ncei.noaa.gov/cdo-web/webservices/v2" TargetMode="External"/><Relationship Id="rId125" Type="http://schemas.openxmlformats.org/officeDocument/2006/relationships/hyperlink" Target="https://www.fastmarkets.com/events/global-grain-geneva-2025/" TargetMode="External"/><Relationship Id="rId146" Type="http://schemas.openxmlformats.org/officeDocument/2006/relationships/hyperlink" Target="https://www.epa.gov/fuels-registration-reporting-and-compliance-help/public-data-renewable-fuel-standard" TargetMode="External"/><Relationship Id="rId167" Type="http://schemas.openxmlformats.org/officeDocument/2006/relationships/hyperlink" Target="https://www.usda.gov/about-usda/general-information/staff-offices/office-chief-economist/commodity-markets/wasde-report/about-wasde" TargetMode="External"/><Relationship Id="rId188" Type="http://schemas.openxmlformats.org/officeDocument/2006/relationships/hyperlink" Target="https://www.datagroconferences.com/en/eventos/datagro-opening-crop-soybean-corn-cotton-2026/" TargetMode="External"/><Relationship Id="rId71" Type="http://schemas.openxmlformats.org/officeDocument/2006/relationships/hyperlink" Target="https://www.safapacsummit.com/" TargetMode="External"/><Relationship Id="rId92" Type="http://schemas.openxmlformats.org/officeDocument/2006/relationships/hyperlink" Target="https://api.census.gov/data/timeser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8117</Words>
  <Characters>54391</Characters>
  <Application>Microsoft Office Word</Application>
  <DocSecurity>0</DocSecurity>
  <Lines>1648</Lines>
  <Paragraphs>434</Paragraphs>
  <ScaleCrop>false</ScaleCrop>
  <Company/>
  <LinksUpToDate>false</LinksUpToDate>
  <CharactersWithSpaces>62074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2026-02-16T12:27:00Z</dcterms:created>
  <dcterms:modified xsi:type="dcterms:W3CDTF">2026-02-16T12:27:00Z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