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6681" w14:textId="77777777" w:rsidR="008906E8" w:rsidRDefault="00000000">
      <w:pPr>
        <w:pStyle w:val="Heading1"/>
      </w:pPr>
      <w:bookmarkStart w:id="0" w:name="header"/>
      <w:bookmarkStart w:id="1" w:name="X5c60efc9a2ea78dd3f942ae99b0c872ffa50df7"/>
      <w:bookmarkStart w:id="2" w:name="content"/>
      <w:bookmarkEnd w:id="0"/>
      <w:r>
        <w:t>Building a 30-Minute Conference Talk on AI and LLMs for Commodity Analysis</w:t>
      </w:r>
    </w:p>
    <w:p w14:paraId="3B4B36EF" w14:textId="77777777" w:rsidR="008906E8" w:rsidRDefault="00000000">
      <w:pPr>
        <w:pStyle w:val="Heading2"/>
      </w:pPr>
      <w:bookmarkStart w:id="3" w:name="executive-summary"/>
      <w:r>
        <w:t>Executive summary</w:t>
      </w:r>
    </w:p>
    <w:p w14:paraId="4F874105" w14:textId="77777777" w:rsidR="008906E8" w:rsidRDefault="00000000">
      <w:pPr>
        <w:pStyle w:val="FirstParagraph"/>
      </w:pPr>
      <w:r>
        <w:t xml:space="preserve">This report translates your positioning (agricultural economist, former Head of Agricultural Analytics, now building an LLM-driven commodity intelligence platform under RLC) into conference-ready deliverables designed for experienced commodity professionals: concrete, architectural, opinionated, and demonstrative—while explicitly avoiding hype and emphasizing provenance, auditability, guardrails, and known LLM limitations. </w:t>
      </w:r>
      <w:hyperlink r:id="rId5">
        <w:r>
          <w:rPr>
            <w:rStyle w:val="Hyperlink"/>
          </w:rPr>
          <w:t>[1]</w:t>
        </w:r>
      </w:hyperlink>
    </w:p>
    <w:p w14:paraId="12D640A0" w14:textId="77777777" w:rsidR="008906E8" w:rsidRDefault="00000000">
      <w:pPr>
        <w:pStyle w:val="BodyText"/>
      </w:pPr>
      <w:r>
        <w:t xml:space="preserve">Three tailored 30‑minute decks are provided (slide-by-slide with bullets and speaker notes): an AFOA version rooted in fats/oils/feedstocks operations and quality specs; a Fastmarkets Biofuels &amp; Feedstocks Americas version oriented around pricing/market intelligence and policy-linked margin mechanics; and a Geneva grains-focused version oriented around trade flows, macro, and basis/freight narratives. The tailoring is grounded in each event’s publicly stated audience positioning and schedule context (dates/locations noted where available). </w:t>
      </w:r>
      <w:hyperlink r:id="rId6">
        <w:r>
          <w:rPr>
            <w:rStyle w:val="Hyperlink"/>
          </w:rPr>
          <w:t>[2]</w:t>
        </w:r>
      </w:hyperlink>
    </w:p>
    <w:p w14:paraId="4079EB81" w14:textId="77777777" w:rsidR="008906E8" w:rsidRDefault="00000000">
      <w:pPr>
        <w:pStyle w:val="BodyText"/>
      </w:pPr>
      <w:r>
        <w:t>A concise outreach kit (pitch email template + speaker bio) is included, plus a prioritized list of 12 additional events with rationale, audience, and submission deadlines when published (otherwise marked unspecified). Finally, a one-page architecture diagram concept (including a Mermaid flowchart) and three demo scenarios (WASDE day, feedstock shock, basis anomaly) are provided, with explicit agent steps, expected outputs, and plausible time-to-delivery targets suitable for a 30‑minute talk pacing.</w:t>
      </w:r>
    </w:p>
    <w:p w14:paraId="204C823E" w14:textId="77777777" w:rsidR="008906E8" w:rsidRDefault="00000000">
      <w:pPr>
        <w:pStyle w:val="Heading2"/>
      </w:pPr>
      <w:bookmarkStart w:id="4" w:name="source-backed-conference-context"/>
      <w:bookmarkEnd w:id="3"/>
      <w:r>
        <w:t>Source-backed conference context</w:t>
      </w:r>
    </w:p>
    <w:p w14:paraId="322D37DA" w14:textId="77777777" w:rsidR="008906E8" w:rsidRDefault="00000000">
      <w:pPr>
        <w:pStyle w:val="FirstParagraph"/>
      </w:pPr>
      <w:r>
        <w:t xml:space="preserve">The “AFOA” you referenced corresponds to the American fats, oils, greases, and feedstock community: AFOA’s site positions its annual meeting as a hub for the fats and oils industry and notes session themes spanning tallow, vegetable oils, proteins, and biofuels. </w:t>
      </w:r>
      <w:hyperlink r:id="rId7">
        <w:r>
          <w:rPr>
            <w:rStyle w:val="Hyperlink"/>
          </w:rPr>
          <w:t>[3]</w:t>
        </w:r>
      </w:hyperlink>
      <w:r>
        <w:t xml:space="preserve"> The association lists its 2026 annual meeting dates as October 7–8 in Kansas City</w:t>
      </w:r>
      <w:hyperlink r:id="rId8">
        <w:r>
          <w:rPr>
            <w:rStyle w:val="Hyperlink"/>
          </w:rPr>
          <w:t>[4]</w:t>
        </w:r>
      </w:hyperlink>
      <w:r>
        <w:t xml:space="preserve">, with an “Introduction to Fats, Greases, &amp; Feedstocks” educational course scheduled the prior day (October 6, 2026). </w:t>
      </w:r>
      <w:hyperlink r:id="rId9">
        <w:r>
          <w:rPr>
            <w:rStyle w:val="Hyperlink"/>
          </w:rPr>
          <w:t>[5]</w:t>
        </w:r>
      </w:hyperlink>
    </w:p>
    <w:p w14:paraId="0BC469EF" w14:textId="77777777" w:rsidR="008906E8" w:rsidRDefault="00000000">
      <w:pPr>
        <w:pStyle w:val="BodyText"/>
      </w:pPr>
      <w:r>
        <w:t>Fastmarkets’ Biofuels &amp; Feedstocks Americas 2026 event is explicitly framed for commercially focused participants navigating pricing dynamics, policy impacts, and feedstock availability; it lists May 4–6, 2026 in Chicago</w:t>
      </w:r>
      <w:hyperlink r:id="rId10">
        <w:r>
          <w:rPr>
            <w:rStyle w:val="Hyperlink"/>
          </w:rPr>
          <w:t>[6]</w:t>
        </w:r>
      </w:hyperlink>
      <w:r>
        <w:t xml:space="preserve"> and references 450+ peers. </w:t>
      </w:r>
      <w:hyperlink r:id="rId11">
        <w:r>
          <w:rPr>
            <w:rStyle w:val="Hyperlink"/>
          </w:rPr>
          <w:t>[7]</w:t>
        </w:r>
      </w:hyperlink>
      <w:r>
        <w:t xml:space="preserve"> Fastmarkets also describes itself on its event pages as a cross-commodity price reporting agency (PRA) providing price benchmarks, news, and analytics—an important contextual constraint for your talk if you’re presenting in their ecosystem (you should be careful to position your platform as “analysis + intelligence” rather than “publishing assessable benchmarks”). </w:t>
      </w:r>
      <w:hyperlink r:id="rId12">
        <w:r>
          <w:rPr>
            <w:rStyle w:val="Hyperlink"/>
          </w:rPr>
          <w:t>[8]</w:t>
        </w:r>
      </w:hyperlink>
    </w:p>
    <w:p w14:paraId="0920B119" w14:textId="77777777" w:rsidR="008906E8" w:rsidRDefault="00000000">
      <w:pPr>
        <w:pStyle w:val="BodyText"/>
      </w:pPr>
      <w:r>
        <w:lastRenderedPageBreak/>
        <w:t xml:space="preserve">“Geneva Grains” is ambiguous in today’s conference landscape: S&amp;P Global Commodity Insights’ “Geneva Grains Conference” page indicates the event has ended. </w:t>
      </w:r>
      <w:hyperlink r:id="rId13">
        <w:r>
          <w:rPr>
            <w:rStyle w:val="Hyperlink"/>
          </w:rPr>
          <w:t>[9]</w:t>
        </w:r>
      </w:hyperlink>
      <w:r>
        <w:t xml:space="preserve"> Meanwhile, Fastmarkets’ Global Grain Geneva is an active Geneva-based flagship grains event; for the latest published edition, the official agenda page lists November 10–13, 2025 in Switzerland and the event’s positioning emphasizes senior decision-makers (including a stated 41% C-suite share). </w:t>
      </w:r>
      <w:hyperlink r:id="rId14">
        <w:r>
          <w:rPr>
            <w:rStyle w:val="Hyperlink"/>
          </w:rPr>
          <w:t>[10]</w:t>
        </w:r>
      </w:hyperlink>
      <w:r>
        <w:t xml:space="preserve"> Because you asked for a deck optimized to “Geneva Grains (trade/macroeconomic),” the Geneva-focused deck below is designed to align with the trade-flow/macro framing that appears consistently in Global Grain Geneva materials and programming. </w:t>
      </w:r>
      <w:hyperlink r:id="rId15">
        <w:r>
          <w:rPr>
            <w:rStyle w:val="Hyperlink"/>
          </w:rPr>
          <w:t>[11]</w:t>
        </w:r>
      </w:hyperlink>
    </w:p>
    <w:p w14:paraId="4636B332" w14:textId="77777777" w:rsidR="008906E8" w:rsidRDefault="00000000">
      <w:pPr>
        <w:pStyle w:val="Heading2"/>
      </w:pPr>
      <w:bookmarkStart w:id="5" w:name="deck-outlines"/>
      <w:bookmarkEnd w:id="4"/>
      <w:r>
        <w:t>Deck outlines</w:t>
      </w:r>
    </w:p>
    <w:p w14:paraId="3B8557F6" w14:textId="77777777" w:rsidR="008906E8" w:rsidRDefault="00000000">
      <w:pPr>
        <w:pStyle w:val="FirstParagraph"/>
      </w:pPr>
      <w:r>
        <w:t xml:space="preserve">The decks below share one spine: </w:t>
      </w:r>
      <w:r>
        <w:rPr>
          <w:b/>
          <w:bCs/>
        </w:rPr>
        <w:t>LLMs are not “market oracles”; they are high-throughput structuring and reasoning assistants that must be constrained by provenance, tool-use, validation, and reproducible pipelines</w:t>
      </w:r>
      <w:r>
        <w:t xml:space="preserve">—especially in commodities where decisions are financial, time-sensitive, and audit-exposed. </w:t>
      </w:r>
      <w:hyperlink r:id="rId16">
        <w:r>
          <w:rPr>
            <w:rStyle w:val="Hyperlink"/>
          </w:rPr>
          <w:t>[1]</w:t>
        </w:r>
      </w:hyperlink>
      <w:r>
        <w:t xml:space="preserve"> Each version changes: (a) examples, (b) risk controls emphasized, and (c) what “good output” looks like for that room.</w:t>
      </w:r>
    </w:p>
    <w:p w14:paraId="058C4732" w14:textId="77777777" w:rsidR="008906E8" w:rsidRDefault="00000000">
      <w:pPr>
        <w:pStyle w:val="Heading3"/>
      </w:pPr>
      <w:bookmarkStart w:id="6" w:name="afoa-deck-outline"/>
      <w:r>
        <w:t>AFOA deck outline</w:t>
      </w:r>
    </w:p>
    <w:p w14:paraId="7193FFEF" w14:textId="77777777" w:rsidR="008906E8" w:rsidRDefault="00000000">
      <w:pPr>
        <w:pStyle w:val="FirstParagraph"/>
      </w:pPr>
      <w:r>
        <w:rPr>
          <w:b/>
          <w:bCs/>
        </w:rPr>
        <w:t>Working title:</w:t>
      </w:r>
      <w:r>
        <w:t xml:space="preserve"> </w:t>
      </w:r>
      <w:r>
        <w:rPr>
          <w:i/>
          <w:iCs/>
        </w:rPr>
        <w:t>Audit-First AI for Fats, Oils, and Feedstocks: From PDFs to Decisions (Without Losing Discipline)</w:t>
      </w:r>
    </w:p>
    <w:p w14:paraId="55CE6B8F" w14:textId="77777777" w:rsidR="008906E8" w:rsidRDefault="00000000">
      <w:pPr>
        <w:pStyle w:val="BodyText"/>
      </w:pPr>
      <w:r>
        <w:rPr>
          <w:b/>
          <w:bCs/>
        </w:rPr>
        <w:t>Slide 1 — Why this talk (and why me)</w:t>
      </w:r>
      <w:r>
        <w:t xml:space="preserve"> - AI for commodity analysis: practical, not magical</w:t>
      </w:r>
      <w:r>
        <w:br/>
        <w:t>- Goal: faster synthesis with an audit trail</w:t>
      </w:r>
      <w:r>
        <w:br/>
      </w:r>
      <w:r>
        <w:rPr>
          <w:b/>
          <w:bCs/>
        </w:rPr>
        <w:t>Speaker notes (≈45–55 words):</w:t>
      </w:r>
      <w:r>
        <w:br/>
        <w:t xml:space="preserve">Open with your credibility: agricultural economist, ran agricultural analytics, now building an LLM-driven intelligence platform. Set the promise: not “AI predicts prices,” but “AI compresses messy inputs into structured, checkable analysis.” </w:t>
      </w:r>
      <w:r>
        <w:rPr>
          <w:b/>
          <w:bCs/>
        </w:rPr>
        <w:t>Visual:</w:t>
      </w:r>
      <w:r>
        <w:t xml:space="preserve"> a simple “inputs → checks → outputs” pipeline.</w:t>
      </w:r>
    </w:p>
    <w:p w14:paraId="6B0130FA" w14:textId="77777777" w:rsidR="008906E8" w:rsidRDefault="00000000">
      <w:pPr>
        <w:pStyle w:val="BodyText"/>
      </w:pPr>
      <w:r>
        <w:rPr>
          <w:b/>
          <w:bCs/>
        </w:rPr>
        <w:t>Slide 2 — What AFOA professionals already know</w:t>
      </w:r>
      <w:r>
        <w:t xml:space="preserve"> - Feedstocks are physical, messy, and spec-driven</w:t>
      </w:r>
      <w:r>
        <w:br/>
        <w:t>- Policy + logistics often dominate fundamentals</w:t>
      </w:r>
      <w:r>
        <w:br/>
      </w:r>
      <w:r>
        <w:rPr>
          <w:b/>
          <w:bCs/>
        </w:rPr>
        <w:t>Speaker notes (≈40–55 words):</w:t>
      </w:r>
      <w:r>
        <w:br/>
        <w:t xml:space="preserve">Anchor to the audience: fats/oils/feedstocks are defined by specs, logistics, contracts, and compliance. Note AFOA’s broad market scope (tallow, veg oils, proteins, biofuels), which makes manual synthesis expensive. </w:t>
      </w:r>
      <w:r>
        <w:rPr>
          <w:b/>
          <w:bCs/>
        </w:rPr>
        <w:t>Visual:</w:t>
      </w:r>
      <w:r>
        <w:t xml:space="preserve"> a “spec sheet + policy memo + market report” collage. </w:t>
      </w:r>
      <w:hyperlink r:id="rId17">
        <w:r>
          <w:rPr>
            <w:rStyle w:val="Hyperlink"/>
          </w:rPr>
          <w:t>[3]</w:t>
        </w:r>
      </w:hyperlink>
    </w:p>
    <w:p w14:paraId="27C0D378" w14:textId="77777777" w:rsidR="008906E8" w:rsidRDefault="00000000">
      <w:pPr>
        <w:pStyle w:val="BodyText"/>
      </w:pPr>
      <w:r>
        <w:rPr>
          <w:b/>
          <w:bCs/>
        </w:rPr>
        <w:t>Slide 3 — The real bottleneck: analyst time goes to janitorial work</w:t>
      </w:r>
      <w:r>
        <w:t xml:space="preserve"> - Collection &amp; cleaning consume the day</w:t>
      </w:r>
      <w:r>
        <w:br/>
        <w:t>- Interpretation time gets squeezed</w:t>
      </w:r>
      <w:r>
        <w:br/>
      </w:r>
      <w:r>
        <w:rPr>
          <w:b/>
          <w:bCs/>
        </w:rPr>
        <w:t>Speaker notes (≈35–55 words):</w:t>
      </w:r>
      <w:r>
        <w:br/>
        <w:t xml:space="preserve">Describe the current stack: chasing PDFs/emails, aligning units, reconciling conflicting </w:t>
      </w:r>
      <w:r>
        <w:lastRenderedPageBreak/>
        <w:t xml:space="preserve">numbers, then writing. Your thesis: the bottleneck is workflow, not IQ. </w:t>
      </w:r>
      <w:r>
        <w:rPr>
          <w:b/>
          <w:bCs/>
        </w:rPr>
        <w:t>Visual:</w:t>
      </w:r>
      <w:r>
        <w:t xml:space="preserve"> workflow swimlane showing where hours disappear (ingestion, normalization, reconciliation).</w:t>
      </w:r>
    </w:p>
    <w:p w14:paraId="2B7D64C2" w14:textId="77777777" w:rsidR="008906E8" w:rsidRDefault="00000000">
      <w:pPr>
        <w:pStyle w:val="BodyText"/>
      </w:pPr>
      <w:r>
        <w:rPr>
          <w:b/>
          <w:bCs/>
        </w:rPr>
        <w:t>Slide 4 — What LLMs are (in one honest slide)</w:t>
      </w:r>
      <w:r>
        <w:t xml:space="preserve"> - Powerful text-to-structure engine</w:t>
      </w:r>
      <w:r>
        <w:br/>
        <w:t>- Not a database; can hallucinate</w:t>
      </w:r>
      <w:r>
        <w:br/>
      </w:r>
      <w:r>
        <w:rPr>
          <w:b/>
          <w:bCs/>
        </w:rPr>
        <w:t>Speaker notes (≈40–60 words):</w:t>
      </w:r>
      <w:r>
        <w:br/>
        <w:t xml:space="preserve">Define LLMs as probabilistic language models that can extract and transform text fast, but can produce plausible errors (“hallucinations”). State the rule: LLM output is </w:t>
      </w:r>
      <w:r>
        <w:rPr>
          <w:i/>
          <w:iCs/>
        </w:rPr>
        <w:t>drafting and structuring</w:t>
      </w:r>
      <w:r>
        <w:t xml:space="preserve"> until grounded and verified. </w:t>
      </w:r>
      <w:r>
        <w:rPr>
          <w:b/>
          <w:bCs/>
        </w:rPr>
        <w:t>Visual:</w:t>
      </w:r>
      <w:r>
        <w:t xml:space="preserve"> “LLM + tools + sources” triangle. </w:t>
      </w:r>
      <w:hyperlink r:id="rId18">
        <w:r>
          <w:rPr>
            <w:rStyle w:val="Hyperlink"/>
          </w:rPr>
          <w:t>[12]</w:t>
        </w:r>
      </w:hyperlink>
    </w:p>
    <w:p w14:paraId="048F28DE" w14:textId="77777777" w:rsidR="008906E8" w:rsidRDefault="00000000">
      <w:pPr>
        <w:pStyle w:val="BodyText"/>
      </w:pPr>
      <w:r>
        <w:rPr>
          <w:b/>
          <w:bCs/>
        </w:rPr>
        <w:t>Slide 5 — Non-negotiables in commodity-grade AI</w:t>
      </w:r>
      <w:r>
        <w:t xml:space="preserve"> - Provenance: every number points to a source</w:t>
      </w:r>
      <w:r>
        <w:br/>
        <w:t>- Auditability: rerun, reproduce, explain</w:t>
      </w:r>
      <w:r>
        <w:br/>
        <w:t>- Guardrails: validation beats vibes</w:t>
      </w:r>
      <w:r>
        <w:br/>
      </w:r>
      <w:r>
        <w:rPr>
          <w:b/>
          <w:bCs/>
        </w:rPr>
        <w:t>Speaker notes (≈45–60 words):</w:t>
      </w:r>
      <w:r>
        <w:br/>
        <w:t xml:space="preserve">Explain why provenance and reproducibility matter: commodities decisions are economic and often compliance-sensitive. Introduce “audit-first” as a design constraint, not an afterthought. </w:t>
      </w:r>
      <w:r>
        <w:rPr>
          <w:b/>
          <w:bCs/>
        </w:rPr>
        <w:t>Visual:</w:t>
      </w:r>
      <w:r>
        <w:t xml:space="preserve"> checklist overlay (“source, timestamp, version, reviewer”). </w:t>
      </w:r>
      <w:hyperlink r:id="rId19">
        <w:r>
          <w:rPr>
            <w:rStyle w:val="Hyperlink"/>
          </w:rPr>
          <w:t>[13]</w:t>
        </w:r>
      </w:hyperlink>
    </w:p>
    <w:p w14:paraId="031F7D95" w14:textId="77777777" w:rsidR="008906E8" w:rsidRDefault="00000000">
      <w:pPr>
        <w:pStyle w:val="BodyText"/>
      </w:pPr>
      <w:r>
        <w:rPr>
          <w:b/>
          <w:bCs/>
        </w:rPr>
        <w:t>Slide 6 — The data foundation: medallion layers</w:t>
      </w:r>
      <w:r>
        <w:t xml:space="preserve"> - Bronze: raw ingestion (immutable)</w:t>
      </w:r>
      <w:r>
        <w:br/>
        <w:t>- Silver: standardized + validated</w:t>
      </w:r>
      <w:r>
        <w:br/>
        <w:t>- Gold: analytics-ready models/curves</w:t>
      </w:r>
      <w:r>
        <w:br/>
      </w:r>
      <w:r>
        <w:rPr>
          <w:b/>
          <w:bCs/>
        </w:rPr>
        <w:t>Speaker notes (≈45–60 words):</w:t>
      </w:r>
      <w:r>
        <w:br/>
        <w:t xml:space="preserve">Describe medallion architecture as progressive refinement (Bronze→Silver→Gold). Emphasize that the LLM should mostly operate on Silver (structured, validated) and produce Gold artifacts (features, scenarios, briefs). </w:t>
      </w:r>
      <w:r>
        <w:rPr>
          <w:b/>
          <w:bCs/>
        </w:rPr>
        <w:t>Visual:</w:t>
      </w:r>
      <w:r>
        <w:t xml:space="preserve"> three-layer medallion diagram with examples per layer. </w:t>
      </w:r>
      <w:hyperlink r:id="rId20">
        <w:r>
          <w:rPr>
            <w:rStyle w:val="Hyperlink"/>
          </w:rPr>
          <w:t>[14]</w:t>
        </w:r>
      </w:hyperlink>
    </w:p>
    <w:p w14:paraId="6A2161B1" w14:textId="77777777" w:rsidR="008906E8" w:rsidRDefault="00000000">
      <w:pPr>
        <w:pStyle w:val="BodyText"/>
      </w:pPr>
      <w:r>
        <w:rPr>
          <w:b/>
          <w:bCs/>
        </w:rPr>
        <w:t>Slide 7 — Multi-agent design (so one model doesn’t “do everything”)</w:t>
      </w:r>
      <w:r>
        <w:t xml:space="preserve"> - Collector agents: acquire inputs + metadata</w:t>
      </w:r>
      <w:r>
        <w:br/>
        <w:t>- Validator agents: unit/spec checks, anomalies</w:t>
      </w:r>
      <w:r>
        <w:br/>
        <w:t>- Analyst agent: interpret deltas + drivers</w:t>
      </w:r>
      <w:r>
        <w:br/>
        <w:t>- Writer agent: outputs with citations</w:t>
      </w:r>
      <w:r>
        <w:br/>
      </w:r>
      <w:r>
        <w:rPr>
          <w:b/>
          <w:bCs/>
        </w:rPr>
        <w:t>Speaker notes (≈45–60 words):</w:t>
      </w:r>
      <w:r>
        <w:br/>
        <w:t xml:space="preserve">Explain why agents: decomposition improves reliability and inspection. The LLM becomes an orchestrator with tool calls and explicit checkpoints, rather than a monolithic “chat.” </w:t>
      </w:r>
      <w:r>
        <w:rPr>
          <w:b/>
          <w:bCs/>
        </w:rPr>
        <w:t>Visual:</w:t>
      </w:r>
      <w:r>
        <w:t xml:space="preserve"> agent box diagram with arrows + “human sign-off” node. </w:t>
      </w:r>
      <w:hyperlink r:id="rId21">
        <w:r>
          <w:rPr>
            <w:rStyle w:val="Hyperlink"/>
          </w:rPr>
          <w:t>[15]</w:t>
        </w:r>
      </w:hyperlink>
    </w:p>
    <w:p w14:paraId="1DADB5B9" w14:textId="77777777" w:rsidR="008906E8" w:rsidRDefault="00000000">
      <w:pPr>
        <w:pStyle w:val="BodyText"/>
      </w:pPr>
      <w:r>
        <w:rPr>
          <w:b/>
          <w:bCs/>
        </w:rPr>
        <w:t>Slide 8 — Ingestion example: USDA market intelligence as a baseline</w:t>
      </w:r>
      <w:r>
        <w:t xml:space="preserve"> - Pull public market reports systematically</w:t>
      </w:r>
      <w:r>
        <w:br/>
        <w:t>- Parse, normalize, and tag by commodity/region</w:t>
      </w:r>
      <w:r>
        <w:br/>
      </w:r>
      <w:r>
        <w:rPr>
          <w:b/>
          <w:bCs/>
        </w:rPr>
        <w:t>Speaker notes (≈40–55 words):</w:t>
      </w:r>
      <w:r>
        <w:br/>
        <w:t xml:space="preserve">Use USDA Market News as a canonical example of structured public reporting you can ingest and index (livestock, poultry, grain, hay, bioenergy categories appear in AMS Market News navigation). </w:t>
      </w:r>
      <w:r>
        <w:rPr>
          <w:b/>
          <w:bCs/>
        </w:rPr>
        <w:t>Visual:</w:t>
      </w:r>
      <w:r>
        <w:t xml:space="preserve"> screenshot-style mock of source list → parsed fields. </w:t>
      </w:r>
      <w:hyperlink r:id="rId22">
        <w:r>
          <w:rPr>
            <w:rStyle w:val="Hyperlink"/>
          </w:rPr>
          <w:t>[16]</w:t>
        </w:r>
      </w:hyperlink>
    </w:p>
    <w:p w14:paraId="2C212C56" w14:textId="77777777" w:rsidR="008906E8" w:rsidRDefault="00000000">
      <w:pPr>
        <w:pStyle w:val="BodyText"/>
      </w:pPr>
      <w:r>
        <w:rPr>
          <w:b/>
          <w:bCs/>
        </w:rPr>
        <w:lastRenderedPageBreak/>
        <w:t>Slide 9 — Feedstock specs: where “AI” must be disciplined</w:t>
      </w:r>
      <w:r>
        <w:t xml:space="preserve"> - Convert specs into structured fields (FFA, MIU, moisture, etc.)</w:t>
      </w:r>
      <w:r>
        <w:br/>
        <w:t>- Apply rule-based validators before narrative</w:t>
      </w:r>
      <w:r>
        <w:br/>
      </w:r>
      <w:r>
        <w:rPr>
          <w:b/>
          <w:bCs/>
        </w:rPr>
        <w:t>Speaker notes (≈40–60 words):</w:t>
      </w:r>
      <w:r>
        <w:br/>
        <w:t xml:space="preserve">Emphasize AFOA-relevant nuance: specs drive value, and “unit mistakes” are more dangerous than being slow. Your platform should extract specs, normalize units, then validate against allowed ranges and contract rules before any commentary. </w:t>
      </w:r>
      <w:r>
        <w:rPr>
          <w:b/>
          <w:bCs/>
        </w:rPr>
        <w:t>Visual:</w:t>
      </w:r>
      <w:r>
        <w:t xml:space="preserve"> spec-table extraction with validation flags.</w:t>
      </w:r>
    </w:p>
    <w:p w14:paraId="0FAEA694" w14:textId="77777777" w:rsidR="008906E8" w:rsidRDefault="00000000">
      <w:pPr>
        <w:pStyle w:val="BodyText"/>
      </w:pPr>
      <w:r>
        <w:rPr>
          <w:b/>
          <w:bCs/>
        </w:rPr>
        <w:t>Slide 10 — Demo scenario: WASDE day, oilseeds angle</w:t>
      </w:r>
      <w:r>
        <w:t xml:space="preserve"> - Auto-diff key tables vs prior month</w:t>
      </w:r>
      <w:r>
        <w:br/>
        <w:t>- Produce “what changed” brief + scenario prompts</w:t>
      </w:r>
      <w:r>
        <w:br/>
      </w:r>
      <w:r>
        <w:rPr>
          <w:b/>
          <w:bCs/>
        </w:rPr>
        <w:t>Speaker notes (≈45–60 words):</w:t>
      </w:r>
      <w:r>
        <w:br/>
        <w:t xml:space="preserve">Show how your system handles a recurring high-volatility cadence: monthly WASDE. Use it as a demo of delta extraction, historical comparison, and drafting commentary while citing the underlying report. </w:t>
      </w:r>
      <w:r>
        <w:rPr>
          <w:b/>
          <w:bCs/>
        </w:rPr>
        <w:t>Visual:</w:t>
      </w:r>
      <w:r>
        <w:t xml:space="preserve"> “diff view” of a table + short narrative output. </w:t>
      </w:r>
      <w:hyperlink r:id="rId23">
        <w:r>
          <w:rPr>
            <w:rStyle w:val="Hyperlink"/>
          </w:rPr>
          <w:t>[17]</w:t>
        </w:r>
      </w:hyperlink>
    </w:p>
    <w:p w14:paraId="3A392C3F" w14:textId="77777777" w:rsidR="008906E8" w:rsidRDefault="00000000">
      <w:pPr>
        <w:pStyle w:val="BodyText"/>
      </w:pPr>
      <w:r>
        <w:rPr>
          <w:b/>
          <w:bCs/>
        </w:rPr>
        <w:t>Slide 11 — Policy linkage: RFS + LCFS as structured signals</w:t>
      </w:r>
      <w:r>
        <w:t xml:space="preserve"> - Track credit mechanisms + rule changes</w:t>
      </w:r>
      <w:r>
        <w:br/>
        <w:t>- Translate policy into margin sensitivities</w:t>
      </w:r>
      <w:r>
        <w:br/>
      </w:r>
      <w:r>
        <w:rPr>
          <w:b/>
          <w:bCs/>
        </w:rPr>
        <w:t>Speaker notes (≈45–60 words):</w:t>
      </w:r>
      <w:r>
        <w:br/>
        <w:t xml:space="preserve">Keep it concrete: RINs function as the “currency” for compliance in the U.S. Renewable Fuel Standard, and LCFS is designed to reduce carbon intensity in California’s fuel pool. Show how agents ingest updates and recompute implied economics. </w:t>
      </w:r>
      <w:r>
        <w:rPr>
          <w:b/>
          <w:bCs/>
        </w:rPr>
        <w:t>Visual:</w:t>
      </w:r>
      <w:r>
        <w:t xml:space="preserve"> policy→credit→margin flow. </w:t>
      </w:r>
      <w:hyperlink r:id="rId24">
        <w:r>
          <w:rPr>
            <w:rStyle w:val="Hyperlink"/>
          </w:rPr>
          <w:t>[18]</w:t>
        </w:r>
      </w:hyperlink>
    </w:p>
    <w:p w14:paraId="3E63345E" w14:textId="77777777" w:rsidR="008906E8" w:rsidRDefault="00000000">
      <w:pPr>
        <w:pStyle w:val="BodyText"/>
      </w:pPr>
      <w:r>
        <w:rPr>
          <w:b/>
          <w:bCs/>
        </w:rPr>
        <w:t>Slide 12 — Guardrails that work in practice</w:t>
      </w:r>
      <w:r>
        <w:t xml:space="preserve"> - Retrieval-augmented generation (RAG) for grounded drafting</w:t>
      </w:r>
      <w:r>
        <w:br/>
        <w:t>- Cross-source consistency checks</w:t>
      </w:r>
      <w:r>
        <w:br/>
        <w:t>- Human review gates for high-stakes outputs</w:t>
      </w:r>
      <w:r>
        <w:br/>
      </w:r>
      <w:r>
        <w:rPr>
          <w:b/>
          <w:bCs/>
        </w:rPr>
        <w:t>Speaker notes (≈45–60 words):</w:t>
      </w:r>
      <w:r>
        <w:br/>
        <w:t xml:space="preserve">Explain RAG as combining generation with retrieval from a vetted corpus so outputs cite sources rather than inventing them. Pair with deterministic validators and “stop conditions” when data conflicts. </w:t>
      </w:r>
      <w:r>
        <w:rPr>
          <w:b/>
          <w:bCs/>
        </w:rPr>
        <w:t>Visual:</w:t>
      </w:r>
      <w:r>
        <w:t xml:space="preserve"> RAG loop: query→retrieve→generate→cite. </w:t>
      </w:r>
      <w:hyperlink r:id="rId25">
        <w:r>
          <w:rPr>
            <w:rStyle w:val="Hyperlink"/>
          </w:rPr>
          <w:t>[19]</w:t>
        </w:r>
      </w:hyperlink>
    </w:p>
    <w:p w14:paraId="7EDCDEEC" w14:textId="77777777" w:rsidR="008906E8" w:rsidRDefault="00000000">
      <w:pPr>
        <w:pStyle w:val="BodyText"/>
      </w:pPr>
      <w:r>
        <w:rPr>
          <w:b/>
          <w:bCs/>
        </w:rPr>
        <w:t>Slide 13 — What this changes for a feedstock organization</w:t>
      </w:r>
      <w:r>
        <w:t xml:space="preserve"> - Faster coverage without adding headcount</w:t>
      </w:r>
      <w:r>
        <w:br/>
        <w:t>- Standardized “research objects” (datasets + narrative + audit)</w:t>
      </w:r>
      <w:r>
        <w:br/>
      </w:r>
      <w:r>
        <w:rPr>
          <w:b/>
          <w:bCs/>
        </w:rPr>
        <w:t>Speaker notes (≈35–55 words):</w:t>
      </w:r>
      <w:r>
        <w:br/>
        <w:t xml:space="preserve">Position it as an operating system: the win is consistency and speed under governance, not “replacing analysts.” Highlight reusable artifacts: datasets, assumptions, scenarios, and memos that can be rerun and updated. </w:t>
      </w:r>
      <w:r>
        <w:rPr>
          <w:b/>
          <w:bCs/>
        </w:rPr>
        <w:t>Visual:</w:t>
      </w:r>
      <w:r>
        <w:t xml:space="preserve"> before/after workflow.</w:t>
      </w:r>
    </w:p>
    <w:p w14:paraId="7A610FB2" w14:textId="77777777" w:rsidR="008906E8" w:rsidRDefault="00000000">
      <w:pPr>
        <w:pStyle w:val="BodyText"/>
      </w:pPr>
      <w:r>
        <w:rPr>
          <w:b/>
          <w:bCs/>
        </w:rPr>
        <w:t>Slide 14 — Limits (said plainly) + close</w:t>
      </w:r>
      <w:r>
        <w:t xml:space="preserve"> - LLMs can be wrong; governance is the product</w:t>
      </w:r>
      <w:r>
        <w:br/>
        <w:t>- The edge is architecture + domain judgment</w:t>
      </w:r>
      <w:r>
        <w:br/>
      </w:r>
      <w:r>
        <w:rPr>
          <w:b/>
          <w:bCs/>
        </w:rPr>
        <w:t>Speaker notes (≈45–60 words):</w:t>
      </w:r>
      <w:r>
        <w:br/>
      </w:r>
      <w:r>
        <w:lastRenderedPageBreak/>
        <w:t xml:space="preserve">End with credibility: hallucinations and subtle reasoning errors remain real; therefore, you design around them. AI amplifies structure and discipline; it also amplifies sloppiness. Close with a simple thesis: “build systems that make doing the right thing the default.” </w:t>
      </w:r>
      <w:hyperlink r:id="rId26">
        <w:r>
          <w:rPr>
            <w:rStyle w:val="Hyperlink"/>
          </w:rPr>
          <w:t>[20]</w:t>
        </w:r>
      </w:hyperlink>
    </w:p>
    <w:p w14:paraId="78A42B8D" w14:textId="77777777" w:rsidR="008906E8" w:rsidRDefault="00000000">
      <w:r>
        <w:pict w14:anchorId="11B7CFB3">
          <v:rect id="_x0000_i1025" style="width:0;height:1.5pt" o:hralign="center" o:hrstd="t" o:hr="t"/>
        </w:pict>
      </w:r>
    </w:p>
    <w:p w14:paraId="4D27C538" w14:textId="77777777" w:rsidR="008906E8" w:rsidRDefault="00000000">
      <w:pPr>
        <w:pStyle w:val="Heading3"/>
      </w:pPr>
      <w:bookmarkStart w:id="7" w:name="Xd827453a8be1711452f3c495038a9c77784f1b5"/>
      <w:bookmarkEnd w:id="6"/>
      <w:r>
        <w:t>Fastmarkets Biofuels &amp; Feedstocks Americas deck outline</w:t>
      </w:r>
    </w:p>
    <w:p w14:paraId="09C5DF12" w14:textId="77777777" w:rsidR="008906E8" w:rsidRDefault="00000000">
      <w:pPr>
        <w:pStyle w:val="FirstParagraph"/>
      </w:pPr>
      <w:r>
        <w:rPr>
          <w:b/>
          <w:bCs/>
        </w:rPr>
        <w:t>Working title:</w:t>
      </w:r>
      <w:r>
        <w:t xml:space="preserve"> </w:t>
      </w:r>
      <w:r>
        <w:rPr>
          <w:i/>
          <w:iCs/>
        </w:rPr>
        <w:t>LLM Systems for Biofuels Pricing Intelligence: Provenance, Guardrails, and Decision-Grade Outputs</w:t>
      </w:r>
    </w:p>
    <w:p w14:paraId="070B7455" w14:textId="77777777" w:rsidR="008906E8" w:rsidRDefault="00000000">
      <w:pPr>
        <w:pStyle w:val="BodyText"/>
      </w:pPr>
      <w:r>
        <w:rPr>
          <w:b/>
          <w:bCs/>
        </w:rPr>
        <w:t>Slide 1 — Thesis</w:t>
      </w:r>
      <w:r>
        <w:t xml:space="preserve"> - Pricing intelligence is a systems problem</w:t>
      </w:r>
      <w:r>
        <w:br/>
        <w:t>- AI helps if it’s auditable and constrained</w:t>
      </w:r>
      <w:r>
        <w:br/>
      </w:r>
      <w:r>
        <w:rPr>
          <w:b/>
          <w:bCs/>
        </w:rPr>
        <w:t>Speaker notes (≈40–55 words):</w:t>
      </w:r>
      <w:r>
        <w:br/>
        <w:t xml:space="preserve">Open by aligning to the room: they care about pricing dynamics, policy impacts, and feedstock availability, not AI theater. Frame your talk as “how to build a decision-grade LLM workflow around biofuels fundamentals.” </w:t>
      </w:r>
      <w:r>
        <w:rPr>
          <w:b/>
          <w:bCs/>
        </w:rPr>
        <w:t>Visual:</w:t>
      </w:r>
      <w:r>
        <w:t xml:space="preserve"> pricing-intel pipeline (inputs→checks→outputs). </w:t>
      </w:r>
      <w:hyperlink r:id="rId27">
        <w:r>
          <w:rPr>
            <w:rStyle w:val="Hyperlink"/>
          </w:rPr>
          <w:t>[21]</w:t>
        </w:r>
      </w:hyperlink>
    </w:p>
    <w:p w14:paraId="5D7A9C98" w14:textId="77777777" w:rsidR="008906E8" w:rsidRDefault="00000000">
      <w:pPr>
        <w:pStyle w:val="BodyText"/>
      </w:pPr>
      <w:r>
        <w:rPr>
          <w:b/>
          <w:bCs/>
        </w:rPr>
        <w:t>Slide 2 — The commercial reality: more signals than humans can process</w:t>
      </w:r>
      <w:r>
        <w:t xml:space="preserve"> - Policy, credits, logistics, and specs drive margins</w:t>
      </w:r>
      <w:r>
        <w:br/>
        <w:t>- Market moves faster than reporting cycles</w:t>
      </w:r>
      <w:r>
        <w:br/>
      </w:r>
      <w:r>
        <w:rPr>
          <w:b/>
          <w:bCs/>
        </w:rPr>
        <w:t>Speaker notes (≈40–55 words):</w:t>
      </w:r>
      <w:r>
        <w:br/>
        <w:t xml:space="preserve">Ground this in the event’s framing: producers, traders, refiners, airlines, policymakers—many drivers, all moving. The opportunity is compressing time-to-understanding while keeping an audit trail. </w:t>
      </w:r>
      <w:r>
        <w:rPr>
          <w:b/>
          <w:bCs/>
        </w:rPr>
        <w:t>Visual:</w:t>
      </w:r>
      <w:r>
        <w:t xml:space="preserve"> “signal map” (policy, feedstocks, freight, credits, futures). </w:t>
      </w:r>
      <w:hyperlink r:id="rId28">
        <w:r>
          <w:rPr>
            <w:rStyle w:val="Hyperlink"/>
          </w:rPr>
          <w:t>[22]</w:t>
        </w:r>
      </w:hyperlink>
    </w:p>
    <w:p w14:paraId="43D66A81" w14:textId="77777777" w:rsidR="008906E8" w:rsidRDefault="00000000">
      <w:pPr>
        <w:pStyle w:val="BodyText"/>
      </w:pPr>
      <w:r>
        <w:rPr>
          <w:b/>
          <w:bCs/>
        </w:rPr>
        <w:t>Slide 3 — Clarify scope: intelligence vs benchmarks</w:t>
      </w:r>
      <w:r>
        <w:t xml:space="preserve"> - Your platform is not a PRA</w:t>
      </w:r>
      <w:r>
        <w:br/>
        <w:t>- It’s an internal intelligence and analysis layer</w:t>
      </w:r>
      <w:r>
        <w:br/>
      </w:r>
      <w:r>
        <w:rPr>
          <w:b/>
          <w:bCs/>
        </w:rPr>
        <w:t>Speaker notes (≈35–55 words):</w:t>
      </w:r>
      <w:r>
        <w:br/>
        <w:t xml:space="preserve">Fastmarkets describes itself as a price reporting agency on its event pages; acknowledge that context explicitly. Your value: combining public sources, subscriptions, and internal notes into consistent analysis products—not publishing assessable benchmarks. </w:t>
      </w:r>
      <w:r>
        <w:rPr>
          <w:b/>
          <w:bCs/>
        </w:rPr>
        <w:t>Visual:</w:t>
      </w:r>
      <w:r>
        <w:t xml:space="preserve"> “PRA prices as one input among many.” </w:t>
      </w:r>
      <w:hyperlink r:id="rId29">
        <w:r>
          <w:rPr>
            <w:rStyle w:val="Hyperlink"/>
          </w:rPr>
          <w:t>[23]</w:t>
        </w:r>
      </w:hyperlink>
    </w:p>
    <w:p w14:paraId="13C0B74D" w14:textId="77777777" w:rsidR="008906E8" w:rsidRDefault="00000000">
      <w:pPr>
        <w:pStyle w:val="BodyText"/>
      </w:pPr>
      <w:r>
        <w:rPr>
          <w:b/>
          <w:bCs/>
        </w:rPr>
        <w:t>Slide 4 — What LLMs are good at for this room</w:t>
      </w:r>
      <w:r>
        <w:t xml:space="preserve"> - Extract market color → structured fields</w:t>
      </w:r>
      <w:r>
        <w:br/>
        <w:t>- Normalize terms (delivery, units, specs)</w:t>
      </w:r>
      <w:r>
        <w:br/>
        <w:t>- Draft first-pass narratives with citations</w:t>
      </w:r>
      <w:r>
        <w:br/>
      </w:r>
      <w:r>
        <w:rPr>
          <w:b/>
          <w:bCs/>
        </w:rPr>
        <w:t>Speaker notes (≈40–60 words):</w:t>
      </w:r>
      <w:r>
        <w:br/>
        <w:t xml:space="preserve">Speak in the language of pricing desks: terms and conditions, delivery windows, qualities, and exceptions. LLMs excel at turning messy text into structured records—if you bind them to schemas and validation rules. </w:t>
      </w:r>
      <w:r>
        <w:rPr>
          <w:b/>
          <w:bCs/>
        </w:rPr>
        <w:t>Visual:</w:t>
      </w:r>
      <w:r>
        <w:t xml:space="preserve"> “chat transcript → trade card” transformation.</w:t>
      </w:r>
    </w:p>
    <w:p w14:paraId="6344AFAE" w14:textId="77777777" w:rsidR="008906E8" w:rsidRDefault="00000000">
      <w:pPr>
        <w:pStyle w:val="BodyText"/>
      </w:pPr>
      <w:r>
        <w:rPr>
          <w:b/>
          <w:bCs/>
        </w:rPr>
        <w:t>Slide 5 — What they’re bad at (and why it matters in pricing)</w:t>
      </w:r>
      <w:r>
        <w:t xml:space="preserve"> - Confidently wrong outputs</w:t>
      </w:r>
      <w:r>
        <w:br/>
        <w:t>- Weak at implicit unit discipline unless enforced</w:t>
      </w:r>
      <w:r>
        <w:br/>
      </w:r>
      <w:r>
        <w:rPr>
          <w:b/>
          <w:bCs/>
        </w:rPr>
        <w:t>Speaker notes (≈40–60 words):</w:t>
      </w:r>
      <w:r>
        <w:br/>
      </w:r>
      <w:r>
        <w:lastRenderedPageBreak/>
        <w:t xml:space="preserve">Connect LLM failure modes to pricing risk: a hallucinated detail or missed unit conversion can blow up a margin view. Cite literature that LLMs can generate plausible nonfactual content and require mitigation/controls. </w:t>
      </w:r>
      <w:r>
        <w:rPr>
          <w:b/>
          <w:bCs/>
        </w:rPr>
        <w:t>Visual:</w:t>
      </w:r>
      <w:r>
        <w:t xml:space="preserve"> “error taxonomy” (hallucination, unit error, stale source). </w:t>
      </w:r>
      <w:hyperlink r:id="rId30">
        <w:r>
          <w:rPr>
            <w:rStyle w:val="Hyperlink"/>
          </w:rPr>
          <w:t>[12]</w:t>
        </w:r>
      </w:hyperlink>
    </w:p>
    <w:p w14:paraId="5D149494" w14:textId="77777777" w:rsidR="008906E8" w:rsidRDefault="00000000">
      <w:pPr>
        <w:pStyle w:val="BodyText"/>
      </w:pPr>
      <w:r>
        <w:rPr>
          <w:b/>
          <w:bCs/>
        </w:rPr>
        <w:t>Slide 6 — Medallion data structure for pricing workflows</w:t>
      </w:r>
      <w:r>
        <w:t xml:space="preserve"> - Bronze: raw notes, PDFs, emails, assessments</w:t>
      </w:r>
      <w:r>
        <w:br/>
        <w:t>- Silver: canonical “price observation” objects</w:t>
      </w:r>
      <w:r>
        <w:br/>
        <w:t>- Gold: curves, scenarios, margin dashboards</w:t>
      </w:r>
      <w:r>
        <w:br/>
      </w:r>
      <w:r>
        <w:rPr>
          <w:b/>
          <w:bCs/>
        </w:rPr>
        <w:t>Speaker notes (≈45–60 words):</w:t>
      </w:r>
      <w:r>
        <w:br/>
        <w:t xml:space="preserve">Use medallion layers to make provenance operational: raw artifacts are immutable; structured observations are validated; analytics outputs are derived and reproducible. Emphasize that governance is cheaper when the pipeline is designed for it. </w:t>
      </w:r>
      <w:r>
        <w:rPr>
          <w:b/>
          <w:bCs/>
        </w:rPr>
        <w:t>Visual:</w:t>
      </w:r>
      <w:r>
        <w:t xml:space="preserve"> medallion layers with biofuels examples. </w:t>
      </w:r>
      <w:hyperlink r:id="rId31">
        <w:r>
          <w:rPr>
            <w:rStyle w:val="Hyperlink"/>
          </w:rPr>
          <w:t>[14]</w:t>
        </w:r>
      </w:hyperlink>
    </w:p>
    <w:p w14:paraId="7994E0F5" w14:textId="77777777" w:rsidR="008906E8" w:rsidRDefault="00000000">
      <w:pPr>
        <w:pStyle w:val="BodyText"/>
      </w:pPr>
      <w:r>
        <w:rPr>
          <w:b/>
          <w:bCs/>
        </w:rPr>
        <w:t>Slide 7 — Multi-agent design mapped to biofuels tasks</w:t>
      </w:r>
      <w:r>
        <w:t xml:space="preserve"> - Collector: policy + market updates + datasets</w:t>
      </w:r>
      <w:r>
        <w:br/>
        <w:t>- Reconciler: cross-source checks, unit normalization</w:t>
      </w:r>
      <w:r>
        <w:br/>
        <w:t>- Economist: scenario + elasticity framing</w:t>
      </w:r>
      <w:r>
        <w:br/>
        <w:t>- Publisher: “pricing brief” with citations + confidence tags</w:t>
      </w:r>
      <w:r>
        <w:br/>
      </w:r>
      <w:r>
        <w:rPr>
          <w:b/>
          <w:bCs/>
        </w:rPr>
        <w:t>Speaker notes (≈45–60 words):</w:t>
      </w:r>
      <w:r>
        <w:br/>
        <w:t xml:space="preserve">Show agents as roles the desk already understands. Each agent has explicit inputs/outputs and logs decisions. This makes QA possible and prevents “one model guessing everything.” </w:t>
      </w:r>
      <w:r>
        <w:rPr>
          <w:b/>
          <w:bCs/>
        </w:rPr>
        <w:t>Visual:</w:t>
      </w:r>
      <w:r>
        <w:t xml:space="preserve"> role-based agent diagram. </w:t>
      </w:r>
      <w:hyperlink r:id="rId32">
        <w:r>
          <w:rPr>
            <w:rStyle w:val="Hyperlink"/>
          </w:rPr>
          <w:t>[15]</w:t>
        </w:r>
      </w:hyperlink>
    </w:p>
    <w:p w14:paraId="5F87061F" w14:textId="77777777" w:rsidR="008906E8" w:rsidRDefault="00000000">
      <w:pPr>
        <w:pStyle w:val="BodyText"/>
      </w:pPr>
      <w:r>
        <w:rPr>
          <w:b/>
          <w:bCs/>
        </w:rPr>
        <w:t>Slide 8 — Provenance &amp; auditability: what “good” looks like</w:t>
      </w:r>
      <w:r>
        <w:t xml:space="preserve"> - Every claim has a source link + timestamp</w:t>
      </w:r>
      <w:r>
        <w:br/>
        <w:t>- Every run is replayable (same inputs → same outputs)</w:t>
      </w:r>
      <w:r>
        <w:br/>
      </w:r>
      <w:r>
        <w:rPr>
          <w:b/>
          <w:bCs/>
        </w:rPr>
        <w:t>Speaker notes (≈40–60 words):</w:t>
      </w:r>
      <w:r>
        <w:br/>
        <w:t xml:space="preserve">Define “decision-grade”: not eloquent text—verifiable outputs. Tie to risk management principles emphasized in NIST’s AI RMF and Generative AI profile: transparency, documentation, and managing system risks. </w:t>
      </w:r>
      <w:r>
        <w:rPr>
          <w:b/>
          <w:bCs/>
        </w:rPr>
        <w:t>Visual:</w:t>
      </w:r>
      <w:r>
        <w:t xml:space="preserve"> sample audit log with citations attached. </w:t>
      </w:r>
      <w:hyperlink r:id="rId33">
        <w:r>
          <w:rPr>
            <w:rStyle w:val="Hyperlink"/>
          </w:rPr>
          <w:t>[24]</w:t>
        </w:r>
      </w:hyperlink>
    </w:p>
    <w:p w14:paraId="5A02BB7C" w14:textId="77777777" w:rsidR="008906E8" w:rsidRDefault="00000000">
      <w:pPr>
        <w:pStyle w:val="BodyText"/>
      </w:pPr>
      <w:r>
        <w:rPr>
          <w:b/>
          <w:bCs/>
        </w:rPr>
        <w:t>Slide 9 — Demo scenario: feedstock shock</w:t>
      </w:r>
      <w:r>
        <w:t xml:space="preserve"> - Detect shock (spread/basis + supply headline)</w:t>
      </w:r>
      <w:r>
        <w:br/>
        <w:t>- Generate “what changed + why it matters” memo</w:t>
      </w:r>
      <w:r>
        <w:br/>
        <w:t>- Produce scenario matrix (best/base/worst)</w:t>
      </w:r>
      <w:r>
        <w:br/>
      </w:r>
      <w:r>
        <w:rPr>
          <w:b/>
          <w:bCs/>
        </w:rPr>
        <w:t>Speaker notes (≈45–60 words):</w:t>
      </w:r>
      <w:r>
        <w:br/>
        <w:t xml:space="preserve">Present a shock narrative the room recognizes (e.g., sudden UCO supply disruption, logistics constraint, or policy signal). Walk through: ingest headline + price observations, validate, then output a scenario matrix and immediate desk brief. </w:t>
      </w:r>
      <w:r>
        <w:rPr>
          <w:b/>
          <w:bCs/>
        </w:rPr>
        <w:t>Visual:</w:t>
      </w:r>
      <w:r>
        <w:t xml:space="preserve"> shock timeline + scenario table.</w:t>
      </w:r>
    </w:p>
    <w:p w14:paraId="35DF774A" w14:textId="77777777" w:rsidR="008906E8" w:rsidRDefault="00000000">
      <w:pPr>
        <w:pStyle w:val="BodyText"/>
      </w:pPr>
      <w:r>
        <w:rPr>
          <w:b/>
          <w:bCs/>
        </w:rPr>
        <w:t>Slide 10 — Policy-to-economics: credits as structured variables</w:t>
      </w:r>
      <w:r>
        <w:t xml:space="preserve"> - RFS compliance credits (RINs)</w:t>
      </w:r>
      <w:r>
        <w:br/>
      </w:r>
      <w:r>
        <w:lastRenderedPageBreak/>
        <w:t>- LCFS carbon intensity incentives</w:t>
      </w:r>
      <w:r>
        <w:br/>
        <w:t>- SAF context via CORSIA sustainability criteria</w:t>
      </w:r>
      <w:r>
        <w:br/>
      </w:r>
      <w:r>
        <w:rPr>
          <w:b/>
          <w:bCs/>
        </w:rPr>
        <w:t>Speaker notes (≈45–60 words):</w:t>
      </w:r>
      <w:r>
        <w:br/>
        <w:t xml:space="preserve">Be concrete and cite official definitions: EPA frames RINs as compliance credits and “currency” of RFS; CARB frames LCFS as reducing fuel carbon intensity; ICAO describes how SAF can reduce CORSIA offsetting requirements under sustainability criteria. </w:t>
      </w:r>
      <w:r>
        <w:rPr>
          <w:b/>
          <w:bCs/>
        </w:rPr>
        <w:t>Visual:</w:t>
      </w:r>
      <w:r>
        <w:t xml:space="preserve"> policy → incentives → feedstock demand. </w:t>
      </w:r>
      <w:hyperlink r:id="rId34">
        <w:r>
          <w:rPr>
            <w:rStyle w:val="Hyperlink"/>
          </w:rPr>
          <w:t>[25]</w:t>
        </w:r>
      </w:hyperlink>
    </w:p>
    <w:p w14:paraId="58F0134B" w14:textId="77777777" w:rsidR="008906E8" w:rsidRDefault="00000000">
      <w:pPr>
        <w:pStyle w:val="BodyText"/>
      </w:pPr>
      <w:r>
        <w:rPr>
          <w:b/>
          <w:bCs/>
        </w:rPr>
        <w:t>Slide 11 — Guardrails: RAG + deterministic tests</w:t>
      </w:r>
      <w:r>
        <w:t xml:space="preserve"> - RAG for grounded drafting</w:t>
      </w:r>
      <w:r>
        <w:br/>
        <w:t>- Schema validation + anomaly detection</w:t>
      </w:r>
      <w:r>
        <w:br/>
        <w:t>- “Stop and ask” when sources disagree</w:t>
      </w:r>
      <w:r>
        <w:br/>
      </w:r>
      <w:r>
        <w:rPr>
          <w:b/>
          <w:bCs/>
        </w:rPr>
        <w:t>Speaker notes (≈40–60 words):</w:t>
      </w:r>
      <w:r>
        <w:br/>
        <w:t xml:space="preserve">Cite RAG’s core concept: combining parametric generation with retrieved documents for knowledge-intensive tasks. Pair it with deterministic validation (unit checks, allowable ranges, cross-source diffs). The rule: if the system can’t reconcile, it escalates. </w:t>
      </w:r>
      <w:r>
        <w:rPr>
          <w:b/>
          <w:bCs/>
        </w:rPr>
        <w:t>Visual:</w:t>
      </w:r>
      <w:r>
        <w:t xml:space="preserve"> retrieval loop with validation gate. </w:t>
      </w:r>
      <w:hyperlink r:id="rId35">
        <w:r>
          <w:rPr>
            <w:rStyle w:val="Hyperlink"/>
          </w:rPr>
          <w:t>[19]</w:t>
        </w:r>
      </w:hyperlink>
    </w:p>
    <w:p w14:paraId="0D21140B" w14:textId="77777777" w:rsidR="008906E8" w:rsidRDefault="00000000">
      <w:pPr>
        <w:pStyle w:val="BodyText"/>
      </w:pPr>
      <w:r>
        <w:rPr>
          <w:b/>
          <w:bCs/>
        </w:rPr>
        <w:t>Slide 12 — Outputs the room actually uses</w:t>
      </w:r>
      <w:r>
        <w:t xml:space="preserve"> - 1‑page desk brief (drivers, numbers, risks)</w:t>
      </w:r>
      <w:r>
        <w:br/>
        <w:t>- Scenario matrix with assumptions</w:t>
      </w:r>
      <w:r>
        <w:br/>
        <w:t>- “Source pack” for compliance and review</w:t>
      </w:r>
      <w:r>
        <w:br/>
      </w:r>
      <w:r>
        <w:rPr>
          <w:b/>
          <w:bCs/>
        </w:rPr>
        <w:t>Speaker notes (≈35–55 words):</w:t>
      </w:r>
      <w:r>
        <w:br/>
        <w:t xml:space="preserve">Describe deliverables that fit pricing desks: short memos, scenario tables, and a source packet that makes review fast. Show a mock output with citations and “confidence tagging.” </w:t>
      </w:r>
      <w:r>
        <w:rPr>
          <w:b/>
          <w:bCs/>
        </w:rPr>
        <w:t>Visual:</w:t>
      </w:r>
      <w:r>
        <w:t xml:space="preserve"> sample brief layout (3 sections + footnoted sources).</w:t>
      </w:r>
    </w:p>
    <w:p w14:paraId="490A9DC5" w14:textId="77777777" w:rsidR="008906E8" w:rsidRDefault="00000000">
      <w:pPr>
        <w:pStyle w:val="BodyText"/>
      </w:pPr>
      <w:r>
        <w:rPr>
          <w:b/>
          <w:bCs/>
        </w:rPr>
        <w:t>Slide 13 — Failure modes you design around</w:t>
      </w:r>
      <w:r>
        <w:t xml:space="preserve"> - Data staleness and silent drift</w:t>
      </w:r>
      <w:r>
        <w:br/>
        <w:t>- Hallucination pressure under ambiguity</w:t>
      </w:r>
      <w:r>
        <w:br/>
        <w:t>- Overfitting narratives to recent headlines</w:t>
      </w:r>
      <w:r>
        <w:br/>
      </w:r>
      <w:r>
        <w:rPr>
          <w:b/>
          <w:bCs/>
        </w:rPr>
        <w:t>Speaker notes (≈45–60 words):</w:t>
      </w:r>
      <w:r>
        <w:br/>
        <w:t xml:space="preserve">Acknowledge the uncomfortable truth: even with modern models, hallucinations and errors persist; mitigation is an engineering and governance task, not “better prompts.” Reference hallucination surveys and the need for risk management practices. </w:t>
      </w:r>
      <w:r>
        <w:rPr>
          <w:b/>
          <w:bCs/>
        </w:rPr>
        <w:t>Visual:</w:t>
      </w:r>
      <w:r>
        <w:t xml:space="preserve"> risk register with mitigations. </w:t>
      </w:r>
      <w:hyperlink r:id="rId36">
        <w:r>
          <w:rPr>
            <w:rStyle w:val="Hyperlink"/>
          </w:rPr>
          <w:t>[26]</w:t>
        </w:r>
      </w:hyperlink>
    </w:p>
    <w:p w14:paraId="37537C1D" w14:textId="77777777" w:rsidR="008906E8" w:rsidRDefault="00000000">
      <w:pPr>
        <w:pStyle w:val="BodyText"/>
      </w:pPr>
      <w:r>
        <w:rPr>
          <w:b/>
          <w:bCs/>
        </w:rPr>
        <w:t>Slide 14 — Close: what changes in 12 months</w:t>
      </w:r>
      <w:r>
        <w:t xml:space="preserve"> - Human judgment stays central</w:t>
      </w:r>
      <w:r>
        <w:br/>
        <w:t>- AI increases coverage, speed, and consistency</w:t>
      </w:r>
      <w:r>
        <w:br/>
      </w:r>
      <w:r>
        <w:rPr>
          <w:b/>
          <w:bCs/>
        </w:rPr>
        <w:t>Speaker notes (≈40–55 words):</w:t>
      </w:r>
      <w:r>
        <w:br/>
        <w:t xml:space="preserve">Close with a non-hype statement: analysts aren’t replaced; the workflow is rebuilt. The competitive edge becomes the ability to generate consistent, auditable intelligence quickly—especially when policy and logistics dominate. </w:t>
      </w:r>
      <w:r>
        <w:rPr>
          <w:b/>
          <w:bCs/>
        </w:rPr>
        <w:t>Visual:</w:t>
      </w:r>
      <w:r>
        <w:t xml:space="preserve"> “future desk” architecture diagram.</w:t>
      </w:r>
    </w:p>
    <w:p w14:paraId="18CD2D71" w14:textId="77777777" w:rsidR="008906E8" w:rsidRDefault="00000000">
      <w:r>
        <w:pict w14:anchorId="53A7B528">
          <v:rect id="_x0000_i1026" style="width:0;height:1.5pt" o:hralign="center" o:hrstd="t" o:hr="t"/>
        </w:pict>
      </w:r>
    </w:p>
    <w:p w14:paraId="125517C7" w14:textId="77777777" w:rsidR="008906E8" w:rsidRDefault="00000000">
      <w:pPr>
        <w:pStyle w:val="Heading3"/>
      </w:pPr>
      <w:bookmarkStart w:id="8" w:name="geneva-trade-and-macro-deck-outline"/>
      <w:bookmarkEnd w:id="7"/>
      <w:r>
        <w:lastRenderedPageBreak/>
        <w:t>Geneva trade and macro deck outline</w:t>
      </w:r>
    </w:p>
    <w:p w14:paraId="657DEAF5" w14:textId="77777777" w:rsidR="008906E8" w:rsidRDefault="00000000">
      <w:pPr>
        <w:pStyle w:val="FirstParagraph"/>
      </w:pPr>
      <w:r>
        <w:rPr>
          <w:b/>
          <w:bCs/>
        </w:rPr>
        <w:t>Working title:</w:t>
      </w:r>
      <w:r>
        <w:t xml:space="preserve"> </w:t>
      </w:r>
      <w:r>
        <w:rPr>
          <w:i/>
          <w:iCs/>
        </w:rPr>
        <w:t>Agents for Global Grain Trade Intelligence: From Flows and Freight to Auditable Narratives</w:t>
      </w:r>
    </w:p>
    <w:p w14:paraId="2AABA5A7" w14:textId="77777777" w:rsidR="008906E8" w:rsidRDefault="00000000">
      <w:pPr>
        <w:pStyle w:val="BodyText"/>
      </w:pPr>
      <w:r>
        <w:rPr>
          <w:b/>
          <w:bCs/>
        </w:rPr>
        <w:t>Slide 1 — Thesis</w:t>
      </w:r>
      <w:r>
        <w:t xml:space="preserve"> - Grain trade is a multi-system problem</w:t>
      </w:r>
      <w:r>
        <w:br/>
        <w:t>- AI works only with provenance + guardrails</w:t>
      </w:r>
      <w:r>
        <w:br/>
      </w:r>
      <w:r>
        <w:rPr>
          <w:b/>
          <w:bCs/>
        </w:rPr>
        <w:t>Speaker notes (≈40–55 words):</w:t>
      </w:r>
      <w:r>
        <w:br/>
        <w:t xml:space="preserve">Frame for a Geneva grains audience: your goal is not to “predict” but to compress global complexity into a rigorous, replayable view. Position: architecture + economics + trade intuition. </w:t>
      </w:r>
      <w:r>
        <w:rPr>
          <w:b/>
          <w:bCs/>
        </w:rPr>
        <w:t>Visual:</w:t>
      </w:r>
      <w:r>
        <w:t xml:space="preserve"> world map with arrows (flows) + a small “audit log” icon.</w:t>
      </w:r>
    </w:p>
    <w:p w14:paraId="15FEB9AF" w14:textId="77777777" w:rsidR="008906E8" w:rsidRDefault="00000000">
      <w:pPr>
        <w:pStyle w:val="BodyText"/>
      </w:pPr>
      <w:r>
        <w:rPr>
          <w:b/>
          <w:bCs/>
        </w:rPr>
        <w:t>Slide 2 — Why Geneva trade rooms care: geopolitics + logistics</w:t>
      </w:r>
      <w:r>
        <w:t xml:space="preserve"> - Supply chains are vulnerable to disruption</w:t>
      </w:r>
      <w:r>
        <w:br/>
        <w:t>- Headlines can overwhelm fundamentals</w:t>
      </w:r>
      <w:r>
        <w:br/>
      </w:r>
      <w:r>
        <w:rPr>
          <w:b/>
          <w:bCs/>
        </w:rPr>
        <w:t>Speaker notes (≈45–60 words):</w:t>
      </w:r>
      <w:r>
        <w:br/>
        <w:t xml:space="preserve">Use the conference’s own themes: programming highlights supply chain bottlenecks, geopolitical factors, and transportation constraints affecting grain movements. Explain that when narratives dominate, disciplined sourcing and scenario framing become the edge. </w:t>
      </w:r>
      <w:r>
        <w:rPr>
          <w:b/>
          <w:bCs/>
        </w:rPr>
        <w:t>Visual:</w:t>
      </w:r>
      <w:r>
        <w:t xml:space="preserve"> “freight bottleneck” photo + a flow diagram. </w:t>
      </w:r>
      <w:hyperlink r:id="rId37">
        <w:r>
          <w:rPr>
            <w:rStyle w:val="Hyperlink"/>
          </w:rPr>
          <w:t>[11]</w:t>
        </w:r>
      </w:hyperlink>
    </w:p>
    <w:p w14:paraId="68262306" w14:textId="77777777" w:rsidR="008906E8" w:rsidRDefault="00000000">
      <w:pPr>
        <w:pStyle w:val="BodyText"/>
      </w:pPr>
      <w:r>
        <w:rPr>
          <w:b/>
          <w:bCs/>
        </w:rPr>
        <w:t>Slide 3 — The analyst stack for trade decisions</w:t>
      </w:r>
      <w:r>
        <w:t xml:space="preserve"> - Balance sheets + trade flows</w:t>
      </w:r>
      <w:r>
        <w:br/>
        <w:t>- Freight + FX + policy constraints</w:t>
      </w:r>
      <w:r>
        <w:br/>
        <w:t>- Basis and spreads as reality checks</w:t>
      </w:r>
      <w:r>
        <w:br/>
      </w:r>
      <w:r>
        <w:rPr>
          <w:b/>
          <w:bCs/>
        </w:rPr>
        <w:t>Speaker notes (≈40–60 words):</w:t>
      </w:r>
      <w:r>
        <w:br/>
        <w:t xml:space="preserve">Describe how trade decisions sit at the intersection of production forecasts, flows, freight, and basis/spreads. This is exactly where LLM systems help: they keep track of heterogeneous inputs and preserve citations so the narrative stays anchored. </w:t>
      </w:r>
      <w:r>
        <w:rPr>
          <w:b/>
          <w:bCs/>
        </w:rPr>
        <w:t>Visual:</w:t>
      </w:r>
      <w:r>
        <w:t xml:space="preserve"> stack diagram (fundamentals → logistics → price signals).</w:t>
      </w:r>
    </w:p>
    <w:p w14:paraId="1A1A7CB7" w14:textId="77777777" w:rsidR="008906E8" w:rsidRDefault="00000000">
      <w:pPr>
        <w:pStyle w:val="BodyText"/>
      </w:pPr>
      <w:r>
        <w:rPr>
          <w:b/>
          <w:bCs/>
        </w:rPr>
        <w:t>Slide 4 — Canonical public anchors: WASDE + AMIS</w:t>
      </w:r>
      <w:r>
        <w:t xml:space="preserve"> - WASDE: recurring supply/use baseline</w:t>
      </w:r>
      <w:r>
        <w:br/>
        <w:t>- AMIS: transparency and coordinated market outlook context</w:t>
      </w:r>
      <w:r>
        <w:br/>
      </w:r>
      <w:r>
        <w:rPr>
          <w:b/>
          <w:bCs/>
        </w:rPr>
        <w:t>Speaker notes (≈45–60 words):</w:t>
      </w:r>
      <w:r>
        <w:br/>
        <w:t xml:space="preserve">Cite the official WASDE description (monthly forecasts for major crops by the World Agricultural Outlook Board) and AMIS’ purpose (market transparency and policy response for food security, focused on key crops). Set these as “anchors” your system can ingest and diff. </w:t>
      </w:r>
      <w:r>
        <w:rPr>
          <w:b/>
          <w:bCs/>
        </w:rPr>
        <w:t>Visual:</w:t>
      </w:r>
      <w:r>
        <w:t xml:space="preserve"> two source tiles. </w:t>
      </w:r>
      <w:hyperlink r:id="rId38">
        <w:r>
          <w:rPr>
            <w:rStyle w:val="Hyperlink"/>
          </w:rPr>
          <w:t>[27]</w:t>
        </w:r>
      </w:hyperlink>
    </w:p>
    <w:p w14:paraId="052F42AA" w14:textId="77777777" w:rsidR="008906E8" w:rsidRDefault="00000000">
      <w:pPr>
        <w:pStyle w:val="BodyText"/>
      </w:pPr>
      <w:r>
        <w:rPr>
          <w:b/>
          <w:bCs/>
        </w:rPr>
        <w:t>Slide 5 — Futures as structured signals (not opinions)</w:t>
      </w:r>
      <w:r>
        <w:t xml:space="preserve"> - Futures define standardized reference points</w:t>
      </w:r>
      <w:r>
        <w:br/>
        <w:t>- Export/cash basis reveals local stress</w:t>
      </w:r>
      <w:r>
        <w:br/>
      </w:r>
      <w:r>
        <w:rPr>
          <w:b/>
          <w:bCs/>
        </w:rPr>
        <w:t>Speaker notes (≈40–60 words):</w:t>
      </w:r>
      <w:r>
        <w:br/>
        <w:t xml:space="preserve">Use CME’s grain and oilseed complex as the archetype for standardized contracts and delivery rules; frame futures spreads and basis as structured signals to test narratives. </w:t>
      </w:r>
      <w:r>
        <w:rPr>
          <w:b/>
          <w:bCs/>
        </w:rPr>
        <w:t>Visual:</w:t>
      </w:r>
      <w:r>
        <w:t xml:space="preserve"> simple chart of futures vs cash with basis highlight. </w:t>
      </w:r>
      <w:hyperlink r:id="rId39">
        <w:r>
          <w:rPr>
            <w:rStyle w:val="Hyperlink"/>
          </w:rPr>
          <w:t>[28]</w:t>
        </w:r>
      </w:hyperlink>
    </w:p>
    <w:p w14:paraId="011D207F" w14:textId="77777777" w:rsidR="008906E8" w:rsidRDefault="00000000">
      <w:pPr>
        <w:pStyle w:val="BodyText"/>
      </w:pPr>
      <w:r>
        <w:rPr>
          <w:b/>
          <w:bCs/>
        </w:rPr>
        <w:lastRenderedPageBreak/>
        <w:t>Slide 6 — Architecture: medallion layers + agent roles</w:t>
      </w:r>
      <w:r>
        <w:t xml:space="preserve"> - Bronze: raw reports, tenders, freight notes</w:t>
      </w:r>
      <w:r>
        <w:br/>
        <w:t>- Silver: standardized observations + validations</w:t>
      </w:r>
      <w:r>
        <w:br/>
        <w:t>- Gold: trade-flow scenarios + narrative outputs</w:t>
      </w:r>
      <w:r>
        <w:br/>
      </w:r>
      <w:r>
        <w:rPr>
          <w:b/>
          <w:bCs/>
        </w:rPr>
        <w:t>Speaker notes (≈45–60 words):</w:t>
      </w:r>
      <w:r>
        <w:br/>
        <w:t xml:space="preserve">Reintroduce medallion architecture as the foundation for reproducibility. Your Geneva version emphasizes trade-flow objects (origin/destination/volume/incoterms when available) and freight/fx context. </w:t>
      </w:r>
      <w:r>
        <w:rPr>
          <w:b/>
          <w:bCs/>
        </w:rPr>
        <w:t>Visual:</w:t>
      </w:r>
      <w:r>
        <w:t xml:space="preserve"> medallion diagram with a “trade flow record” example. </w:t>
      </w:r>
      <w:hyperlink r:id="rId40">
        <w:r>
          <w:rPr>
            <w:rStyle w:val="Hyperlink"/>
          </w:rPr>
          <w:t>[14]</w:t>
        </w:r>
      </w:hyperlink>
    </w:p>
    <w:p w14:paraId="5574461B" w14:textId="77777777" w:rsidR="008906E8" w:rsidRDefault="00000000">
      <w:pPr>
        <w:pStyle w:val="BodyText"/>
      </w:pPr>
      <w:r>
        <w:rPr>
          <w:b/>
          <w:bCs/>
        </w:rPr>
        <w:t>Slide 7 — Trade-flow agents: from documents to explicit records</w:t>
      </w:r>
      <w:r>
        <w:t xml:space="preserve"> - Extract structured events (tenders, export sales, policy moves)</w:t>
      </w:r>
      <w:r>
        <w:br/>
        <w:t>- Normalize geography, timing, and units</w:t>
      </w:r>
      <w:r>
        <w:br/>
      </w:r>
      <w:r>
        <w:rPr>
          <w:b/>
          <w:bCs/>
        </w:rPr>
        <w:t>Speaker notes (≈35–55 words):</w:t>
      </w:r>
      <w:r>
        <w:br/>
        <w:t xml:space="preserve">Explain that the payoff comes from converting unstructured trade “events” into structured records your team can query historically. The system logs where each event came from and what changed. </w:t>
      </w:r>
      <w:r>
        <w:rPr>
          <w:b/>
          <w:bCs/>
        </w:rPr>
        <w:t>Visual:</w:t>
      </w:r>
      <w:r>
        <w:t xml:space="preserve"> “document → structured event card.”</w:t>
      </w:r>
    </w:p>
    <w:p w14:paraId="68B26CD3" w14:textId="77777777" w:rsidR="008906E8" w:rsidRDefault="00000000">
      <w:pPr>
        <w:pStyle w:val="BodyText"/>
      </w:pPr>
      <w:r>
        <w:rPr>
          <w:b/>
          <w:bCs/>
        </w:rPr>
        <w:t>Slide 8 — Freight + logistics agent: constrain the narrative</w:t>
      </w:r>
      <w:r>
        <w:t xml:space="preserve"> - Freight regime shifts become first-class data</w:t>
      </w:r>
      <w:r>
        <w:br/>
        <w:t>- Bottlenecks and route risks drive spreads/basis</w:t>
      </w:r>
      <w:r>
        <w:br/>
      </w:r>
      <w:r>
        <w:rPr>
          <w:b/>
          <w:bCs/>
        </w:rPr>
        <w:t>Speaker notes (≈40–60 words):</w:t>
      </w:r>
      <w:r>
        <w:br/>
        <w:t xml:space="preserve">Tie to Geneva agenda themes that explicitly highlight freight disruptions and bottlenecks. Your point: freight and logistics cannot be “hand-waved”; your AI system should treat them as explicit variables, with sources and timestamps. </w:t>
      </w:r>
      <w:r>
        <w:rPr>
          <w:b/>
          <w:bCs/>
        </w:rPr>
        <w:t>Visual:</w:t>
      </w:r>
      <w:r>
        <w:t xml:space="preserve"> freight index + route map. </w:t>
      </w:r>
      <w:hyperlink r:id="rId41">
        <w:r>
          <w:rPr>
            <w:rStyle w:val="Hyperlink"/>
          </w:rPr>
          <w:t>[29]</w:t>
        </w:r>
      </w:hyperlink>
    </w:p>
    <w:p w14:paraId="2005B8FD" w14:textId="77777777" w:rsidR="008906E8" w:rsidRDefault="00000000">
      <w:pPr>
        <w:pStyle w:val="BodyText"/>
      </w:pPr>
      <w:r>
        <w:rPr>
          <w:b/>
          <w:bCs/>
        </w:rPr>
        <w:t>Slide 9 — Demo scenario: basis anomaly detection</w:t>
      </w:r>
      <w:r>
        <w:t xml:space="preserve"> - Detect basis outliers vs history and peers</w:t>
      </w:r>
      <w:r>
        <w:br/>
        <w:t>- Generate hypotheses + required confirmations</w:t>
      </w:r>
      <w:r>
        <w:br/>
        <w:t>- Produce a trader-ready “triage brief”</w:t>
      </w:r>
      <w:r>
        <w:br/>
      </w:r>
      <w:r>
        <w:rPr>
          <w:b/>
          <w:bCs/>
        </w:rPr>
        <w:t>Speaker notes (≈45–60 words):</w:t>
      </w:r>
      <w:r>
        <w:br/>
        <w:t xml:space="preserve">Show a pattern traders recognize: local cash basis diverges from futures + nearby markets. Your system flags the anomaly, proposes plausible drivers (logistics, quality, policy, weather), and generates a checklist of confirmations (ports, freight, bids). </w:t>
      </w:r>
      <w:r>
        <w:rPr>
          <w:b/>
          <w:bCs/>
        </w:rPr>
        <w:t>Visual:</w:t>
      </w:r>
      <w:r>
        <w:t xml:space="preserve"> basis heatmap + alert.</w:t>
      </w:r>
    </w:p>
    <w:p w14:paraId="16968FB0" w14:textId="77777777" w:rsidR="008906E8" w:rsidRDefault="00000000">
      <w:pPr>
        <w:pStyle w:val="BodyText"/>
      </w:pPr>
      <w:r>
        <w:rPr>
          <w:b/>
          <w:bCs/>
        </w:rPr>
        <w:t>Slide 10 — Demo scenario: WASDE day for grains</w:t>
      </w:r>
      <w:r>
        <w:t xml:space="preserve"> - Auto-diff key S&amp;D changes</w:t>
      </w:r>
      <w:r>
        <w:br/>
        <w:t>- Update scenario set + messaging in minutes</w:t>
      </w:r>
      <w:r>
        <w:br/>
      </w:r>
      <w:r>
        <w:rPr>
          <w:b/>
          <w:bCs/>
        </w:rPr>
        <w:t>Speaker notes (≈45–60 words):</w:t>
      </w:r>
      <w:r>
        <w:br/>
        <w:t xml:space="preserve">Use WASDE as a repeatable demo: collector pulls the release, diff agent extracts deltas, analyst agent translates into implications for flows and spreads, and writer agent generates a memo with citations. This is the “high cadence” capability trade teams want. </w:t>
      </w:r>
      <w:r>
        <w:rPr>
          <w:b/>
          <w:bCs/>
        </w:rPr>
        <w:t>Visual:</w:t>
      </w:r>
      <w:r>
        <w:t xml:space="preserve"> delta table + memo snippet. </w:t>
      </w:r>
      <w:hyperlink r:id="rId42">
        <w:r>
          <w:rPr>
            <w:rStyle w:val="Hyperlink"/>
          </w:rPr>
          <w:t>[17]</w:t>
        </w:r>
      </w:hyperlink>
    </w:p>
    <w:p w14:paraId="29131B3F" w14:textId="77777777" w:rsidR="008906E8" w:rsidRDefault="00000000">
      <w:pPr>
        <w:pStyle w:val="BodyText"/>
      </w:pPr>
      <w:r>
        <w:rPr>
          <w:b/>
          <w:bCs/>
        </w:rPr>
        <w:t>Slide 11 — Guardrails: RAG + cross-source reconciliation</w:t>
      </w:r>
      <w:r>
        <w:t xml:space="preserve"> - RAG forces grounding to retrieved sources</w:t>
      </w:r>
      <w:r>
        <w:br/>
      </w:r>
      <w:r>
        <w:lastRenderedPageBreak/>
        <w:t>- Reconciliation prevents single-source fragility</w:t>
      </w:r>
      <w:r>
        <w:br/>
      </w:r>
      <w:r>
        <w:rPr>
          <w:b/>
          <w:bCs/>
        </w:rPr>
        <w:t>Speaker notes (≈45–60 words):</w:t>
      </w:r>
      <w:r>
        <w:br/>
        <w:t xml:space="preserve">Cite RAG as a hybrid approach combining retrieval and generation and explain why it matters when narratives run ahead of facts. Add a rule: if two reputable sources disagree, output both with explicit uncertainty and ask for human resolution. </w:t>
      </w:r>
      <w:r>
        <w:rPr>
          <w:b/>
          <w:bCs/>
        </w:rPr>
        <w:t>Visual:</w:t>
      </w:r>
      <w:r>
        <w:t xml:space="preserve"> “source comparison” panel. </w:t>
      </w:r>
      <w:hyperlink r:id="rId43">
        <w:r>
          <w:rPr>
            <w:rStyle w:val="Hyperlink"/>
          </w:rPr>
          <w:t>[19]</w:t>
        </w:r>
      </w:hyperlink>
    </w:p>
    <w:p w14:paraId="5D08FE3A" w14:textId="77777777" w:rsidR="008906E8" w:rsidRDefault="00000000">
      <w:pPr>
        <w:pStyle w:val="BodyText"/>
      </w:pPr>
      <w:r>
        <w:rPr>
          <w:b/>
          <w:bCs/>
        </w:rPr>
        <w:t>Slide 12 — Governance and risk: treat GenAI like a market system</w:t>
      </w:r>
      <w:r>
        <w:t xml:space="preserve"> - Document assumptions and limitations</w:t>
      </w:r>
      <w:r>
        <w:br/>
        <w:t>- Control access, logs, and change management</w:t>
      </w:r>
      <w:r>
        <w:br/>
      </w:r>
      <w:r>
        <w:rPr>
          <w:b/>
          <w:bCs/>
        </w:rPr>
        <w:t>Speaker notes (≈40–60 words):</w:t>
      </w:r>
      <w:r>
        <w:br/>
        <w:t xml:space="preserve">Anchor to NIST’s AI RMF and Generative AI profile as a practical framing: risk identification, documentation, and trustworthiness controls. Commodity analysis is high-consequence; your GenAI system needs explicit governance like any trading-adjacent system. </w:t>
      </w:r>
      <w:r>
        <w:rPr>
          <w:b/>
          <w:bCs/>
        </w:rPr>
        <w:t>Visual:</w:t>
      </w:r>
      <w:r>
        <w:t xml:space="preserve"> governance lifecycle. </w:t>
      </w:r>
      <w:hyperlink r:id="rId44">
        <w:r>
          <w:rPr>
            <w:rStyle w:val="Hyperlink"/>
          </w:rPr>
          <w:t>[24]</w:t>
        </w:r>
      </w:hyperlink>
    </w:p>
    <w:p w14:paraId="3D0DD5B5" w14:textId="77777777" w:rsidR="008906E8" w:rsidRDefault="00000000">
      <w:pPr>
        <w:pStyle w:val="BodyText"/>
      </w:pPr>
      <w:r>
        <w:rPr>
          <w:b/>
          <w:bCs/>
        </w:rPr>
        <w:t>Slide 13 — What “good outputs” look like in trade rooms</w:t>
      </w:r>
      <w:r>
        <w:t xml:space="preserve"> - One-page narrative + numbers + sources</w:t>
      </w:r>
      <w:r>
        <w:br/>
        <w:t>- Scenario tree + signposts for updates</w:t>
      </w:r>
      <w:r>
        <w:br/>
      </w:r>
      <w:r>
        <w:rPr>
          <w:b/>
          <w:bCs/>
        </w:rPr>
        <w:t>Speaker notes (≈35–55 words):</w:t>
      </w:r>
      <w:r>
        <w:br/>
        <w:t xml:space="preserve">Emphasize that senior trading rooms pay for clarity and traceability: a short narrative anchored to explicit numbers, a scenario tree with triggers, and a “source pack” for trust. </w:t>
      </w:r>
      <w:r>
        <w:rPr>
          <w:b/>
          <w:bCs/>
        </w:rPr>
        <w:t>Visual:</w:t>
      </w:r>
      <w:r>
        <w:t xml:space="preserve"> scenario tree with trigger conditions.</w:t>
      </w:r>
    </w:p>
    <w:p w14:paraId="56CC440A" w14:textId="77777777" w:rsidR="008906E8" w:rsidRDefault="00000000">
      <w:pPr>
        <w:pStyle w:val="BodyText"/>
      </w:pPr>
      <w:r>
        <w:rPr>
          <w:b/>
          <w:bCs/>
        </w:rPr>
        <w:t>Slide 14 — Close: the edge is disciplined architecture</w:t>
      </w:r>
      <w:r>
        <w:t xml:space="preserve"> - Humans own judgment; AI owns throughput</w:t>
      </w:r>
      <w:r>
        <w:br/>
        <w:t>- Your advantage is reproducible intelligence</w:t>
      </w:r>
      <w:r>
        <w:br/>
      </w:r>
      <w:r>
        <w:rPr>
          <w:b/>
          <w:bCs/>
        </w:rPr>
        <w:t>Speaker notes (≈40–55 words):</w:t>
      </w:r>
      <w:r>
        <w:br/>
        <w:t>End with an opinionated line: the future desk is not bigger—it’s better architected. Your platform is a discipline machine: it reduces time-to-interpretation while preserving auditability and making uncertainty visible.</w:t>
      </w:r>
    </w:p>
    <w:p w14:paraId="755B11D1" w14:textId="77777777" w:rsidR="008906E8" w:rsidRDefault="00000000">
      <w:pPr>
        <w:pStyle w:val="Heading2"/>
      </w:pPr>
      <w:bookmarkStart w:id="9" w:name="outreach-kit"/>
      <w:bookmarkEnd w:id="5"/>
      <w:bookmarkEnd w:id="8"/>
      <w:r>
        <w:t>Outreach kit</w:t>
      </w:r>
    </w:p>
    <w:p w14:paraId="41C76521" w14:textId="77777777" w:rsidR="008906E8" w:rsidRDefault="00000000">
      <w:pPr>
        <w:pStyle w:val="Heading3"/>
      </w:pPr>
      <w:bookmarkStart w:id="10" w:name="pitch-email-template"/>
      <w:r>
        <w:t>Pitch email template</w:t>
      </w:r>
    </w:p>
    <w:p w14:paraId="197F738A" w14:textId="77777777" w:rsidR="008906E8" w:rsidRDefault="00000000">
      <w:pPr>
        <w:pStyle w:val="FirstParagraph"/>
      </w:pPr>
      <w:r>
        <w:rPr>
          <w:b/>
          <w:bCs/>
        </w:rPr>
        <w:t>Subject line options</w:t>
      </w:r>
      <w:r>
        <w:t xml:space="preserve"> - “Proposed 30‑minute session: Audit-first AI for commodity analysis (real systems, real constraints)” - “Speaker proposal: LLMs for biofuels/grains intelligence—provenance, guardrails, demos”</w:t>
      </w:r>
    </w:p>
    <w:p w14:paraId="498032B9" w14:textId="77777777" w:rsidR="008906E8" w:rsidRDefault="00000000">
      <w:pPr>
        <w:pStyle w:val="BodyText"/>
      </w:pPr>
      <w:r>
        <w:rPr>
          <w:b/>
          <w:bCs/>
        </w:rPr>
        <w:t>Email (copy/paste template)</w:t>
      </w:r>
      <w:r>
        <w:br/>
        <w:t>Hello [Program Chair / Name],</w:t>
      </w:r>
    </w:p>
    <w:p w14:paraId="5626C8E2" w14:textId="77777777" w:rsidR="008906E8" w:rsidRDefault="00000000">
      <w:pPr>
        <w:pStyle w:val="BodyText"/>
      </w:pPr>
      <w:r>
        <w:t xml:space="preserve">I’m reaching out to propose a 30‑minute conference session tailored for [Conference Name]’s audience: </w:t>
      </w:r>
      <w:r>
        <w:rPr>
          <w:b/>
          <w:bCs/>
        </w:rPr>
        <w:t xml:space="preserve">how commodity teams are using AI and large language models (LLMs) to accelerate analysis while improving provenance, auditability, and </w:t>
      </w:r>
      <w:r>
        <w:rPr>
          <w:b/>
          <w:bCs/>
        </w:rPr>
        <w:lastRenderedPageBreak/>
        <w:t>governance</w:t>
      </w:r>
      <w:r>
        <w:t>—with concrete architecture and short demos (WASDE day, feedstock shock, basis anomaly).</w:t>
      </w:r>
    </w:p>
    <w:p w14:paraId="28F57299" w14:textId="77777777" w:rsidR="008906E8" w:rsidRDefault="00000000">
      <w:pPr>
        <w:pStyle w:val="BodyText"/>
      </w:pPr>
      <w:r>
        <w:t>I’m an agricultural economist and previously led agricultural analytics; I’m now building an LLM-driven commodity intelligence platform under RLC focused on decision-grade workflows (medallion data layers, multi-agent design, and explicit guardrails).</w:t>
      </w:r>
    </w:p>
    <w:p w14:paraId="6B3A3205" w14:textId="77777777" w:rsidR="008906E8" w:rsidRDefault="00000000">
      <w:pPr>
        <w:pStyle w:val="BodyText"/>
      </w:pPr>
      <w:r>
        <w:rPr>
          <w:b/>
          <w:bCs/>
        </w:rPr>
        <w:t>Proposed talk title:</w:t>
      </w:r>
      <w:r>
        <w:t xml:space="preserve"> “[Insert tailored title]”</w:t>
      </w:r>
      <w:r>
        <w:br/>
      </w:r>
      <w:r>
        <w:rPr>
          <w:b/>
          <w:bCs/>
        </w:rPr>
        <w:t>Format:</w:t>
      </w:r>
      <w:r>
        <w:t xml:space="preserve"> 25 minutes talk + 5 minutes Q&amp;A (or adapted to your slot)</w:t>
      </w:r>
    </w:p>
    <w:p w14:paraId="329DCCDF" w14:textId="77777777" w:rsidR="008906E8" w:rsidRDefault="00000000">
      <w:pPr>
        <w:pStyle w:val="BodyText"/>
      </w:pPr>
      <w:r>
        <w:rPr>
          <w:b/>
          <w:bCs/>
        </w:rPr>
        <w:t>CTA variant A:</w:t>
      </w:r>
      <w:r>
        <w:t xml:space="preserve"> If this fits your program, where should I submit the formal abstract and speaker details?</w:t>
      </w:r>
      <w:r>
        <w:br/>
      </w:r>
      <w:r>
        <w:rPr>
          <w:b/>
          <w:bCs/>
        </w:rPr>
        <w:t>CTA variant B:</w:t>
      </w:r>
      <w:r>
        <w:t xml:space="preserve"> I’m happy to send a 1‑page abstract and a draft slide outline—who is the best contact for review?</w:t>
      </w:r>
    </w:p>
    <w:p w14:paraId="6AC965F2" w14:textId="77777777" w:rsidR="008906E8" w:rsidRDefault="00000000">
      <w:pPr>
        <w:pStyle w:val="BodyText"/>
      </w:pPr>
      <w:r>
        <w:t>Best regards,</w:t>
      </w:r>
      <w:r>
        <w:br/>
        <w:t>[Your Name]</w:t>
      </w:r>
      <w:r>
        <w:br/>
        <w:t>[Phone] | [Email] | [LinkedIn]</w:t>
      </w:r>
    </w:p>
    <w:p w14:paraId="4B58D413" w14:textId="77777777" w:rsidR="008906E8" w:rsidRDefault="00000000">
      <w:pPr>
        <w:pStyle w:val="Heading3"/>
      </w:pPr>
      <w:bookmarkStart w:id="11" w:name="one-paragraph-speaker-bio"/>
      <w:bookmarkEnd w:id="10"/>
      <w:r>
        <w:t>One-paragraph speaker bio</w:t>
      </w:r>
    </w:p>
    <w:p w14:paraId="29CCAAC1" w14:textId="77777777" w:rsidR="008906E8" w:rsidRDefault="00000000">
      <w:pPr>
        <w:pStyle w:val="FirstParagraph"/>
      </w:pPr>
      <w:r>
        <w:t>[Your Name] is an agricultural economist and former Head of Agricultural Analytics who builds decision-grade market intelligence systems for commodity teams. He is currently developing an LLM-driven commodity intelligence platform under RLC, focused on auditable workflows that combine structured data engineering (medallion layers), multi-agent analysis, and explicit risk controls to turn high-volume market inputs into reproducible, source-linked insights for feedstocks, biofuels, and global grain trade.</w:t>
      </w:r>
    </w:p>
    <w:p w14:paraId="2BBF7D64" w14:textId="77777777" w:rsidR="008906E8" w:rsidRDefault="00000000">
      <w:pPr>
        <w:pStyle w:val="Heading2"/>
      </w:pPr>
      <w:bookmarkStart w:id="12" w:name="X9a8bd71106307683f89de13c1cf1f11e6a3d7c1"/>
      <w:bookmarkEnd w:id="9"/>
      <w:bookmarkEnd w:id="11"/>
      <w:r>
        <w:t>Additional conferences and events to target</w:t>
      </w:r>
    </w:p>
    <w:p w14:paraId="6C3A1F8C" w14:textId="77777777" w:rsidR="008906E8" w:rsidRDefault="00000000">
      <w:pPr>
        <w:pStyle w:val="FirstParagraph"/>
      </w:pPr>
      <w:r>
        <w:t>The table prioritizes events with strong overlap to (a) ag/feedstocks, (b) biofuels policy and pricing, (c) grains trade and risk, and (d) commodity analytics/derivatives infrastructure. Deadlines are shown only when the event publishes them; otherwise “unspecified.”</w:t>
      </w:r>
    </w:p>
    <w:tbl>
      <w:tblPr>
        <w:tblStyle w:val="Table"/>
        <w:tblW w:w="0" w:type="auto"/>
        <w:tblLook w:val="0020" w:firstRow="1" w:lastRow="0" w:firstColumn="0" w:lastColumn="0" w:noHBand="0" w:noVBand="0"/>
      </w:tblPr>
      <w:tblGrid>
        <w:gridCol w:w="733"/>
        <w:gridCol w:w="1663"/>
        <w:gridCol w:w="2542"/>
        <w:gridCol w:w="1665"/>
        <w:gridCol w:w="1402"/>
        <w:gridCol w:w="1355"/>
      </w:tblGrid>
      <w:tr w:rsidR="008906E8" w14:paraId="0A1C6F68" w14:textId="77777777" w:rsidTr="008906E8">
        <w:trPr>
          <w:cnfStyle w:val="100000000000" w:firstRow="1" w:lastRow="0" w:firstColumn="0" w:lastColumn="0" w:oddVBand="0" w:evenVBand="0" w:oddHBand="0" w:evenHBand="0" w:firstRowFirstColumn="0" w:firstRowLastColumn="0" w:lastRowFirstColumn="0" w:lastRowLastColumn="0"/>
          <w:tblHeader/>
        </w:trPr>
        <w:tc>
          <w:tcPr>
            <w:tcW w:w="0" w:type="auto"/>
          </w:tcPr>
          <w:p w14:paraId="0CD91CDF" w14:textId="77777777" w:rsidR="008906E8" w:rsidRDefault="00000000">
            <w:pPr>
              <w:pStyle w:val="Compact"/>
              <w:jc w:val="right"/>
            </w:pPr>
            <w:r>
              <w:t>Priority</w:t>
            </w:r>
          </w:p>
        </w:tc>
        <w:tc>
          <w:tcPr>
            <w:tcW w:w="0" w:type="auto"/>
          </w:tcPr>
          <w:p w14:paraId="003556C8" w14:textId="77777777" w:rsidR="008906E8" w:rsidRDefault="00000000">
            <w:pPr>
              <w:pStyle w:val="Compact"/>
            </w:pPr>
            <w:r>
              <w:t>Event</w:t>
            </w:r>
          </w:p>
        </w:tc>
        <w:tc>
          <w:tcPr>
            <w:tcW w:w="0" w:type="auto"/>
          </w:tcPr>
          <w:p w14:paraId="194ED9E0" w14:textId="77777777" w:rsidR="008906E8" w:rsidRDefault="00000000">
            <w:pPr>
              <w:pStyle w:val="Compact"/>
            </w:pPr>
            <w:r>
              <w:t>Typical audience</w:t>
            </w:r>
          </w:p>
        </w:tc>
        <w:tc>
          <w:tcPr>
            <w:tcW w:w="0" w:type="auto"/>
          </w:tcPr>
          <w:p w14:paraId="01092818" w14:textId="77777777" w:rsidR="008906E8" w:rsidRDefault="00000000">
            <w:pPr>
              <w:pStyle w:val="Compact"/>
            </w:pPr>
            <w:r>
              <w:t>Why it fits your talk</w:t>
            </w:r>
          </w:p>
        </w:tc>
        <w:tc>
          <w:tcPr>
            <w:tcW w:w="0" w:type="auto"/>
          </w:tcPr>
          <w:p w14:paraId="5753C7A9" w14:textId="77777777" w:rsidR="008906E8" w:rsidRDefault="00000000">
            <w:pPr>
              <w:pStyle w:val="Compact"/>
            </w:pPr>
            <w:r>
              <w:t>Submission deadline (if available)</w:t>
            </w:r>
          </w:p>
        </w:tc>
        <w:tc>
          <w:tcPr>
            <w:tcW w:w="0" w:type="auto"/>
          </w:tcPr>
          <w:p w14:paraId="441F9178" w14:textId="77777777" w:rsidR="008906E8" w:rsidRDefault="00000000">
            <w:pPr>
              <w:pStyle w:val="Compact"/>
            </w:pPr>
            <w:r>
              <w:t>Suggested talk angle</w:t>
            </w:r>
          </w:p>
        </w:tc>
      </w:tr>
      <w:tr w:rsidR="008906E8" w14:paraId="061A666A" w14:textId="77777777">
        <w:tc>
          <w:tcPr>
            <w:tcW w:w="0" w:type="auto"/>
          </w:tcPr>
          <w:p w14:paraId="7FEA8ED7" w14:textId="77777777" w:rsidR="008906E8" w:rsidRDefault="00000000">
            <w:pPr>
              <w:pStyle w:val="Compact"/>
              <w:jc w:val="right"/>
            </w:pPr>
            <w:r>
              <w:t>1</w:t>
            </w:r>
          </w:p>
        </w:tc>
        <w:tc>
          <w:tcPr>
            <w:tcW w:w="0" w:type="auto"/>
          </w:tcPr>
          <w:p w14:paraId="6476D8CC" w14:textId="77777777" w:rsidR="008906E8" w:rsidRDefault="00000000">
            <w:pPr>
              <w:pStyle w:val="Compact"/>
            </w:pPr>
            <w:r>
              <w:t>Clean Fuels Conference 2026 (Jan 19–22, 2026, Orlando</w:t>
            </w:r>
            <w:hyperlink r:id="rId45">
              <w:r>
                <w:rPr>
                  <w:rStyle w:val="Hyperlink"/>
                </w:rPr>
                <w:t>[30]</w:t>
              </w:r>
            </w:hyperlink>
            <w:r>
              <w:t xml:space="preserve">) </w:t>
            </w:r>
            <w:hyperlink r:id="rId46">
              <w:r>
                <w:rPr>
                  <w:rStyle w:val="Hyperlink"/>
                </w:rPr>
                <w:t>[31]</w:t>
              </w:r>
            </w:hyperlink>
          </w:p>
        </w:tc>
        <w:tc>
          <w:tcPr>
            <w:tcW w:w="0" w:type="auto"/>
          </w:tcPr>
          <w:p w14:paraId="3E67EC57" w14:textId="77777777" w:rsidR="008906E8" w:rsidRDefault="00000000">
            <w:pPr>
              <w:pStyle w:val="Compact"/>
            </w:pPr>
            <w:r>
              <w:t xml:space="preserve">Biodiesel/renewable diesel/SAF producers, feedstock suppliers, policy stakeholders </w:t>
            </w:r>
            <w:hyperlink r:id="rId47">
              <w:r>
                <w:rPr>
                  <w:rStyle w:val="Hyperlink"/>
                </w:rPr>
                <w:t>[32]</w:t>
              </w:r>
            </w:hyperlink>
          </w:p>
        </w:tc>
        <w:tc>
          <w:tcPr>
            <w:tcW w:w="0" w:type="auto"/>
          </w:tcPr>
          <w:p w14:paraId="33E2A477" w14:textId="77777777" w:rsidR="008906E8" w:rsidRDefault="00000000">
            <w:pPr>
              <w:pStyle w:val="Compact"/>
            </w:pPr>
            <w:r>
              <w:t xml:space="preserve">Strong match to feedstocks + policy-credit economics; audience expects concrete commercial </w:t>
            </w:r>
            <w:r>
              <w:lastRenderedPageBreak/>
              <w:t xml:space="preserve">takeaways </w:t>
            </w:r>
            <w:hyperlink r:id="rId48">
              <w:r>
                <w:rPr>
                  <w:rStyle w:val="Hyperlink"/>
                </w:rPr>
                <w:t>[33]</w:t>
              </w:r>
            </w:hyperlink>
          </w:p>
        </w:tc>
        <w:tc>
          <w:tcPr>
            <w:tcW w:w="0" w:type="auto"/>
          </w:tcPr>
          <w:p w14:paraId="18CC416C" w14:textId="77777777" w:rsidR="008906E8" w:rsidRDefault="00000000">
            <w:pPr>
              <w:pStyle w:val="Compact"/>
            </w:pPr>
            <w:r>
              <w:lastRenderedPageBreak/>
              <w:t>Unspecified</w:t>
            </w:r>
          </w:p>
        </w:tc>
        <w:tc>
          <w:tcPr>
            <w:tcW w:w="0" w:type="auto"/>
          </w:tcPr>
          <w:p w14:paraId="6EF69E0E" w14:textId="77777777" w:rsidR="008906E8" w:rsidRDefault="00000000">
            <w:pPr>
              <w:pStyle w:val="Compact"/>
            </w:pPr>
            <w:r>
              <w:t xml:space="preserve">“Audit-first LLM workflows for LCFS/RFS-driven margin and feedstock </w:t>
            </w:r>
            <w:r>
              <w:lastRenderedPageBreak/>
              <w:t>shocks”</w:t>
            </w:r>
          </w:p>
        </w:tc>
      </w:tr>
      <w:tr w:rsidR="008906E8" w14:paraId="2924F229" w14:textId="77777777">
        <w:tc>
          <w:tcPr>
            <w:tcW w:w="0" w:type="auto"/>
          </w:tcPr>
          <w:p w14:paraId="3DD7B691" w14:textId="77777777" w:rsidR="008906E8" w:rsidRDefault="00000000">
            <w:pPr>
              <w:pStyle w:val="Compact"/>
              <w:jc w:val="right"/>
            </w:pPr>
            <w:r>
              <w:lastRenderedPageBreak/>
              <w:t>2</w:t>
            </w:r>
          </w:p>
        </w:tc>
        <w:tc>
          <w:tcPr>
            <w:tcW w:w="0" w:type="auto"/>
          </w:tcPr>
          <w:p w14:paraId="1783AC26" w14:textId="77777777" w:rsidR="008906E8" w:rsidRDefault="00000000">
            <w:pPr>
              <w:pStyle w:val="Compact"/>
            </w:pPr>
            <w:r>
              <w:t>Fuel Ethanol Workshop &amp; Expo (FEW) 2026 (Jun 2–4, 2026, St. Louis</w:t>
            </w:r>
            <w:hyperlink r:id="rId49">
              <w:r>
                <w:rPr>
                  <w:rStyle w:val="Hyperlink"/>
                </w:rPr>
                <w:t>[34]</w:t>
              </w:r>
            </w:hyperlink>
            <w:r>
              <w:t xml:space="preserve">) </w:t>
            </w:r>
            <w:hyperlink r:id="rId50">
              <w:r>
                <w:rPr>
                  <w:rStyle w:val="Hyperlink"/>
                </w:rPr>
                <w:t>[35]</w:t>
              </w:r>
            </w:hyperlink>
          </w:p>
        </w:tc>
        <w:tc>
          <w:tcPr>
            <w:tcW w:w="0" w:type="auto"/>
          </w:tcPr>
          <w:p w14:paraId="316FEE9E" w14:textId="77777777" w:rsidR="008906E8" w:rsidRDefault="00000000">
            <w:pPr>
              <w:pStyle w:val="Compact"/>
            </w:pPr>
            <w:r>
              <w:t xml:space="preserve">Ethanol producers, plant ops, technology vendors, low-carbon fuels leaders </w:t>
            </w:r>
            <w:hyperlink r:id="rId51">
              <w:r>
                <w:rPr>
                  <w:rStyle w:val="Hyperlink"/>
                </w:rPr>
                <w:t>[36]</w:t>
              </w:r>
            </w:hyperlink>
          </w:p>
        </w:tc>
        <w:tc>
          <w:tcPr>
            <w:tcW w:w="0" w:type="auto"/>
          </w:tcPr>
          <w:p w14:paraId="2E2201CF" w14:textId="77777777" w:rsidR="008906E8" w:rsidRDefault="00000000">
            <w:pPr>
              <w:pStyle w:val="Compact"/>
            </w:pPr>
            <w:r>
              <w:t>Lets you demonstrate how AI converts plant/market/policy info into actionable weekly intelligence</w:t>
            </w:r>
          </w:p>
        </w:tc>
        <w:tc>
          <w:tcPr>
            <w:tcW w:w="0" w:type="auto"/>
          </w:tcPr>
          <w:p w14:paraId="69AC36F1" w14:textId="77777777" w:rsidR="008906E8" w:rsidRDefault="00000000">
            <w:pPr>
              <w:pStyle w:val="Compact"/>
            </w:pPr>
            <w:r>
              <w:t xml:space="preserve">Submit presentation ideas: </w:t>
            </w:r>
            <w:r>
              <w:rPr>
                <w:b/>
                <w:bCs/>
              </w:rPr>
              <w:t>Jan 30, 2026</w:t>
            </w:r>
            <w:r>
              <w:t xml:space="preserve"> </w:t>
            </w:r>
            <w:hyperlink r:id="rId52">
              <w:r>
                <w:rPr>
                  <w:rStyle w:val="Hyperlink"/>
                </w:rPr>
                <w:t>[37]</w:t>
              </w:r>
            </w:hyperlink>
          </w:p>
        </w:tc>
        <w:tc>
          <w:tcPr>
            <w:tcW w:w="0" w:type="auto"/>
          </w:tcPr>
          <w:p w14:paraId="0EC4A61A" w14:textId="77777777" w:rsidR="008906E8" w:rsidRDefault="00000000">
            <w:pPr>
              <w:pStyle w:val="Compact"/>
            </w:pPr>
            <w:r>
              <w:t>“From plant ops notes to market intelligence: a governed agent pipeline”</w:t>
            </w:r>
          </w:p>
        </w:tc>
      </w:tr>
      <w:tr w:rsidR="008906E8" w14:paraId="5A69453B" w14:textId="77777777">
        <w:tc>
          <w:tcPr>
            <w:tcW w:w="0" w:type="auto"/>
          </w:tcPr>
          <w:p w14:paraId="096AEA03" w14:textId="77777777" w:rsidR="008906E8" w:rsidRDefault="00000000">
            <w:pPr>
              <w:pStyle w:val="Compact"/>
              <w:jc w:val="right"/>
            </w:pPr>
            <w:r>
              <w:t>3</w:t>
            </w:r>
          </w:p>
        </w:tc>
        <w:tc>
          <w:tcPr>
            <w:tcW w:w="0" w:type="auto"/>
          </w:tcPr>
          <w:p w14:paraId="65A023C5" w14:textId="77777777" w:rsidR="008906E8" w:rsidRDefault="00000000">
            <w:pPr>
              <w:pStyle w:val="Compact"/>
            </w:pPr>
            <w:r>
              <w:t>International Biomass Conference &amp; Expo 2026 (Mar 31–Apr 2, 2026, Nashville</w:t>
            </w:r>
            <w:hyperlink r:id="rId53">
              <w:r>
                <w:rPr>
                  <w:rStyle w:val="Hyperlink"/>
                </w:rPr>
                <w:t>[38]</w:t>
              </w:r>
            </w:hyperlink>
            <w:r>
              <w:t xml:space="preserve">) </w:t>
            </w:r>
            <w:hyperlink r:id="rId54">
              <w:r>
                <w:rPr>
                  <w:rStyle w:val="Hyperlink"/>
                </w:rPr>
                <w:t>[39]</w:t>
              </w:r>
            </w:hyperlink>
          </w:p>
        </w:tc>
        <w:tc>
          <w:tcPr>
            <w:tcW w:w="0" w:type="auto"/>
          </w:tcPr>
          <w:p w14:paraId="4B891CA0" w14:textId="77777777" w:rsidR="008906E8" w:rsidRDefault="00000000">
            <w:pPr>
              <w:pStyle w:val="Compact"/>
            </w:pPr>
            <w:r>
              <w:t xml:space="preserve">Biomass-to-fuels participants across power/thermal/fuels/chemicals </w:t>
            </w:r>
            <w:hyperlink r:id="rId55">
              <w:r>
                <w:rPr>
                  <w:rStyle w:val="Hyperlink"/>
                </w:rPr>
                <w:t>[40]</w:t>
              </w:r>
            </w:hyperlink>
          </w:p>
        </w:tc>
        <w:tc>
          <w:tcPr>
            <w:tcW w:w="0" w:type="auto"/>
          </w:tcPr>
          <w:p w14:paraId="661BFAB8" w14:textId="77777777" w:rsidR="008906E8" w:rsidRDefault="00000000">
            <w:pPr>
              <w:pStyle w:val="Compact"/>
            </w:pPr>
            <w:r>
              <w:t>Strong venue to present feedstock provenance + chain-of-custody + scenario analytics</w:t>
            </w:r>
          </w:p>
        </w:tc>
        <w:tc>
          <w:tcPr>
            <w:tcW w:w="0" w:type="auto"/>
          </w:tcPr>
          <w:p w14:paraId="5A6E4174" w14:textId="77777777" w:rsidR="008906E8" w:rsidRDefault="00000000">
            <w:pPr>
              <w:pStyle w:val="Compact"/>
            </w:pPr>
            <w:r>
              <w:t xml:space="preserve">Abstract deadline stated as </w:t>
            </w:r>
            <w:r>
              <w:rPr>
                <w:b/>
                <w:bCs/>
              </w:rPr>
              <w:t>Nov 21, 2025</w:t>
            </w:r>
            <w:r>
              <w:t xml:space="preserve"> (closed for 2026 program) </w:t>
            </w:r>
            <w:hyperlink r:id="rId56">
              <w:r>
                <w:rPr>
                  <w:rStyle w:val="Hyperlink"/>
                </w:rPr>
                <w:t>[41]</w:t>
              </w:r>
            </w:hyperlink>
          </w:p>
        </w:tc>
        <w:tc>
          <w:tcPr>
            <w:tcW w:w="0" w:type="auto"/>
          </w:tcPr>
          <w:p w14:paraId="52D1EC76" w14:textId="77777777" w:rsidR="008906E8" w:rsidRDefault="00000000">
            <w:pPr>
              <w:pStyle w:val="Compact"/>
            </w:pPr>
            <w:r>
              <w:t>“Provenance-by-design: making messy biomass markets analyzable with AI”</w:t>
            </w:r>
          </w:p>
        </w:tc>
      </w:tr>
      <w:tr w:rsidR="008906E8" w14:paraId="25B465B8" w14:textId="77777777">
        <w:tc>
          <w:tcPr>
            <w:tcW w:w="0" w:type="auto"/>
          </w:tcPr>
          <w:p w14:paraId="1391C486" w14:textId="77777777" w:rsidR="008906E8" w:rsidRDefault="00000000">
            <w:pPr>
              <w:pStyle w:val="Compact"/>
              <w:jc w:val="right"/>
            </w:pPr>
            <w:r>
              <w:t>4</w:t>
            </w:r>
          </w:p>
        </w:tc>
        <w:tc>
          <w:tcPr>
            <w:tcW w:w="0" w:type="auto"/>
          </w:tcPr>
          <w:p w14:paraId="5A2D0538" w14:textId="77777777" w:rsidR="008906E8" w:rsidRDefault="00000000">
            <w:pPr>
              <w:pStyle w:val="Compact"/>
            </w:pPr>
            <w:r>
              <w:t>International Grains Council Grains Conference 2026 (Jun 9–10, 2026, London</w:t>
            </w:r>
            <w:hyperlink r:id="rId57">
              <w:r>
                <w:rPr>
                  <w:rStyle w:val="Hyperlink"/>
                </w:rPr>
                <w:t>[42]</w:t>
              </w:r>
            </w:hyperlink>
            <w:r>
              <w:t xml:space="preserve">) </w:t>
            </w:r>
            <w:hyperlink r:id="rId58">
              <w:r>
                <w:rPr>
                  <w:rStyle w:val="Hyperlink"/>
                </w:rPr>
                <w:t>[43]</w:t>
              </w:r>
            </w:hyperlink>
          </w:p>
        </w:tc>
        <w:tc>
          <w:tcPr>
            <w:tcW w:w="0" w:type="auto"/>
          </w:tcPr>
          <w:p w14:paraId="0C2E2C8F" w14:textId="77777777" w:rsidR="008906E8" w:rsidRDefault="00000000">
            <w:pPr>
              <w:pStyle w:val="Compact"/>
            </w:pPr>
            <w:r>
              <w:t xml:space="preserve">Global grain trade leadership, policymakers, analysts </w:t>
            </w:r>
            <w:hyperlink r:id="rId59">
              <w:r>
                <w:rPr>
                  <w:rStyle w:val="Hyperlink"/>
                </w:rPr>
                <w:t>[43]</w:t>
              </w:r>
            </w:hyperlink>
          </w:p>
        </w:tc>
        <w:tc>
          <w:tcPr>
            <w:tcW w:w="0" w:type="auto"/>
          </w:tcPr>
          <w:p w14:paraId="62701D0C" w14:textId="77777777" w:rsidR="008906E8" w:rsidRDefault="00000000">
            <w:pPr>
              <w:pStyle w:val="Compact"/>
            </w:pPr>
            <w:r>
              <w:t>Perfect for the “trade/macro + auditability” deck spine; global credibility</w:t>
            </w:r>
          </w:p>
        </w:tc>
        <w:tc>
          <w:tcPr>
            <w:tcW w:w="0" w:type="auto"/>
          </w:tcPr>
          <w:p w14:paraId="021750EC" w14:textId="77777777" w:rsidR="008906E8" w:rsidRDefault="00000000">
            <w:pPr>
              <w:pStyle w:val="Compact"/>
            </w:pPr>
            <w:r>
              <w:t xml:space="preserve">Unspecified </w:t>
            </w:r>
            <w:hyperlink r:id="rId60">
              <w:r>
                <w:rPr>
                  <w:rStyle w:val="Hyperlink"/>
                </w:rPr>
                <w:t>[43]</w:t>
              </w:r>
            </w:hyperlink>
          </w:p>
        </w:tc>
        <w:tc>
          <w:tcPr>
            <w:tcW w:w="0" w:type="auto"/>
          </w:tcPr>
          <w:p w14:paraId="53880F00" w14:textId="77777777" w:rsidR="008906E8" w:rsidRDefault="00000000">
            <w:pPr>
              <w:pStyle w:val="Compact"/>
            </w:pPr>
            <w:r>
              <w:t>“Agents for trade-flow intelligence: reconciling balances, flows, freight, and narrative”</w:t>
            </w:r>
          </w:p>
        </w:tc>
      </w:tr>
      <w:tr w:rsidR="008906E8" w14:paraId="622785EE" w14:textId="77777777">
        <w:tc>
          <w:tcPr>
            <w:tcW w:w="0" w:type="auto"/>
          </w:tcPr>
          <w:p w14:paraId="14AF11D9" w14:textId="77777777" w:rsidR="008906E8" w:rsidRDefault="00000000">
            <w:pPr>
              <w:pStyle w:val="Compact"/>
              <w:jc w:val="right"/>
            </w:pPr>
            <w:r>
              <w:t>5</w:t>
            </w:r>
          </w:p>
        </w:tc>
        <w:tc>
          <w:tcPr>
            <w:tcW w:w="0" w:type="auto"/>
          </w:tcPr>
          <w:p w14:paraId="1B4C68AF" w14:textId="77777777" w:rsidR="008906E8" w:rsidRDefault="00000000">
            <w:pPr>
              <w:pStyle w:val="Compact"/>
            </w:pPr>
            <w:r>
              <w:t>AOCS Annual Meeting &amp; Expo 2026 (May 3–6, 2026, New Orleans</w:t>
            </w:r>
            <w:hyperlink r:id="rId61">
              <w:r>
                <w:rPr>
                  <w:rStyle w:val="Hyperlink"/>
                </w:rPr>
                <w:t>[44]</w:t>
              </w:r>
            </w:hyperlink>
            <w:r>
              <w:t xml:space="preserve">) </w:t>
            </w:r>
            <w:hyperlink r:id="rId62">
              <w:r>
                <w:rPr>
                  <w:rStyle w:val="Hyperlink"/>
                </w:rPr>
                <w:t>[45]</w:t>
              </w:r>
            </w:hyperlink>
          </w:p>
        </w:tc>
        <w:tc>
          <w:tcPr>
            <w:tcW w:w="0" w:type="auto"/>
          </w:tcPr>
          <w:p w14:paraId="5D58B38D" w14:textId="77777777" w:rsidR="008906E8" w:rsidRDefault="00000000">
            <w:pPr>
              <w:pStyle w:val="Compact"/>
            </w:pPr>
            <w:r>
              <w:t xml:space="preserve">Oils/fats/proteins technical + commercial leaders </w:t>
            </w:r>
            <w:hyperlink r:id="rId63">
              <w:r>
                <w:rPr>
                  <w:rStyle w:val="Hyperlink"/>
                </w:rPr>
                <w:t>[46]</w:t>
              </w:r>
            </w:hyperlink>
          </w:p>
        </w:tc>
        <w:tc>
          <w:tcPr>
            <w:tcW w:w="0" w:type="auto"/>
          </w:tcPr>
          <w:p w14:paraId="2EED07FB" w14:textId="77777777" w:rsidR="008906E8" w:rsidRDefault="00000000">
            <w:pPr>
              <w:pStyle w:val="Compact"/>
            </w:pPr>
            <w:r>
              <w:t xml:space="preserve">High overlap with fats/oils/feedstock analytics; audience appreciates rigor and </w:t>
            </w:r>
            <w:r>
              <w:lastRenderedPageBreak/>
              <w:t>methods</w:t>
            </w:r>
          </w:p>
        </w:tc>
        <w:tc>
          <w:tcPr>
            <w:tcW w:w="0" w:type="auto"/>
          </w:tcPr>
          <w:p w14:paraId="56580744" w14:textId="77777777" w:rsidR="008906E8" w:rsidRDefault="00000000">
            <w:pPr>
              <w:pStyle w:val="Compact"/>
            </w:pPr>
            <w:r>
              <w:lastRenderedPageBreak/>
              <w:t xml:space="preserve">Abstract deadline: </w:t>
            </w:r>
            <w:r>
              <w:rPr>
                <w:b/>
                <w:bCs/>
              </w:rPr>
              <w:t>Jan 12, 2026</w:t>
            </w:r>
            <w:r>
              <w:t xml:space="preserve"> </w:t>
            </w:r>
            <w:hyperlink r:id="rId64">
              <w:r>
                <w:rPr>
                  <w:rStyle w:val="Hyperlink"/>
                </w:rPr>
                <w:t>[47]</w:t>
              </w:r>
            </w:hyperlink>
          </w:p>
        </w:tc>
        <w:tc>
          <w:tcPr>
            <w:tcW w:w="0" w:type="auto"/>
          </w:tcPr>
          <w:p w14:paraId="0A1BA8CD" w14:textId="77777777" w:rsidR="008906E8" w:rsidRDefault="00000000">
            <w:pPr>
              <w:pStyle w:val="Compact"/>
            </w:pPr>
            <w:r>
              <w:t xml:space="preserve">“Spec-driven markets + GenAI: extraction, validation, and audit </w:t>
            </w:r>
            <w:r>
              <w:lastRenderedPageBreak/>
              <w:t>logs”</w:t>
            </w:r>
          </w:p>
        </w:tc>
      </w:tr>
      <w:tr w:rsidR="008906E8" w14:paraId="5726CAE2" w14:textId="77777777">
        <w:tc>
          <w:tcPr>
            <w:tcW w:w="0" w:type="auto"/>
          </w:tcPr>
          <w:p w14:paraId="2149E3EA" w14:textId="77777777" w:rsidR="008906E8" w:rsidRDefault="00000000">
            <w:pPr>
              <w:pStyle w:val="Compact"/>
              <w:jc w:val="right"/>
            </w:pPr>
            <w:r>
              <w:lastRenderedPageBreak/>
              <w:t>6</w:t>
            </w:r>
          </w:p>
        </w:tc>
        <w:tc>
          <w:tcPr>
            <w:tcW w:w="0" w:type="auto"/>
          </w:tcPr>
          <w:p w14:paraId="2AB9436D" w14:textId="77777777" w:rsidR="008906E8" w:rsidRDefault="00000000">
            <w:pPr>
              <w:pStyle w:val="Compact"/>
            </w:pPr>
            <w:r>
              <w:t>EuroGrainExchange Bucharest 2026 (Apr 23–24, 2026, Bucharest</w:t>
            </w:r>
            <w:hyperlink r:id="rId65">
              <w:r>
                <w:rPr>
                  <w:rStyle w:val="Hyperlink"/>
                </w:rPr>
                <w:t>[48]</w:t>
              </w:r>
            </w:hyperlink>
            <w:r>
              <w:t xml:space="preserve">) </w:t>
            </w:r>
            <w:hyperlink r:id="rId66">
              <w:r>
                <w:rPr>
                  <w:rStyle w:val="Hyperlink"/>
                </w:rPr>
                <w:t>[49]</w:t>
              </w:r>
            </w:hyperlink>
          </w:p>
        </w:tc>
        <w:tc>
          <w:tcPr>
            <w:tcW w:w="0" w:type="auto"/>
          </w:tcPr>
          <w:p w14:paraId="205C8803" w14:textId="77777777" w:rsidR="008906E8" w:rsidRDefault="00000000">
            <w:pPr>
              <w:pStyle w:val="Compact"/>
            </w:pPr>
            <w:r>
              <w:t xml:space="preserve">Black Sea/CEE/Danube grain &amp; oilseeds trade </w:t>
            </w:r>
            <w:hyperlink r:id="rId67">
              <w:r>
                <w:rPr>
                  <w:rStyle w:val="Hyperlink"/>
                </w:rPr>
                <w:t>[50]</w:t>
              </w:r>
            </w:hyperlink>
          </w:p>
        </w:tc>
        <w:tc>
          <w:tcPr>
            <w:tcW w:w="0" w:type="auto"/>
          </w:tcPr>
          <w:p w14:paraId="18DAA5A5" w14:textId="77777777" w:rsidR="008906E8" w:rsidRDefault="00000000">
            <w:pPr>
              <w:pStyle w:val="Compact"/>
            </w:pPr>
            <w:r>
              <w:t>Great fit for basis + logistics + geopolitical narrative discipline</w:t>
            </w:r>
          </w:p>
        </w:tc>
        <w:tc>
          <w:tcPr>
            <w:tcW w:w="0" w:type="auto"/>
          </w:tcPr>
          <w:p w14:paraId="17117A85" w14:textId="77777777" w:rsidR="008906E8" w:rsidRDefault="00000000">
            <w:pPr>
              <w:pStyle w:val="Compact"/>
            </w:pPr>
            <w:r>
              <w:t xml:space="preserve">Unspecified </w:t>
            </w:r>
            <w:hyperlink r:id="rId68">
              <w:r>
                <w:rPr>
                  <w:rStyle w:val="Hyperlink"/>
                </w:rPr>
                <w:t>[49]</w:t>
              </w:r>
            </w:hyperlink>
          </w:p>
        </w:tc>
        <w:tc>
          <w:tcPr>
            <w:tcW w:w="0" w:type="auto"/>
          </w:tcPr>
          <w:p w14:paraId="1495F00C" w14:textId="77777777" w:rsidR="008906E8" w:rsidRDefault="00000000">
            <w:pPr>
              <w:pStyle w:val="Compact"/>
            </w:pPr>
            <w:r>
              <w:t>“Basis anomaly detection and freight-aware narratives with agent pipelines”</w:t>
            </w:r>
          </w:p>
        </w:tc>
      </w:tr>
      <w:tr w:rsidR="008906E8" w14:paraId="7A7A7D33" w14:textId="77777777">
        <w:tc>
          <w:tcPr>
            <w:tcW w:w="0" w:type="auto"/>
          </w:tcPr>
          <w:p w14:paraId="064227BB" w14:textId="77777777" w:rsidR="008906E8" w:rsidRDefault="00000000">
            <w:pPr>
              <w:pStyle w:val="Compact"/>
              <w:jc w:val="right"/>
            </w:pPr>
            <w:r>
              <w:t>7</w:t>
            </w:r>
          </w:p>
        </w:tc>
        <w:tc>
          <w:tcPr>
            <w:tcW w:w="0" w:type="auto"/>
          </w:tcPr>
          <w:p w14:paraId="32FAEC6E" w14:textId="77777777" w:rsidR="008906E8" w:rsidRDefault="00000000">
            <w:pPr>
              <w:pStyle w:val="Compact"/>
            </w:pPr>
            <w:r>
              <w:t>GrainCom 2026 (May 11–13, 2026, Geneva</w:t>
            </w:r>
            <w:hyperlink r:id="rId69">
              <w:r>
                <w:rPr>
                  <w:rStyle w:val="Hyperlink"/>
                </w:rPr>
                <w:t>[51]</w:t>
              </w:r>
            </w:hyperlink>
            <w:r>
              <w:t xml:space="preserve">) </w:t>
            </w:r>
            <w:hyperlink r:id="rId70">
              <w:r>
                <w:rPr>
                  <w:rStyle w:val="Hyperlink"/>
                </w:rPr>
                <w:t>[52]</w:t>
              </w:r>
            </w:hyperlink>
          </w:p>
        </w:tc>
        <w:tc>
          <w:tcPr>
            <w:tcW w:w="0" w:type="auto"/>
          </w:tcPr>
          <w:p w14:paraId="5F4CF3FA" w14:textId="77777777" w:rsidR="008906E8" w:rsidRDefault="00000000">
            <w:pPr>
              <w:pStyle w:val="Compact"/>
            </w:pPr>
            <w:r>
              <w:t xml:space="preserve">Grain/oilseed trading professionals; networking-heavy Geneva room </w:t>
            </w:r>
            <w:hyperlink r:id="rId71">
              <w:r>
                <w:rPr>
                  <w:rStyle w:val="Hyperlink"/>
                </w:rPr>
                <w:t>[53]</w:t>
              </w:r>
            </w:hyperlink>
          </w:p>
        </w:tc>
        <w:tc>
          <w:tcPr>
            <w:tcW w:w="0" w:type="auto"/>
          </w:tcPr>
          <w:p w14:paraId="2638AA9E" w14:textId="77777777" w:rsidR="008906E8" w:rsidRDefault="00000000">
            <w:pPr>
              <w:pStyle w:val="Compact"/>
            </w:pPr>
            <w:r>
              <w:t>Directly aligned with your Geneva deck; GrainCom agenda explicitly includes “Agri Digital Era” framing</w:t>
            </w:r>
          </w:p>
        </w:tc>
        <w:tc>
          <w:tcPr>
            <w:tcW w:w="0" w:type="auto"/>
          </w:tcPr>
          <w:p w14:paraId="66F63F58" w14:textId="77777777" w:rsidR="008906E8" w:rsidRDefault="00000000">
            <w:pPr>
              <w:pStyle w:val="Compact"/>
            </w:pPr>
            <w:r>
              <w:t xml:space="preserve">Unspecified </w:t>
            </w:r>
            <w:hyperlink r:id="rId72">
              <w:r>
                <w:rPr>
                  <w:rStyle w:val="Hyperlink"/>
                </w:rPr>
                <w:t>[54]</w:t>
              </w:r>
            </w:hyperlink>
          </w:p>
        </w:tc>
        <w:tc>
          <w:tcPr>
            <w:tcW w:w="0" w:type="auto"/>
          </w:tcPr>
          <w:p w14:paraId="0FE90BE8" w14:textId="77777777" w:rsidR="008906E8" w:rsidRDefault="00000000">
            <w:pPr>
              <w:pStyle w:val="Compact"/>
            </w:pPr>
            <w:r>
              <w:t>“The audit-first ‘analyst OS’ for global grain trade”</w:t>
            </w:r>
          </w:p>
        </w:tc>
      </w:tr>
      <w:tr w:rsidR="008906E8" w14:paraId="492C4A99" w14:textId="77777777">
        <w:tc>
          <w:tcPr>
            <w:tcW w:w="0" w:type="auto"/>
          </w:tcPr>
          <w:p w14:paraId="4821F707" w14:textId="77777777" w:rsidR="008906E8" w:rsidRDefault="00000000">
            <w:pPr>
              <w:pStyle w:val="Compact"/>
              <w:jc w:val="right"/>
            </w:pPr>
            <w:r>
              <w:t>8</w:t>
            </w:r>
          </w:p>
        </w:tc>
        <w:tc>
          <w:tcPr>
            <w:tcW w:w="0" w:type="auto"/>
          </w:tcPr>
          <w:p w14:paraId="5A0E97CA" w14:textId="77777777" w:rsidR="008906E8" w:rsidRDefault="00000000">
            <w:pPr>
              <w:pStyle w:val="Compact"/>
            </w:pPr>
            <w:r>
              <w:t>Fastmarkets Global Grain MENA (June 2026, Egypt</w:t>
            </w:r>
            <w:hyperlink r:id="rId73">
              <w:r>
                <w:rPr>
                  <w:rStyle w:val="Hyperlink"/>
                </w:rPr>
                <w:t>[55]</w:t>
              </w:r>
            </w:hyperlink>
            <w:r>
              <w:t xml:space="preserve">) </w:t>
            </w:r>
            <w:hyperlink r:id="rId74">
              <w:r>
                <w:rPr>
                  <w:rStyle w:val="Hyperlink"/>
                </w:rPr>
                <w:t>[56]</w:t>
              </w:r>
            </w:hyperlink>
          </w:p>
        </w:tc>
        <w:tc>
          <w:tcPr>
            <w:tcW w:w="0" w:type="auto"/>
          </w:tcPr>
          <w:p w14:paraId="7CE20ED3" w14:textId="77777777" w:rsidR="008906E8" w:rsidRDefault="00000000">
            <w:pPr>
              <w:pStyle w:val="Compact"/>
            </w:pPr>
            <w:r>
              <w:t xml:space="preserve">Traders, producers, innovators; MENA-focused trade flows </w:t>
            </w:r>
            <w:hyperlink r:id="rId75">
              <w:r>
                <w:rPr>
                  <w:rStyle w:val="Hyperlink"/>
                </w:rPr>
                <w:t>[56]</w:t>
              </w:r>
            </w:hyperlink>
          </w:p>
        </w:tc>
        <w:tc>
          <w:tcPr>
            <w:tcW w:w="0" w:type="auto"/>
          </w:tcPr>
          <w:p w14:paraId="075FAAD1" w14:textId="77777777" w:rsidR="008906E8" w:rsidRDefault="00000000">
            <w:pPr>
              <w:pStyle w:val="Compact"/>
            </w:pPr>
            <w:r>
              <w:t>Lets you tailor a trade-flow + food security + freight narrative; leverages AMIS/WASDE anchors</w:t>
            </w:r>
          </w:p>
        </w:tc>
        <w:tc>
          <w:tcPr>
            <w:tcW w:w="0" w:type="auto"/>
          </w:tcPr>
          <w:p w14:paraId="7C28D8A2" w14:textId="77777777" w:rsidR="008906E8" w:rsidRDefault="00000000">
            <w:pPr>
              <w:pStyle w:val="Compact"/>
            </w:pPr>
            <w:r>
              <w:t xml:space="preserve">Unspecified (month/location published, dates not) </w:t>
            </w:r>
            <w:hyperlink r:id="rId76">
              <w:r>
                <w:rPr>
                  <w:rStyle w:val="Hyperlink"/>
                </w:rPr>
                <w:t>[56]</w:t>
              </w:r>
            </w:hyperlink>
          </w:p>
        </w:tc>
        <w:tc>
          <w:tcPr>
            <w:tcW w:w="0" w:type="auto"/>
          </w:tcPr>
          <w:p w14:paraId="460BAE58" w14:textId="77777777" w:rsidR="008906E8" w:rsidRDefault="00000000">
            <w:pPr>
              <w:pStyle w:val="Compact"/>
            </w:pPr>
            <w:r>
              <w:t>“MENA flow intelligence with GenAI: reconciling balances and logistics constraints”</w:t>
            </w:r>
          </w:p>
        </w:tc>
      </w:tr>
      <w:tr w:rsidR="008906E8" w14:paraId="37D9F934" w14:textId="77777777">
        <w:tc>
          <w:tcPr>
            <w:tcW w:w="0" w:type="auto"/>
          </w:tcPr>
          <w:p w14:paraId="4336A740" w14:textId="77777777" w:rsidR="008906E8" w:rsidRDefault="00000000">
            <w:pPr>
              <w:pStyle w:val="Compact"/>
              <w:jc w:val="right"/>
            </w:pPr>
            <w:r>
              <w:t>9</w:t>
            </w:r>
          </w:p>
        </w:tc>
        <w:tc>
          <w:tcPr>
            <w:tcW w:w="0" w:type="auto"/>
          </w:tcPr>
          <w:p w14:paraId="22BB09A9" w14:textId="77777777" w:rsidR="008906E8" w:rsidRDefault="00000000">
            <w:pPr>
              <w:pStyle w:val="Compact"/>
            </w:pPr>
            <w:r>
              <w:t xml:space="preserve">Commodity Trading Week Europe (May 6–7, 2026, London) </w:t>
            </w:r>
            <w:hyperlink r:id="rId77">
              <w:r>
                <w:rPr>
                  <w:rStyle w:val="Hyperlink"/>
                </w:rPr>
                <w:t>[57]</w:t>
              </w:r>
            </w:hyperlink>
          </w:p>
        </w:tc>
        <w:tc>
          <w:tcPr>
            <w:tcW w:w="0" w:type="auto"/>
          </w:tcPr>
          <w:p w14:paraId="7C6E4FD7" w14:textId="77777777" w:rsidR="008906E8" w:rsidRDefault="00000000">
            <w:pPr>
              <w:pStyle w:val="Compact"/>
            </w:pPr>
            <w:r>
              <w:t xml:space="preserve">Commodity trading risk/compliance/ops leadership </w:t>
            </w:r>
            <w:hyperlink r:id="rId78">
              <w:r>
                <w:rPr>
                  <w:rStyle w:val="Hyperlink"/>
                </w:rPr>
                <w:t>[58]</w:t>
              </w:r>
            </w:hyperlink>
          </w:p>
        </w:tc>
        <w:tc>
          <w:tcPr>
            <w:tcW w:w="0" w:type="auto"/>
          </w:tcPr>
          <w:p w14:paraId="2EF9D4D5" w14:textId="77777777" w:rsidR="008906E8" w:rsidRDefault="00000000">
            <w:pPr>
              <w:pStyle w:val="Compact"/>
            </w:pPr>
            <w:r>
              <w:t>Strong match for “governance-first” AI: transparency, controls, compliance</w:t>
            </w:r>
          </w:p>
        </w:tc>
        <w:tc>
          <w:tcPr>
            <w:tcW w:w="0" w:type="auto"/>
          </w:tcPr>
          <w:p w14:paraId="4166AE3E" w14:textId="77777777" w:rsidR="008906E8" w:rsidRDefault="00000000">
            <w:pPr>
              <w:pStyle w:val="Compact"/>
            </w:pPr>
            <w:r>
              <w:t xml:space="preserve">Unspecified (program contributions invited) </w:t>
            </w:r>
            <w:hyperlink r:id="rId79">
              <w:r>
                <w:rPr>
                  <w:rStyle w:val="Hyperlink"/>
                </w:rPr>
                <w:t>[59]</w:t>
              </w:r>
            </w:hyperlink>
          </w:p>
        </w:tc>
        <w:tc>
          <w:tcPr>
            <w:tcW w:w="0" w:type="auto"/>
          </w:tcPr>
          <w:p w14:paraId="1B376993" w14:textId="77777777" w:rsidR="008906E8" w:rsidRDefault="00000000">
            <w:pPr>
              <w:pStyle w:val="Compact"/>
            </w:pPr>
            <w:r>
              <w:t xml:space="preserve">“GenAI controls for commodity desks: audit logs, model risk, and </w:t>
            </w:r>
            <w:r>
              <w:lastRenderedPageBreak/>
              <w:t>reproducibility”</w:t>
            </w:r>
          </w:p>
        </w:tc>
      </w:tr>
      <w:tr w:rsidR="008906E8" w14:paraId="3F1849F2" w14:textId="77777777">
        <w:tc>
          <w:tcPr>
            <w:tcW w:w="0" w:type="auto"/>
          </w:tcPr>
          <w:p w14:paraId="403A20B3" w14:textId="77777777" w:rsidR="008906E8" w:rsidRDefault="00000000">
            <w:pPr>
              <w:pStyle w:val="Compact"/>
              <w:jc w:val="right"/>
            </w:pPr>
            <w:r>
              <w:lastRenderedPageBreak/>
              <w:t>10</w:t>
            </w:r>
          </w:p>
        </w:tc>
        <w:tc>
          <w:tcPr>
            <w:tcW w:w="0" w:type="auto"/>
          </w:tcPr>
          <w:p w14:paraId="11054095" w14:textId="77777777" w:rsidR="008906E8" w:rsidRDefault="00000000">
            <w:pPr>
              <w:pStyle w:val="Compact"/>
            </w:pPr>
            <w:r>
              <w:t xml:space="preserve">Argus North American Biofuels, LCFS &amp; Carbon Markets Summit (2026) </w:t>
            </w:r>
            <w:hyperlink r:id="rId80">
              <w:r>
                <w:rPr>
                  <w:rStyle w:val="Hyperlink"/>
                </w:rPr>
                <w:t>[60]</w:t>
              </w:r>
            </w:hyperlink>
          </w:p>
        </w:tc>
        <w:tc>
          <w:tcPr>
            <w:tcW w:w="0" w:type="auto"/>
          </w:tcPr>
          <w:p w14:paraId="118B4788" w14:textId="77777777" w:rsidR="008906E8" w:rsidRDefault="00000000">
            <w:pPr>
              <w:pStyle w:val="Compact"/>
            </w:pPr>
            <w:r>
              <w:t xml:space="preserve">Biofuels + carbon markets participants </w:t>
            </w:r>
            <w:hyperlink r:id="rId81">
              <w:r>
                <w:rPr>
                  <w:rStyle w:val="Hyperlink"/>
                </w:rPr>
                <w:t>[60]</w:t>
              </w:r>
            </w:hyperlink>
          </w:p>
        </w:tc>
        <w:tc>
          <w:tcPr>
            <w:tcW w:w="0" w:type="auto"/>
          </w:tcPr>
          <w:p w14:paraId="2743F71D" w14:textId="77777777" w:rsidR="008906E8" w:rsidRDefault="00000000">
            <w:pPr>
              <w:pStyle w:val="Compact"/>
            </w:pPr>
            <w:r>
              <w:t>Ideal venue for the feedstock shock + credits narrative; policy-to-economics is central</w:t>
            </w:r>
          </w:p>
        </w:tc>
        <w:tc>
          <w:tcPr>
            <w:tcW w:w="0" w:type="auto"/>
          </w:tcPr>
          <w:p w14:paraId="756BCAAE" w14:textId="77777777" w:rsidR="008906E8" w:rsidRDefault="00000000">
            <w:pPr>
              <w:pStyle w:val="Compact"/>
            </w:pPr>
            <w:r>
              <w:t xml:space="preserve">Unspecified </w:t>
            </w:r>
            <w:hyperlink r:id="rId82">
              <w:r>
                <w:rPr>
                  <w:rStyle w:val="Hyperlink"/>
                </w:rPr>
                <w:t>[60]</w:t>
              </w:r>
            </w:hyperlink>
          </w:p>
        </w:tc>
        <w:tc>
          <w:tcPr>
            <w:tcW w:w="0" w:type="auto"/>
          </w:tcPr>
          <w:p w14:paraId="434B696D" w14:textId="77777777" w:rsidR="008906E8" w:rsidRDefault="00000000">
            <w:pPr>
              <w:pStyle w:val="Compact"/>
            </w:pPr>
            <w:r>
              <w:t>“Credit-linked intelligence: structured LCFS/RFS monitoring with agents”</w:t>
            </w:r>
          </w:p>
        </w:tc>
      </w:tr>
      <w:tr w:rsidR="008906E8" w14:paraId="246B195C" w14:textId="77777777">
        <w:tc>
          <w:tcPr>
            <w:tcW w:w="0" w:type="auto"/>
          </w:tcPr>
          <w:p w14:paraId="21D9B078" w14:textId="77777777" w:rsidR="008906E8" w:rsidRDefault="00000000">
            <w:pPr>
              <w:pStyle w:val="Compact"/>
              <w:jc w:val="right"/>
            </w:pPr>
            <w:r>
              <w:t>11</w:t>
            </w:r>
          </w:p>
        </w:tc>
        <w:tc>
          <w:tcPr>
            <w:tcW w:w="0" w:type="auto"/>
          </w:tcPr>
          <w:p w14:paraId="3753A01F" w14:textId="77777777" w:rsidR="008906E8" w:rsidRDefault="00000000">
            <w:pPr>
              <w:pStyle w:val="Compact"/>
            </w:pPr>
            <w:r>
              <w:t>U.S. Grains &amp; BioProducts Council International Marketing Conference (Feb 11–13, 2026, Panama City</w:t>
            </w:r>
            <w:hyperlink r:id="rId83">
              <w:r>
                <w:rPr>
                  <w:rStyle w:val="Hyperlink"/>
                </w:rPr>
                <w:t>[61]</w:t>
              </w:r>
            </w:hyperlink>
            <w:r>
              <w:t xml:space="preserve">) </w:t>
            </w:r>
            <w:hyperlink r:id="rId84">
              <w:r>
                <w:rPr>
                  <w:rStyle w:val="Hyperlink"/>
                </w:rPr>
                <w:t>[62]</w:t>
              </w:r>
            </w:hyperlink>
          </w:p>
        </w:tc>
        <w:tc>
          <w:tcPr>
            <w:tcW w:w="0" w:type="auto"/>
          </w:tcPr>
          <w:p w14:paraId="1E328567" w14:textId="77777777" w:rsidR="008906E8" w:rsidRDefault="00000000">
            <w:pPr>
              <w:pStyle w:val="Compact"/>
            </w:pPr>
            <w:r>
              <w:t xml:space="preserve">Export market development leaders; grains/bioproducts stakeholders </w:t>
            </w:r>
            <w:hyperlink r:id="rId85">
              <w:r>
                <w:rPr>
                  <w:rStyle w:val="Hyperlink"/>
                </w:rPr>
                <w:t>[63]</w:t>
              </w:r>
            </w:hyperlink>
          </w:p>
        </w:tc>
        <w:tc>
          <w:tcPr>
            <w:tcW w:w="0" w:type="auto"/>
          </w:tcPr>
          <w:p w14:paraId="1334867B" w14:textId="77777777" w:rsidR="008906E8" w:rsidRDefault="00000000">
            <w:pPr>
              <w:pStyle w:val="Compact"/>
            </w:pPr>
            <w:r>
              <w:t>Strong “trade + demand framing” audience; practical comms and policy monitoring valued</w:t>
            </w:r>
          </w:p>
        </w:tc>
        <w:tc>
          <w:tcPr>
            <w:tcW w:w="0" w:type="auto"/>
          </w:tcPr>
          <w:p w14:paraId="6117C9CA" w14:textId="77777777" w:rsidR="008906E8" w:rsidRDefault="00000000">
            <w:pPr>
              <w:pStyle w:val="Compact"/>
            </w:pPr>
            <w:r>
              <w:t xml:space="preserve">Unspecified </w:t>
            </w:r>
            <w:hyperlink r:id="rId86">
              <w:r>
                <w:rPr>
                  <w:rStyle w:val="Hyperlink"/>
                </w:rPr>
                <w:t>[63]</w:t>
              </w:r>
            </w:hyperlink>
          </w:p>
        </w:tc>
        <w:tc>
          <w:tcPr>
            <w:tcW w:w="0" w:type="auto"/>
          </w:tcPr>
          <w:p w14:paraId="68A5318F" w14:textId="77777777" w:rsidR="008906E8" w:rsidRDefault="00000000">
            <w:pPr>
              <w:pStyle w:val="Compact"/>
            </w:pPr>
            <w:r>
              <w:t>“Turning global demand signals into explainable trade scenarios with LLM workflows”</w:t>
            </w:r>
          </w:p>
        </w:tc>
      </w:tr>
      <w:tr w:rsidR="008906E8" w14:paraId="03E24C29" w14:textId="77777777">
        <w:tc>
          <w:tcPr>
            <w:tcW w:w="0" w:type="auto"/>
          </w:tcPr>
          <w:p w14:paraId="3BB8B32B" w14:textId="77777777" w:rsidR="008906E8" w:rsidRDefault="00000000">
            <w:pPr>
              <w:pStyle w:val="Compact"/>
              <w:jc w:val="right"/>
            </w:pPr>
            <w:r>
              <w:t>12</w:t>
            </w:r>
          </w:p>
        </w:tc>
        <w:tc>
          <w:tcPr>
            <w:tcW w:w="0" w:type="auto"/>
          </w:tcPr>
          <w:p w14:paraId="37BE3CCF" w14:textId="77777777" w:rsidR="008906E8" w:rsidRDefault="00000000">
            <w:pPr>
              <w:pStyle w:val="Compact"/>
            </w:pPr>
            <w:r>
              <w:t xml:space="preserve">Geneva Sugar Conference 2026 (Apr 22–23, 2026, Geneva) </w:t>
            </w:r>
            <w:hyperlink r:id="rId87">
              <w:r>
                <w:rPr>
                  <w:rStyle w:val="Hyperlink"/>
                </w:rPr>
                <w:t>[64]</w:t>
              </w:r>
            </w:hyperlink>
          </w:p>
        </w:tc>
        <w:tc>
          <w:tcPr>
            <w:tcW w:w="0" w:type="auto"/>
          </w:tcPr>
          <w:p w14:paraId="182F8FEB" w14:textId="77777777" w:rsidR="008906E8" w:rsidRDefault="00000000">
            <w:pPr>
              <w:pStyle w:val="Compact"/>
            </w:pPr>
            <w:r>
              <w:t xml:space="preserve">Global sugar traders, producers, policymakers </w:t>
            </w:r>
            <w:hyperlink r:id="rId88">
              <w:r>
                <w:rPr>
                  <w:rStyle w:val="Hyperlink"/>
                </w:rPr>
                <w:t>[64]</w:t>
              </w:r>
            </w:hyperlink>
          </w:p>
        </w:tc>
        <w:tc>
          <w:tcPr>
            <w:tcW w:w="0" w:type="auto"/>
          </w:tcPr>
          <w:p w14:paraId="73B0DF1E" w14:textId="77777777" w:rsidR="008906E8" w:rsidRDefault="00000000">
            <w:pPr>
              <w:pStyle w:val="Compact"/>
            </w:pPr>
            <w:r>
              <w:t>Extends your “softs + policy + macro” narrative; Geneva audience, high-level trade context</w:t>
            </w:r>
          </w:p>
        </w:tc>
        <w:tc>
          <w:tcPr>
            <w:tcW w:w="0" w:type="auto"/>
          </w:tcPr>
          <w:p w14:paraId="636C7D4E" w14:textId="77777777" w:rsidR="008906E8" w:rsidRDefault="00000000">
            <w:pPr>
              <w:pStyle w:val="Compact"/>
            </w:pPr>
            <w:r>
              <w:t xml:space="preserve">Unspecified </w:t>
            </w:r>
            <w:hyperlink r:id="rId89">
              <w:r>
                <w:rPr>
                  <w:rStyle w:val="Hyperlink"/>
                </w:rPr>
                <w:t>[64]</w:t>
              </w:r>
            </w:hyperlink>
          </w:p>
        </w:tc>
        <w:tc>
          <w:tcPr>
            <w:tcW w:w="0" w:type="auto"/>
          </w:tcPr>
          <w:p w14:paraId="540FF978" w14:textId="77777777" w:rsidR="008906E8" w:rsidRDefault="00000000">
            <w:pPr>
              <w:pStyle w:val="Compact"/>
            </w:pPr>
            <w:r>
              <w:t>“Cross-commodity AI: auditable macro/policy intelligence for softs markets”</w:t>
            </w:r>
          </w:p>
        </w:tc>
      </w:tr>
    </w:tbl>
    <w:p w14:paraId="1B907306" w14:textId="77777777" w:rsidR="008906E8" w:rsidRDefault="00000000">
      <w:pPr>
        <w:pStyle w:val="Heading2"/>
      </w:pPr>
      <w:bookmarkStart w:id="13" w:name="architecture-and-demos"/>
      <w:bookmarkEnd w:id="12"/>
      <w:r>
        <w:t>Architecture and demos</w:t>
      </w:r>
    </w:p>
    <w:p w14:paraId="0F997484" w14:textId="77777777" w:rsidR="008906E8" w:rsidRDefault="00000000">
      <w:pPr>
        <w:pStyle w:val="Heading3"/>
      </w:pPr>
      <w:bookmarkStart w:id="14" w:name="X2d813409a5e1aa2187d373d76da366a83279127"/>
      <w:r>
        <w:t>One-page visual architecture diagram concept</w:t>
      </w:r>
    </w:p>
    <w:p w14:paraId="0D179C6F" w14:textId="77777777" w:rsidR="008906E8" w:rsidRDefault="00000000">
      <w:pPr>
        <w:pStyle w:val="FirstParagraph"/>
      </w:pPr>
      <w:r>
        <w:rPr>
          <w:b/>
          <w:bCs/>
        </w:rPr>
        <w:t>Design goal:</w:t>
      </w:r>
      <w:r>
        <w:t xml:space="preserve"> A commodity-grade GenAI system should behave like a controlled market system: every output is (a) sourced, (b) timestamped, (c) reproducible, and (d) guarded by deterministic validation gates. This aligns with risk-management expectations reflected in </w:t>
      </w:r>
      <w:r>
        <w:lastRenderedPageBreak/>
        <w:t xml:space="preserve">NIST’s AI RMF and the Generative AI profile, and directly mitigates documented hallucination failure modes. </w:t>
      </w:r>
      <w:hyperlink r:id="rId90">
        <w:r>
          <w:rPr>
            <w:rStyle w:val="Hyperlink"/>
          </w:rPr>
          <w:t>[65]</w:t>
        </w:r>
      </w:hyperlink>
    </w:p>
    <w:p w14:paraId="5DD915CE" w14:textId="77777777" w:rsidR="008906E8" w:rsidRDefault="00000000">
      <w:pPr>
        <w:pStyle w:val="BodyText"/>
      </w:pPr>
      <w:r>
        <w:rPr>
          <w:b/>
          <w:bCs/>
        </w:rPr>
        <w:t>Core components (what to draw on one page):</w:t>
      </w:r>
      <w:r>
        <w:t xml:space="preserve"> - </w:t>
      </w:r>
      <w:r>
        <w:rPr>
          <w:b/>
          <w:bCs/>
        </w:rPr>
        <w:t>Source connectors (left):</w:t>
      </w:r>
      <w:r>
        <w:t xml:space="preserve"> public releases (WASDE, AMS Market News), policy pages (EPA RFS/RINs, CARB LCFS), exchange references (CME contract specs), and trade transparency anchors (AMIS). </w:t>
      </w:r>
      <w:hyperlink r:id="rId91">
        <w:r>
          <w:rPr>
            <w:rStyle w:val="Hyperlink"/>
          </w:rPr>
          <w:t>[66]</w:t>
        </w:r>
      </w:hyperlink>
      <w:r>
        <w:br/>
        <w:t xml:space="preserve">- </w:t>
      </w:r>
      <w:r>
        <w:rPr>
          <w:b/>
          <w:bCs/>
        </w:rPr>
        <w:t>Bronze layer (raw store):</w:t>
      </w:r>
      <w:r>
        <w:t xml:space="preserve"> immutable snapshots of PDFs/HTML/CSV/emails with metadata (source, retrieval time, version hash). (The “immutability” is your provenance anchor.) </w:t>
      </w:r>
      <w:hyperlink r:id="rId92">
        <w:r>
          <w:rPr>
            <w:rStyle w:val="Hyperlink"/>
          </w:rPr>
          <w:t>[67]</w:t>
        </w:r>
      </w:hyperlink>
      <w:r>
        <w:br/>
        <w:t xml:space="preserve">- </w:t>
      </w:r>
      <w:r>
        <w:rPr>
          <w:b/>
          <w:bCs/>
        </w:rPr>
        <w:t>Parsing + extraction services:</w:t>
      </w:r>
      <w:r>
        <w:t xml:space="preserve"> document parser (PDF tables), entity/unit normalizer, schema mapper (turn text into structured “observations”).</w:t>
      </w:r>
      <w:r>
        <w:br/>
        <w:t xml:space="preserve">- </w:t>
      </w:r>
      <w:r>
        <w:rPr>
          <w:b/>
          <w:bCs/>
        </w:rPr>
        <w:t>Silver layer (validated canonical objects):</w:t>
      </w:r>
      <w:r>
        <w:t xml:space="preserve"> standardized records such as </w:t>
      </w:r>
      <w:r>
        <w:rPr>
          <w:rStyle w:val="VerbatimChar"/>
        </w:rPr>
        <w:t>price_observation</w:t>
      </w:r>
      <w:r>
        <w:t xml:space="preserve">, </w:t>
      </w:r>
      <w:r>
        <w:rPr>
          <w:rStyle w:val="VerbatimChar"/>
        </w:rPr>
        <w:t>policy_update</w:t>
      </w:r>
      <w:r>
        <w:t xml:space="preserve">, </w:t>
      </w:r>
      <w:r>
        <w:rPr>
          <w:rStyle w:val="VerbatimChar"/>
        </w:rPr>
        <w:t>balance_sheet_delta</w:t>
      </w:r>
      <w:r>
        <w:t xml:space="preserve">, </w:t>
      </w:r>
      <w:r>
        <w:rPr>
          <w:rStyle w:val="VerbatimChar"/>
        </w:rPr>
        <w:t>trade_flow_event</w:t>
      </w:r>
      <w:r>
        <w:t xml:space="preserve">, with unit discipline and validation results attached. </w:t>
      </w:r>
      <w:hyperlink r:id="rId93">
        <w:r>
          <w:rPr>
            <w:rStyle w:val="Hyperlink"/>
          </w:rPr>
          <w:t>[67]</w:t>
        </w:r>
      </w:hyperlink>
      <w:r>
        <w:br/>
        <w:t xml:space="preserve">- </w:t>
      </w:r>
      <w:r>
        <w:rPr>
          <w:b/>
          <w:bCs/>
        </w:rPr>
        <w:t>Gold layer (analytics products):</w:t>
      </w:r>
      <w:r>
        <w:t xml:space="preserve"> curves, spreads, basis series, scenario matrices, “daily brief” datasets, and reusable “research objects” (data + narrative + citations). </w:t>
      </w:r>
      <w:hyperlink r:id="rId94">
        <w:r>
          <w:rPr>
            <w:rStyle w:val="Hyperlink"/>
          </w:rPr>
          <w:t>[67]</w:t>
        </w:r>
      </w:hyperlink>
      <w:r>
        <w:br/>
        <w:t xml:space="preserve">- </w:t>
      </w:r>
      <w:r>
        <w:rPr>
          <w:b/>
          <w:bCs/>
        </w:rPr>
        <w:t>Agent orchestration layer (top/middle):</w:t>
      </w:r>
      <w:r>
        <w:t xml:space="preserve"> role-based agents (collector, reconciler, analyst, writer) with tool access to SQL/time series, retrieval index (RAG), and deterministic validators. </w:t>
      </w:r>
      <w:hyperlink r:id="rId95">
        <w:r>
          <w:rPr>
            <w:rStyle w:val="Hyperlink"/>
          </w:rPr>
          <w:t>[68]</w:t>
        </w:r>
      </w:hyperlink>
      <w:r>
        <w:br/>
        <w:t xml:space="preserve">- </w:t>
      </w:r>
      <w:r>
        <w:rPr>
          <w:b/>
          <w:bCs/>
        </w:rPr>
        <w:t>Governance &amp; audit (right/bottom):</w:t>
      </w:r>
      <w:r>
        <w:t xml:space="preserve"> run logs, prompt/tool transcripts, approvals, and change management; “stop conditions” when sources conflict or validations fail. </w:t>
      </w:r>
      <w:hyperlink r:id="rId96">
        <w:r>
          <w:rPr>
            <w:rStyle w:val="Hyperlink"/>
          </w:rPr>
          <w:t>[13]</w:t>
        </w:r>
      </w:hyperlink>
      <w:r>
        <w:br/>
        <w:t xml:space="preserve">- </w:t>
      </w:r>
      <w:r>
        <w:rPr>
          <w:b/>
          <w:bCs/>
        </w:rPr>
        <w:t>Outputs (right):</w:t>
      </w:r>
      <w:r>
        <w:t xml:space="preserve"> desk briefs, scenario packs, dashboard updates, and “source bundles.”</w:t>
      </w:r>
    </w:p>
    <w:p w14:paraId="6C26649D" w14:textId="77777777" w:rsidR="008906E8" w:rsidRDefault="00000000">
      <w:pPr>
        <w:pStyle w:val="BodyText"/>
      </w:pPr>
      <w:r>
        <w:rPr>
          <w:b/>
          <w:bCs/>
        </w:rPr>
        <w:t>Mermaid flowchart (system)</w:t>
      </w:r>
    </w:p>
    <w:p w14:paraId="17EEC0A4" w14:textId="77777777" w:rsidR="008906E8" w:rsidRDefault="00000000">
      <w:pPr>
        <w:pStyle w:val="SourceCode"/>
      </w:pPr>
      <w:r>
        <w:rPr>
          <w:rStyle w:val="VerbatimChar"/>
        </w:rPr>
        <w:t>flowchart LR</w:t>
      </w:r>
      <w:r>
        <w:br/>
      </w:r>
      <w:r>
        <w:rPr>
          <w:rStyle w:val="VerbatimChar"/>
        </w:rPr>
        <w:t xml:space="preserve">  subgraph Sources</w:t>
      </w:r>
      <w:r>
        <w:br/>
      </w:r>
      <w:r>
        <w:rPr>
          <w:rStyle w:val="VerbatimChar"/>
        </w:rPr>
        <w:t xml:space="preserve">    A[Public reports\n(WASDE, AMS Market News)]</w:t>
      </w:r>
      <w:r>
        <w:br/>
      </w:r>
      <w:r>
        <w:rPr>
          <w:rStyle w:val="VerbatimChar"/>
        </w:rPr>
        <w:t xml:space="preserve">    B[Policy &amp; credits\n(RFS/RINs, LCFS, CORSIA)]</w:t>
      </w:r>
      <w:r>
        <w:br/>
      </w:r>
      <w:r>
        <w:rPr>
          <w:rStyle w:val="VerbatimChar"/>
        </w:rPr>
        <w:t xml:space="preserve">    C[Exchange references\n(futures contract specs)]</w:t>
      </w:r>
      <w:r>
        <w:br/>
      </w:r>
      <w:r>
        <w:rPr>
          <w:rStyle w:val="VerbatimChar"/>
        </w:rPr>
        <w:t xml:space="preserve">    D[Trade transparency anchors\n(AMIS, other monitors)]</w:t>
      </w:r>
      <w:r>
        <w:br/>
      </w:r>
      <w:r>
        <w:rPr>
          <w:rStyle w:val="VerbatimChar"/>
        </w:rPr>
        <w:t xml:space="preserve">    E[Internal artifacts\n(emails, PDFs, calls, notes)]</w:t>
      </w:r>
      <w:r>
        <w:br/>
      </w:r>
      <w:r>
        <w:rPr>
          <w:rStyle w:val="VerbatimChar"/>
        </w:rPr>
        <w:t xml:space="preserve">  end</w:t>
      </w:r>
      <w:r>
        <w:br/>
      </w:r>
      <w:r>
        <w:br/>
      </w:r>
      <w:r>
        <w:rPr>
          <w:rStyle w:val="VerbatimChar"/>
        </w:rPr>
        <w:t xml:space="preserve">  A --&gt; I[Ingestion + snapshotting\n(metadata: source, time, version)]</w:t>
      </w:r>
      <w:r>
        <w:br/>
      </w:r>
      <w:r>
        <w:rPr>
          <w:rStyle w:val="VerbatimChar"/>
        </w:rPr>
        <w:t xml:space="preserve">  B --&gt; I</w:t>
      </w:r>
      <w:r>
        <w:br/>
      </w:r>
      <w:r>
        <w:rPr>
          <w:rStyle w:val="VerbatimChar"/>
        </w:rPr>
        <w:t xml:space="preserve">  C --&gt; I</w:t>
      </w:r>
      <w:r>
        <w:br/>
      </w:r>
      <w:r>
        <w:rPr>
          <w:rStyle w:val="VerbatimChar"/>
        </w:rPr>
        <w:t xml:space="preserve">  D --&gt; I</w:t>
      </w:r>
      <w:r>
        <w:br/>
      </w:r>
      <w:r>
        <w:rPr>
          <w:rStyle w:val="VerbatimChar"/>
        </w:rPr>
        <w:t xml:space="preserve">  E --&gt; I</w:t>
      </w:r>
      <w:r>
        <w:br/>
      </w:r>
      <w:r>
        <w:br/>
      </w:r>
      <w:r>
        <w:rPr>
          <w:rStyle w:val="VerbatimChar"/>
        </w:rPr>
        <w:t xml:space="preserve">  I --&gt; BR[Bronze layer\nimmutable raw store]</w:t>
      </w:r>
      <w:r>
        <w:br/>
      </w:r>
      <w:r>
        <w:br/>
      </w:r>
      <w:r>
        <w:rPr>
          <w:rStyle w:val="VerbatimChar"/>
        </w:rPr>
        <w:t xml:space="preserve">  BR --&gt; P[Parsing + extraction\nPDF tables, text, entities]</w:t>
      </w:r>
      <w:r>
        <w:br/>
      </w:r>
      <w:r>
        <w:rPr>
          <w:rStyle w:val="VerbatimChar"/>
        </w:rPr>
        <w:t xml:space="preserve">  P --&gt; N[Normalization\nunits, geography, calendars, schemas]</w:t>
      </w:r>
      <w:r>
        <w:br/>
      </w:r>
      <w:r>
        <w:rPr>
          <w:rStyle w:val="VerbatimChar"/>
        </w:rPr>
        <w:t xml:space="preserve">  N --&gt; V[Validation gates\nrange checks, cross-source diffs]</w:t>
      </w:r>
      <w:r>
        <w:br/>
      </w:r>
      <w:r>
        <w:br/>
      </w:r>
      <w:r>
        <w:rPr>
          <w:rStyle w:val="VerbatimChar"/>
        </w:rPr>
        <w:t xml:space="preserve">  V --&gt; SI[Silver layer\ncanonical validated objects]</w:t>
      </w:r>
      <w:r>
        <w:br/>
      </w:r>
      <w:r>
        <w:rPr>
          <w:rStyle w:val="VerbatimChar"/>
        </w:rPr>
        <w:lastRenderedPageBreak/>
        <w:t xml:space="preserve">  SI --&gt; FE[Feature &amp; model build\nspreads, basis, margins, scenarios]</w:t>
      </w:r>
      <w:r>
        <w:br/>
      </w:r>
      <w:r>
        <w:rPr>
          <w:rStyle w:val="VerbatimChar"/>
        </w:rPr>
        <w:t xml:space="preserve">  FE --&gt; GO[Gold layer\nanalytics-ready products]</w:t>
      </w:r>
      <w:r>
        <w:br/>
      </w:r>
      <w:r>
        <w:br/>
      </w:r>
      <w:r>
        <w:rPr>
          <w:rStyle w:val="VerbatimChar"/>
        </w:rPr>
        <w:t xml:space="preserve">  subgraph Agents</w:t>
      </w:r>
      <w:r>
        <w:br/>
      </w:r>
      <w:r>
        <w:rPr>
          <w:rStyle w:val="VerbatimChar"/>
        </w:rPr>
        <w:t xml:space="preserve">    AC[Collector agent]</w:t>
      </w:r>
      <w:r>
        <w:br/>
      </w:r>
      <w:r>
        <w:rPr>
          <w:rStyle w:val="VerbatimChar"/>
        </w:rPr>
        <w:t xml:space="preserve">    AV[Validator/Reconciler agent]</w:t>
      </w:r>
      <w:r>
        <w:br/>
      </w:r>
      <w:r>
        <w:rPr>
          <w:rStyle w:val="VerbatimChar"/>
        </w:rPr>
        <w:t xml:space="preserve">    AN[Analyst agent]</w:t>
      </w:r>
      <w:r>
        <w:br/>
      </w:r>
      <w:r>
        <w:rPr>
          <w:rStyle w:val="VerbatimChar"/>
        </w:rPr>
        <w:t xml:space="preserve">    AW[Writer agent\n(citation-first)]</w:t>
      </w:r>
      <w:r>
        <w:br/>
      </w:r>
      <w:r>
        <w:rPr>
          <w:rStyle w:val="VerbatimChar"/>
        </w:rPr>
        <w:t xml:space="preserve">  end</w:t>
      </w:r>
      <w:r>
        <w:br/>
      </w:r>
      <w:r>
        <w:br/>
      </w:r>
      <w:r>
        <w:rPr>
          <w:rStyle w:val="VerbatimChar"/>
        </w:rPr>
        <w:t xml:space="preserve">  SI &lt;--&gt; R[RAG retrieval index\n(vetted corpus)]</w:t>
      </w:r>
      <w:r>
        <w:br/>
      </w:r>
      <w:r>
        <w:rPr>
          <w:rStyle w:val="VerbatimChar"/>
        </w:rPr>
        <w:t xml:space="preserve">  GO --&gt; AN</w:t>
      </w:r>
      <w:r>
        <w:br/>
      </w:r>
      <w:r>
        <w:rPr>
          <w:rStyle w:val="VerbatimChar"/>
        </w:rPr>
        <w:t xml:space="preserve">  SI --&gt; AV</w:t>
      </w:r>
      <w:r>
        <w:br/>
      </w:r>
      <w:r>
        <w:rPr>
          <w:rStyle w:val="VerbatimChar"/>
        </w:rPr>
        <w:t xml:space="preserve">  BR --&gt; AC</w:t>
      </w:r>
      <w:r>
        <w:br/>
      </w:r>
      <w:r>
        <w:rPr>
          <w:rStyle w:val="VerbatimChar"/>
        </w:rPr>
        <w:t xml:space="preserve">  R --&gt; AW</w:t>
      </w:r>
      <w:r>
        <w:br/>
      </w:r>
      <w:r>
        <w:rPr>
          <w:rStyle w:val="VerbatimChar"/>
        </w:rPr>
        <w:t xml:space="preserve">  AN --&gt; AW</w:t>
      </w:r>
      <w:r>
        <w:br/>
      </w:r>
      <w:r>
        <w:br/>
      </w:r>
      <w:r>
        <w:rPr>
          <w:rStyle w:val="VerbatimChar"/>
        </w:rPr>
        <w:t xml:space="preserve">  AW --&gt; OUT[Outputs\nbriefs, scenario packs, dashboards]</w:t>
      </w:r>
      <w:r>
        <w:br/>
      </w:r>
      <w:r>
        <w:rPr>
          <w:rStyle w:val="VerbatimChar"/>
        </w:rPr>
        <w:t xml:space="preserve">  AV --&gt; LOG[Audit log + run history]</w:t>
      </w:r>
      <w:r>
        <w:br/>
      </w:r>
      <w:r>
        <w:rPr>
          <w:rStyle w:val="VerbatimChar"/>
        </w:rPr>
        <w:t xml:space="preserve">  AW --&gt; LOG</w:t>
      </w:r>
      <w:r>
        <w:br/>
      </w:r>
      <w:r>
        <w:rPr>
          <w:rStyle w:val="VerbatimChar"/>
        </w:rPr>
        <w:t xml:space="preserve">  OUT --&gt; H[Human review/approval\n(high-stakes gate)]</w:t>
      </w:r>
      <w:r>
        <w:br/>
      </w:r>
      <w:r>
        <w:rPr>
          <w:rStyle w:val="VerbatimChar"/>
        </w:rPr>
        <w:t xml:space="preserve">  H --&gt; OUT</w:t>
      </w:r>
    </w:p>
    <w:p w14:paraId="3D6112BE" w14:textId="77777777" w:rsidR="008906E8" w:rsidRDefault="00000000">
      <w:pPr>
        <w:pStyle w:val="FirstParagraph"/>
      </w:pPr>
      <w:hyperlink r:id="rId97">
        <w:r>
          <w:rPr>
            <w:rStyle w:val="Hyperlink"/>
          </w:rPr>
          <w:t>[69]</w:t>
        </w:r>
      </w:hyperlink>
    </w:p>
    <w:p w14:paraId="5018E195" w14:textId="77777777" w:rsidR="008906E8" w:rsidRDefault="00000000">
      <w:pPr>
        <w:pStyle w:val="Heading3"/>
      </w:pPr>
      <w:bookmarkStart w:id="15" w:name="three-demo-scenarios-and-case-studies"/>
      <w:bookmarkEnd w:id="14"/>
      <w:r>
        <w:t>Three demo scenarios and case studies</w:t>
      </w:r>
    </w:p>
    <w:p w14:paraId="6592F3CF" w14:textId="77777777" w:rsidR="008906E8" w:rsidRDefault="00000000">
      <w:pPr>
        <w:pStyle w:val="FirstParagraph"/>
      </w:pPr>
      <w:r>
        <w:t>Each demo is intentionally designed to (a) show speed, (b) show auditability, and (c) show where the LLM is constrained by tools, retrieval, and validation.</w:t>
      </w:r>
    </w:p>
    <w:p w14:paraId="51A02E81" w14:textId="77777777" w:rsidR="008906E8" w:rsidRDefault="00000000">
      <w:pPr>
        <w:pStyle w:val="Heading4"/>
      </w:pPr>
      <w:bookmarkStart w:id="16" w:name="wasde-day-demo"/>
      <w:r>
        <w:t>WASDE day demo</w:t>
      </w:r>
    </w:p>
    <w:p w14:paraId="0924F0B2" w14:textId="77777777" w:rsidR="008906E8" w:rsidRDefault="00000000">
      <w:pPr>
        <w:pStyle w:val="FirstParagraph"/>
      </w:pPr>
      <w:r>
        <w:rPr>
          <w:b/>
          <w:bCs/>
        </w:rPr>
        <w:t>Inputs</w:t>
      </w:r>
      <w:r>
        <w:t xml:space="preserve"> - New WASDE release (PDF/text) as the primary artifact. </w:t>
      </w:r>
      <w:hyperlink r:id="rId98">
        <w:r>
          <w:rPr>
            <w:rStyle w:val="Hyperlink"/>
          </w:rPr>
          <w:t>[17]</w:t>
        </w:r>
      </w:hyperlink>
      <w:r>
        <w:br/>
        <w:t>- Prior WASDE release and a stored history of key series (stocks/use, production, exports) (your internal store).</w:t>
      </w:r>
      <w:r>
        <w:br/>
        <w:t xml:space="preserve">- Optional context anchors: AMIS or other monitor summaries for cross-check framing. </w:t>
      </w:r>
      <w:hyperlink r:id="rId99">
        <w:r>
          <w:rPr>
            <w:rStyle w:val="Hyperlink"/>
          </w:rPr>
          <w:t>[70]</w:t>
        </w:r>
      </w:hyperlink>
    </w:p>
    <w:p w14:paraId="69328A5E" w14:textId="77777777" w:rsidR="008906E8" w:rsidRDefault="00000000">
      <w:pPr>
        <w:pStyle w:val="BodyText"/>
      </w:pPr>
      <w:r>
        <w:rPr>
          <w:b/>
          <w:bCs/>
        </w:rPr>
        <w:t>Agent steps (what you show on screen)</w:t>
      </w:r>
      <w:r>
        <w:t xml:space="preserve"> 1. Collector agent snapshots the new release into Bronze with timestamp and version hash.</w:t>
      </w:r>
      <w:r>
        <w:br/>
        <w:t>2. Parser extracts targeted tables; normalizer standardizes units and keys.</w:t>
      </w:r>
      <w:r>
        <w:br/>
        <w:t>3. Validator compares deltas vs prior release and flags out-of-range moves for analyst attention.</w:t>
      </w:r>
      <w:r>
        <w:br/>
        <w:t>4. Analyst agent drafts “what changed / why it matters” with scenario prompts.</w:t>
      </w:r>
      <w:r>
        <w:br/>
        <w:t>5. Writer agent produces a 1‑page memo where every key number links back to the extracted table cell.</w:t>
      </w:r>
    </w:p>
    <w:p w14:paraId="52F330B5" w14:textId="77777777" w:rsidR="008906E8" w:rsidRDefault="00000000">
      <w:pPr>
        <w:pStyle w:val="BodyText"/>
      </w:pPr>
      <w:r>
        <w:rPr>
          <w:b/>
          <w:bCs/>
        </w:rPr>
        <w:lastRenderedPageBreak/>
        <w:t>Expected outputs</w:t>
      </w:r>
      <w:r>
        <w:t xml:space="preserve"> - Delta table (new vs prior) + “top 5 changes” narrative.</w:t>
      </w:r>
      <w:r>
        <w:br/>
        <w:t>- Scenario bullets (base/bull/bear) with explicit assumptions.</w:t>
      </w:r>
      <w:r>
        <w:br/>
        <w:t xml:space="preserve">- Source bundle (WASDE excerpts + extracted tables) for review. </w:t>
      </w:r>
      <w:hyperlink r:id="rId100">
        <w:r>
          <w:rPr>
            <w:rStyle w:val="Hyperlink"/>
          </w:rPr>
          <w:t>[17]</w:t>
        </w:r>
      </w:hyperlink>
    </w:p>
    <w:p w14:paraId="56A0738F" w14:textId="77777777" w:rsidR="008906E8" w:rsidRDefault="00000000">
      <w:pPr>
        <w:pStyle w:val="BodyText"/>
      </w:pPr>
      <w:r>
        <w:rPr>
          <w:b/>
          <w:bCs/>
        </w:rPr>
        <w:t>Time-to-delivery</w:t>
      </w:r>
      <w:r>
        <w:t xml:space="preserve"> - First pass brief: ~5–10 minutes after release (demo target)</w:t>
      </w:r>
      <w:r>
        <w:br/>
        <w:t>- Reviewed send-ready memo: ~15–25 minutes (demo target)</w:t>
      </w:r>
    </w:p>
    <w:p w14:paraId="647E0CB0" w14:textId="77777777" w:rsidR="008906E8" w:rsidRDefault="00000000">
      <w:pPr>
        <w:pStyle w:val="BodyText"/>
      </w:pPr>
      <w:r>
        <w:rPr>
          <w:b/>
          <w:bCs/>
        </w:rPr>
        <w:t>Timeline (Mermaid)</w:t>
      </w:r>
    </w:p>
    <w:p w14:paraId="52B9B0AD" w14:textId="77777777" w:rsidR="008906E8" w:rsidRDefault="00000000">
      <w:pPr>
        <w:pStyle w:val="SourceCode"/>
      </w:pPr>
      <w:r>
        <w:rPr>
          <w:rStyle w:val="VerbatimChar"/>
        </w:rPr>
        <w:t>sequenceDiagram</w:t>
      </w:r>
      <w:r>
        <w:br/>
      </w:r>
      <w:r>
        <w:rPr>
          <w:rStyle w:val="VerbatimChar"/>
        </w:rPr>
        <w:t xml:space="preserve">  participant S as Source release (WASDE)</w:t>
      </w:r>
      <w:r>
        <w:br/>
      </w:r>
      <w:r>
        <w:rPr>
          <w:rStyle w:val="VerbatimChar"/>
        </w:rPr>
        <w:t xml:space="preserve">  participant C as Collector agent</w:t>
      </w:r>
      <w:r>
        <w:br/>
      </w:r>
      <w:r>
        <w:rPr>
          <w:rStyle w:val="VerbatimChar"/>
        </w:rPr>
        <w:t xml:space="preserve">  participant P as Parser/Normalizer</w:t>
      </w:r>
      <w:r>
        <w:br/>
      </w:r>
      <w:r>
        <w:rPr>
          <w:rStyle w:val="VerbatimChar"/>
        </w:rPr>
        <w:t xml:space="preserve">  participant V as Validator agent</w:t>
      </w:r>
      <w:r>
        <w:br/>
      </w:r>
      <w:r>
        <w:rPr>
          <w:rStyle w:val="VerbatimChar"/>
        </w:rPr>
        <w:t xml:space="preserve">  participant A as Analyst agent</w:t>
      </w:r>
      <w:r>
        <w:br/>
      </w:r>
      <w:r>
        <w:rPr>
          <w:rStyle w:val="VerbatimChar"/>
        </w:rPr>
        <w:t xml:space="preserve">  participant W as Writer agent</w:t>
      </w:r>
      <w:r>
        <w:br/>
      </w:r>
      <w:r>
        <w:rPr>
          <w:rStyle w:val="VerbatimChar"/>
        </w:rPr>
        <w:t xml:space="preserve">  participant H as Human reviewer</w:t>
      </w:r>
      <w:r>
        <w:br/>
      </w:r>
      <w:r>
        <w:rPr>
          <w:rStyle w:val="VerbatimChar"/>
        </w:rPr>
        <w:t xml:space="preserve">  participant O as Desk output</w:t>
      </w:r>
      <w:r>
        <w:br/>
      </w:r>
      <w:r>
        <w:br/>
      </w:r>
      <w:r>
        <w:rPr>
          <w:rStyle w:val="VerbatimChar"/>
        </w:rPr>
        <w:t xml:space="preserve">  S-&gt;&gt;C: Snapshot + metadata</w:t>
      </w:r>
      <w:r>
        <w:br/>
      </w:r>
      <w:r>
        <w:rPr>
          <w:rStyle w:val="VerbatimChar"/>
        </w:rPr>
        <w:t xml:space="preserve">  C-&gt;&gt;P: Send raw artifact (Bronze)</w:t>
      </w:r>
      <w:r>
        <w:br/>
      </w:r>
      <w:r>
        <w:rPr>
          <w:rStyle w:val="VerbatimChar"/>
        </w:rPr>
        <w:t xml:space="preserve">  P-&gt;&gt;V: Structured deltas (Silver candidates)</w:t>
      </w:r>
      <w:r>
        <w:br/>
      </w:r>
      <w:r>
        <w:rPr>
          <w:rStyle w:val="VerbatimChar"/>
        </w:rPr>
        <w:t xml:space="preserve">  V-&gt;&gt;A: Validated deltas + flags</w:t>
      </w:r>
      <w:r>
        <w:br/>
      </w:r>
      <w:r>
        <w:rPr>
          <w:rStyle w:val="VerbatimChar"/>
        </w:rPr>
        <w:t xml:space="preserve">  A-&gt;&gt;W: Implications + scenarios</w:t>
      </w:r>
      <w:r>
        <w:br/>
      </w:r>
      <w:r>
        <w:rPr>
          <w:rStyle w:val="VerbatimChar"/>
        </w:rPr>
        <w:t xml:space="preserve">  W-&gt;&gt;H: Memo with citations</w:t>
      </w:r>
      <w:r>
        <w:br/>
      </w:r>
      <w:r>
        <w:rPr>
          <w:rStyle w:val="VerbatimChar"/>
        </w:rPr>
        <w:t xml:space="preserve">  H-&gt;&gt;O: Approve &amp; distribute</w:t>
      </w:r>
    </w:p>
    <w:p w14:paraId="38BBB68A" w14:textId="77777777" w:rsidR="008906E8" w:rsidRDefault="00000000">
      <w:pPr>
        <w:pStyle w:val="FirstParagraph"/>
      </w:pPr>
      <w:hyperlink r:id="rId101">
        <w:r>
          <w:rPr>
            <w:rStyle w:val="Hyperlink"/>
          </w:rPr>
          <w:t>[71]</w:t>
        </w:r>
      </w:hyperlink>
    </w:p>
    <w:p w14:paraId="14568FDF" w14:textId="77777777" w:rsidR="008906E8" w:rsidRDefault="00000000">
      <w:pPr>
        <w:pStyle w:val="Heading4"/>
      </w:pPr>
      <w:bookmarkStart w:id="17" w:name="biofuel-feedstock-shock-demo"/>
      <w:bookmarkEnd w:id="16"/>
      <w:r>
        <w:t>Biofuel feedstock shock demo</w:t>
      </w:r>
    </w:p>
    <w:p w14:paraId="57DA1947" w14:textId="77777777" w:rsidR="008906E8" w:rsidRDefault="00000000">
      <w:pPr>
        <w:pStyle w:val="FirstParagraph"/>
      </w:pPr>
      <w:r>
        <w:rPr>
          <w:b/>
          <w:bCs/>
        </w:rPr>
        <w:t>Inputs</w:t>
      </w:r>
      <w:r>
        <w:t xml:space="preserve"> - Policy/credit update signals: EPA RFS/RIN definitions and/or fresh RIN data pages; CARB LCFS program updates; ICAO SAF/CORSIA framework references. </w:t>
      </w:r>
      <w:hyperlink r:id="rId102">
        <w:r>
          <w:rPr>
            <w:rStyle w:val="Hyperlink"/>
          </w:rPr>
          <w:t>[72]</w:t>
        </w:r>
      </w:hyperlink>
      <w:r>
        <w:br/>
        <w:t>- Market observations: your internal price observations (UCO, tallow, veg oils) plus any subscribed assessments (as permitted).</w:t>
      </w:r>
      <w:r>
        <w:br/>
        <w:t xml:space="preserve">- Optional public production/capacity context from EIA/USDA bioenergy statistics when framing supply. </w:t>
      </w:r>
      <w:hyperlink r:id="rId103">
        <w:r>
          <w:rPr>
            <w:rStyle w:val="Hyperlink"/>
          </w:rPr>
          <w:t>[73]</w:t>
        </w:r>
      </w:hyperlink>
    </w:p>
    <w:p w14:paraId="6508ACA1" w14:textId="77777777" w:rsidR="008906E8" w:rsidRDefault="00000000">
      <w:pPr>
        <w:pStyle w:val="BodyText"/>
      </w:pPr>
      <w:r>
        <w:rPr>
          <w:b/>
          <w:bCs/>
        </w:rPr>
        <w:t>Agent steps</w:t>
      </w:r>
      <w:r>
        <w:t xml:space="preserve"> 1. Collector agent ingests policy update + related official pages into Bronze and tags “policy_update.”</w:t>
      </w:r>
      <w:r>
        <w:br/>
        <w:t>2. Extractor pulls key variables (effective dates, credit mechanics, eligibility constraints).</w:t>
      </w:r>
      <w:r>
        <w:br/>
        <w:t>3. Validator checks “policy variables” against prior versions and highlights deltas.</w:t>
      </w:r>
      <w:r>
        <w:br/>
        <w:t>4. Analyst agent updates a margin model (or simplified spread logic) and generates a scenario matrix.</w:t>
      </w:r>
      <w:r>
        <w:br/>
        <w:t>5. Writer agent outputs a “shock brief” with: what changed, immediate pricing sensitivities, and what to watch next—each claim linked to sources.</w:t>
      </w:r>
    </w:p>
    <w:p w14:paraId="18D395A6" w14:textId="77777777" w:rsidR="008906E8" w:rsidRDefault="00000000">
      <w:pPr>
        <w:pStyle w:val="BodyText"/>
      </w:pPr>
      <w:r>
        <w:rPr>
          <w:b/>
          <w:bCs/>
        </w:rPr>
        <w:t>Expected outputs</w:t>
      </w:r>
      <w:r>
        <w:t xml:space="preserve"> - “What changed” bulletin with directly cited policy language references.</w:t>
      </w:r>
      <w:r>
        <w:br/>
      </w:r>
      <w:r>
        <w:lastRenderedPageBreak/>
        <w:t>- Scenario matrix: feedstock price ±X, credit price ±Y, margin range outcomes.</w:t>
      </w:r>
      <w:r>
        <w:br/>
        <w:t xml:space="preserve">- Watchlist: upcoming rulemaking dates/uncertainty markers (if your inputs include them). </w:t>
      </w:r>
      <w:hyperlink r:id="rId104">
        <w:r>
          <w:rPr>
            <w:rStyle w:val="Hyperlink"/>
          </w:rPr>
          <w:t>[74]</w:t>
        </w:r>
      </w:hyperlink>
    </w:p>
    <w:p w14:paraId="0820D022" w14:textId="77777777" w:rsidR="008906E8" w:rsidRDefault="00000000">
      <w:pPr>
        <w:pStyle w:val="BodyText"/>
      </w:pPr>
      <w:r>
        <w:rPr>
          <w:b/>
          <w:bCs/>
        </w:rPr>
        <w:t>Time-to-delivery</w:t>
      </w:r>
      <w:r>
        <w:t xml:space="preserve"> - Initial shock read: ~10–20 minutes (demo target)</w:t>
      </w:r>
      <w:r>
        <w:br/>
        <w:t>- Updated scenario pack: ~30–60 minutes (demo target)</w:t>
      </w:r>
    </w:p>
    <w:p w14:paraId="6DDD5F1F" w14:textId="77777777" w:rsidR="008906E8" w:rsidRDefault="00000000">
      <w:pPr>
        <w:pStyle w:val="Heading4"/>
      </w:pPr>
      <w:bookmarkStart w:id="18" w:name="basis-anomaly-demo"/>
      <w:bookmarkEnd w:id="17"/>
      <w:r>
        <w:t>Basis anomaly demo</w:t>
      </w:r>
    </w:p>
    <w:p w14:paraId="60971FFF" w14:textId="77777777" w:rsidR="008906E8" w:rsidRDefault="00000000">
      <w:pPr>
        <w:pStyle w:val="FirstParagraph"/>
      </w:pPr>
      <w:r>
        <w:rPr>
          <w:b/>
          <w:bCs/>
        </w:rPr>
        <w:t>Inputs</w:t>
      </w:r>
      <w:r>
        <w:t xml:space="preserve"> - Futures reference context from CME grain contracts and/or grain-and-oilseed product references. </w:t>
      </w:r>
      <w:hyperlink r:id="rId105">
        <w:r>
          <w:rPr>
            <w:rStyle w:val="Hyperlink"/>
          </w:rPr>
          <w:t>[75]</w:t>
        </w:r>
      </w:hyperlink>
      <w:r>
        <w:br/>
        <w:t>- Internal cash observations (bids/offers, delivered vs FOB terms), location tags, and timing.</w:t>
      </w:r>
      <w:r>
        <w:br/>
        <w:t xml:space="preserve">- Optional public narrative anchors (WASDE/AMIS) if you want to show fundamental context. </w:t>
      </w:r>
      <w:hyperlink r:id="rId106">
        <w:r>
          <w:rPr>
            <w:rStyle w:val="Hyperlink"/>
          </w:rPr>
          <w:t>[76]</w:t>
        </w:r>
      </w:hyperlink>
    </w:p>
    <w:p w14:paraId="20B35DAB" w14:textId="77777777" w:rsidR="008906E8" w:rsidRDefault="00000000">
      <w:pPr>
        <w:pStyle w:val="BodyText"/>
      </w:pPr>
      <w:r>
        <w:rPr>
          <w:b/>
          <w:bCs/>
        </w:rPr>
        <w:t>Agent steps</w:t>
      </w:r>
      <w:r>
        <w:t xml:space="preserve"> 1. Collector agent ingests latest cash observations and aligns them to standardized locations/terms.</w:t>
      </w:r>
      <w:r>
        <w:br/>
        <w:t>2. Validator computes basis vs relevant futures month and flags anomalies vs history and peers.</w:t>
      </w:r>
      <w:r>
        <w:br/>
        <w:t>3. Analyst agent generates a hypothesis tree (logistics constraint, quality issues, local demand shock, policy, weather) and a confirmation checklist (what data would validate each branch).</w:t>
      </w:r>
      <w:r>
        <w:br/>
        <w:t>4. Writer agent produces a “triage brief” with: what is anomalous, what’s plausible, what must be confirmed, and what not to assume.</w:t>
      </w:r>
    </w:p>
    <w:p w14:paraId="1C1D2F68" w14:textId="77777777" w:rsidR="008906E8" w:rsidRDefault="00000000">
      <w:pPr>
        <w:pStyle w:val="BodyText"/>
      </w:pPr>
      <w:r>
        <w:rPr>
          <w:b/>
          <w:bCs/>
        </w:rPr>
        <w:t>Expected outputs</w:t>
      </w:r>
      <w:r>
        <w:t xml:space="preserve"> - Basis heatmap and anomaly alerts with thresholds.</w:t>
      </w:r>
      <w:r>
        <w:br/>
        <w:t>- Hypothesis tree + confirmation checklist.</w:t>
      </w:r>
      <w:r>
        <w:br/>
        <w:t xml:space="preserve">- A short memo that explicitly distinguishes “facts” (observations) from “hypotheses.” </w:t>
      </w:r>
      <w:hyperlink r:id="rId107">
        <w:r>
          <w:rPr>
            <w:rStyle w:val="Hyperlink"/>
          </w:rPr>
          <w:t>[65]</w:t>
        </w:r>
      </w:hyperlink>
    </w:p>
    <w:p w14:paraId="26B06ACC" w14:textId="77777777" w:rsidR="008906E8" w:rsidRDefault="00000000">
      <w:pPr>
        <w:pStyle w:val="BodyText"/>
      </w:pPr>
      <w:r>
        <w:rPr>
          <w:b/>
          <w:bCs/>
        </w:rPr>
        <w:t>Time-to-delivery</w:t>
      </w:r>
      <w:r>
        <w:t xml:space="preserve"> - Alert + triage brief: ~5–15 minutes (demo target)</w:t>
      </w:r>
      <w:r>
        <w:br/>
        <w:t>- Full hypothesis pack: ~20–40 minutes (demo target)</w:t>
      </w:r>
    </w:p>
    <w:bookmarkEnd w:id="1"/>
    <w:bookmarkEnd w:id="2"/>
    <w:bookmarkEnd w:id="13"/>
    <w:bookmarkEnd w:id="15"/>
    <w:bookmarkEnd w:id="18"/>
    <w:p w14:paraId="58FDC88F" w14:textId="77777777" w:rsidR="008906E8" w:rsidRDefault="00000000">
      <w:r>
        <w:pict w14:anchorId="63DDA309">
          <v:rect id="_x0000_i1027" style="width:0;height:1.5pt" o:hralign="center" o:hrstd="t" o:hr="t"/>
        </w:pict>
      </w:r>
    </w:p>
    <w:bookmarkStart w:id="19" w:name="citations"/>
    <w:p w14:paraId="1B03F57C" w14:textId="77777777" w:rsidR="008906E8" w:rsidRDefault="00000000">
      <w:pPr>
        <w:pStyle w:val="FirstParagraph"/>
      </w:pPr>
      <w:r>
        <w:fldChar w:fldCharType="begin"/>
      </w:r>
      <w:r>
        <w:instrText>HYPERLINK "https://arxiv.org/abs/2311.05232?utm_source=chatgpt.com" \h</w:instrText>
      </w:r>
      <w:r>
        <w:fldChar w:fldCharType="separate"/>
      </w:r>
      <w:r>
        <w:rPr>
          <w:rStyle w:val="Hyperlink"/>
        </w:rPr>
        <w:t>[1]</w:t>
      </w:r>
      <w:r>
        <w:fldChar w:fldCharType="end"/>
      </w:r>
      <w:r>
        <w:t xml:space="preserve"> </w:t>
      </w:r>
      <w:hyperlink r:id="rId108">
        <w:r>
          <w:rPr>
            <w:rStyle w:val="Hyperlink"/>
          </w:rPr>
          <w:t>[12]</w:t>
        </w:r>
      </w:hyperlink>
      <w:r>
        <w:t xml:space="preserve"> </w:t>
      </w:r>
      <w:hyperlink r:id="rId109">
        <w:r>
          <w:rPr>
            <w:rStyle w:val="Hyperlink"/>
          </w:rPr>
          <w:t>[20]</w:t>
        </w:r>
      </w:hyperlink>
      <w:r>
        <w:t xml:space="preserve"> </w:t>
      </w:r>
      <w:hyperlink r:id="rId110">
        <w:r>
          <w:rPr>
            <w:rStyle w:val="Hyperlink"/>
          </w:rPr>
          <w:t>[26]</w:t>
        </w:r>
      </w:hyperlink>
      <w:r>
        <w:t xml:space="preserve"> </w:t>
      </w:r>
      <w:hyperlink r:id="rId111">
        <w:r>
          <w:rPr>
            <w:rStyle w:val="Hyperlink"/>
          </w:rPr>
          <w:t>[42]</w:t>
        </w:r>
      </w:hyperlink>
      <w:r>
        <w:t xml:space="preserve"> A Survey on Hallucination in Large Language Models: Principles, Taxonomy, Challenges, and Open Questions</w:t>
      </w:r>
    </w:p>
    <w:p w14:paraId="01ED603B" w14:textId="77777777" w:rsidR="008906E8" w:rsidRDefault="00000000">
      <w:pPr>
        <w:pStyle w:val="BodyText"/>
      </w:pPr>
      <w:hyperlink r:id="rId112">
        <w:r>
          <w:rPr>
            <w:rStyle w:val="Hyperlink"/>
          </w:rPr>
          <w:t>https://arxiv.org/abs/2311.05232?utm_source=chatgpt.com</w:t>
        </w:r>
      </w:hyperlink>
    </w:p>
    <w:p w14:paraId="0A91642B" w14:textId="77777777" w:rsidR="008906E8" w:rsidRDefault="00000000">
      <w:pPr>
        <w:pStyle w:val="BodyText"/>
      </w:pPr>
      <w:hyperlink r:id="rId113">
        <w:r>
          <w:rPr>
            <w:rStyle w:val="Hyperlink"/>
          </w:rPr>
          <w:t>[2]</w:t>
        </w:r>
      </w:hyperlink>
      <w:r>
        <w:t xml:space="preserve"> </w:t>
      </w:r>
      <w:hyperlink r:id="rId114">
        <w:r>
          <w:rPr>
            <w:rStyle w:val="Hyperlink"/>
          </w:rPr>
          <w:t>[5]</w:t>
        </w:r>
      </w:hyperlink>
      <w:r>
        <w:t xml:space="preserve"> Upcoming Events - AFOA</w:t>
      </w:r>
    </w:p>
    <w:p w14:paraId="06BC89F6" w14:textId="77777777" w:rsidR="008906E8" w:rsidRDefault="00000000">
      <w:pPr>
        <w:pStyle w:val="BodyText"/>
      </w:pPr>
      <w:hyperlink r:id="rId115">
        <w:r>
          <w:rPr>
            <w:rStyle w:val="Hyperlink"/>
          </w:rPr>
          <w:t>https://fatsandoils.org/upcoming-events/?utm_source=chatgpt.com</w:t>
        </w:r>
      </w:hyperlink>
    </w:p>
    <w:p w14:paraId="0A055FA7" w14:textId="77777777" w:rsidR="008906E8" w:rsidRDefault="00000000">
      <w:pPr>
        <w:pStyle w:val="BodyText"/>
      </w:pPr>
      <w:hyperlink r:id="rId116">
        <w:r>
          <w:rPr>
            <w:rStyle w:val="Hyperlink"/>
          </w:rPr>
          <w:t>[3]</w:t>
        </w:r>
      </w:hyperlink>
      <w:r>
        <w:t xml:space="preserve"> </w:t>
      </w:r>
      <w:hyperlink r:id="rId117">
        <w:r>
          <w:rPr>
            <w:rStyle w:val="Hyperlink"/>
          </w:rPr>
          <w:t>[6]</w:t>
        </w:r>
      </w:hyperlink>
      <w:r>
        <w:t xml:space="preserve"> American Fats and Oils Association - AFOA</w:t>
      </w:r>
    </w:p>
    <w:p w14:paraId="0B334438" w14:textId="77777777" w:rsidR="008906E8" w:rsidRDefault="00000000">
      <w:pPr>
        <w:pStyle w:val="BodyText"/>
      </w:pPr>
      <w:hyperlink r:id="rId118">
        <w:r>
          <w:rPr>
            <w:rStyle w:val="Hyperlink"/>
          </w:rPr>
          <w:t>https://fatsandoils.org/?utm_source=chatgpt.com</w:t>
        </w:r>
      </w:hyperlink>
    </w:p>
    <w:p w14:paraId="48CCCDE8" w14:textId="77777777" w:rsidR="008906E8" w:rsidRDefault="00000000">
      <w:pPr>
        <w:pStyle w:val="BodyText"/>
      </w:pPr>
      <w:hyperlink r:id="rId119">
        <w:r>
          <w:rPr>
            <w:rStyle w:val="Hyperlink"/>
          </w:rPr>
          <w:t>[4]</w:t>
        </w:r>
      </w:hyperlink>
      <w:r>
        <w:t xml:space="preserve"> </w:t>
      </w:r>
      <w:hyperlink r:id="rId120">
        <w:r>
          <w:rPr>
            <w:rStyle w:val="Hyperlink"/>
          </w:rPr>
          <w:t>[11]</w:t>
        </w:r>
      </w:hyperlink>
      <w:r>
        <w:t xml:space="preserve"> </w:t>
      </w:r>
      <w:hyperlink r:id="rId121">
        <w:r>
          <w:rPr>
            <w:rStyle w:val="Hyperlink"/>
          </w:rPr>
          <w:t>[29]</w:t>
        </w:r>
      </w:hyperlink>
      <w:r>
        <w:t xml:space="preserve"> Agenda</w:t>
      </w:r>
    </w:p>
    <w:p w14:paraId="7404295A" w14:textId="77777777" w:rsidR="008906E8" w:rsidRDefault="00000000">
      <w:pPr>
        <w:pStyle w:val="BodyText"/>
      </w:pPr>
      <w:hyperlink r:id="rId122">
        <w:r>
          <w:rPr>
            <w:rStyle w:val="Hyperlink"/>
          </w:rPr>
          <w:t>https://www.fastmarkets.com/events/global-grain-geneva/agenda/?utm_source=chatgpt.com</w:t>
        </w:r>
      </w:hyperlink>
    </w:p>
    <w:p w14:paraId="5EB36677" w14:textId="77777777" w:rsidR="008906E8" w:rsidRDefault="00000000">
      <w:pPr>
        <w:pStyle w:val="BodyText"/>
      </w:pPr>
      <w:hyperlink r:id="rId123">
        <w:r>
          <w:rPr>
            <w:rStyle w:val="Hyperlink"/>
          </w:rPr>
          <w:t>[7]</w:t>
        </w:r>
      </w:hyperlink>
      <w:r>
        <w:t xml:space="preserve"> </w:t>
      </w:r>
      <w:hyperlink r:id="rId124">
        <w:r>
          <w:rPr>
            <w:rStyle w:val="Hyperlink"/>
          </w:rPr>
          <w:t>[21]</w:t>
        </w:r>
      </w:hyperlink>
      <w:r>
        <w:t xml:space="preserve"> Fastmarkets Biofuels and Feedstocks Americas 2026</w:t>
      </w:r>
    </w:p>
    <w:p w14:paraId="236EDE57" w14:textId="77777777" w:rsidR="008906E8" w:rsidRDefault="00000000">
      <w:pPr>
        <w:pStyle w:val="BodyText"/>
      </w:pPr>
      <w:hyperlink r:id="rId125">
        <w:r>
          <w:rPr>
            <w:rStyle w:val="Hyperlink"/>
          </w:rPr>
          <w:t>https://www.fastmarkets.com/events/biofuels-and-feedstocks-americas/?utm_source=chatgpt.com</w:t>
        </w:r>
      </w:hyperlink>
    </w:p>
    <w:p w14:paraId="6F5473CA" w14:textId="77777777" w:rsidR="008906E8" w:rsidRDefault="00000000">
      <w:pPr>
        <w:pStyle w:val="BodyText"/>
      </w:pPr>
      <w:hyperlink r:id="rId126">
        <w:r>
          <w:rPr>
            <w:rStyle w:val="Hyperlink"/>
          </w:rPr>
          <w:t>[8]</w:t>
        </w:r>
      </w:hyperlink>
      <w:r>
        <w:t xml:space="preserve"> </w:t>
      </w:r>
      <w:hyperlink r:id="rId127">
        <w:r>
          <w:rPr>
            <w:rStyle w:val="Hyperlink"/>
          </w:rPr>
          <w:t>[30]</w:t>
        </w:r>
      </w:hyperlink>
      <w:r>
        <w:t xml:space="preserve"> </w:t>
      </w:r>
      <w:hyperlink r:id="rId128">
        <w:r>
          <w:rPr>
            <w:rStyle w:val="Hyperlink"/>
          </w:rPr>
          <w:t>[48]</w:t>
        </w:r>
      </w:hyperlink>
      <w:r>
        <w:t xml:space="preserve"> Agenda</w:t>
      </w:r>
    </w:p>
    <w:p w14:paraId="15EAF177" w14:textId="77777777" w:rsidR="008906E8" w:rsidRDefault="00000000">
      <w:pPr>
        <w:pStyle w:val="BodyText"/>
      </w:pPr>
      <w:hyperlink r:id="rId129">
        <w:r>
          <w:rPr>
            <w:rStyle w:val="Hyperlink"/>
          </w:rPr>
          <w:t>https://www.fastmarkets.com/events/biofuels-and-feedstocks/agenda/?utm_source=chatgpt.com</w:t>
        </w:r>
      </w:hyperlink>
    </w:p>
    <w:p w14:paraId="713E170D" w14:textId="77777777" w:rsidR="008906E8" w:rsidRDefault="00000000">
      <w:pPr>
        <w:pStyle w:val="BodyText"/>
      </w:pPr>
      <w:hyperlink r:id="rId130">
        <w:r>
          <w:rPr>
            <w:rStyle w:val="Hyperlink"/>
          </w:rPr>
          <w:t>[9]</w:t>
        </w:r>
      </w:hyperlink>
      <w:r>
        <w:t xml:space="preserve"> 3rd Annual Geneva Grains Conference</w:t>
      </w:r>
    </w:p>
    <w:p w14:paraId="76075018" w14:textId="77777777" w:rsidR="008906E8" w:rsidRDefault="00000000">
      <w:pPr>
        <w:pStyle w:val="BodyText"/>
      </w:pPr>
      <w:hyperlink r:id="rId131">
        <w:r>
          <w:rPr>
            <w:rStyle w:val="Hyperlink"/>
          </w:rPr>
          <w:t>https://www.spglobal.com/commodityinsights/en/events/emea/grains?utm_source=chatgpt.com</w:t>
        </w:r>
      </w:hyperlink>
    </w:p>
    <w:p w14:paraId="1198AB06" w14:textId="77777777" w:rsidR="008906E8" w:rsidRDefault="00000000">
      <w:pPr>
        <w:pStyle w:val="BodyText"/>
      </w:pPr>
      <w:hyperlink r:id="rId132">
        <w:r>
          <w:rPr>
            <w:rStyle w:val="Hyperlink"/>
          </w:rPr>
          <w:t>[10]</w:t>
        </w:r>
      </w:hyperlink>
      <w:r>
        <w:t xml:space="preserve"> Agenda</w:t>
      </w:r>
    </w:p>
    <w:p w14:paraId="28E5B3DD" w14:textId="77777777" w:rsidR="008906E8" w:rsidRDefault="00000000">
      <w:pPr>
        <w:pStyle w:val="BodyText"/>
      </w:pPr>
      <w:hyperlink r:id="rId133">
        <w:r>
          <w:rPr>
            <w:rStyle w:val="Hyperlink"/>
          </w:rPr>
          <w:t>https://www.fastmarkets.com/events/global-grain-geneva-2025/agenda/?utm_source=chatgpt.com</w:t>
        </w:r>
      </w:hyperlink>
    </w:p>
    <w:p w14:paraId="0F31DEFC" w14:textId="77777777" w:rsidR="008906E8" w:rsidRDefault="00000000">
      <w:pPr>
        <w:pStyle w:val="BodyText"/>
      </w:pPr>
      <w:hyperlink r:id="rId134">
        <w:r>
          <w:rPr>
            <w:rStyle w:val="Hyperlink"/>
          </w:rPr>
          <w:t>[13]</w:t>
        </w:r>
      </w:hyperlink>
      <w:r>
        <w:t xml:space="preserve"> </w:t>
      </w:r>
      <w:hyperlink r:id="rId135">
        <w:r>
          <w:rPr>
            <w:rStyle w:val="Hyperlink"/>
          </w:rPr>
          <w:t>[65]</w:t>
        </w:r>
      </w:hyperlink>
      <w:r>
        <w:t xml:space="preserve"> Artificial Intelligence Risk Management Framework</w:t>
      </w:r>
    </w:p>
    <w:p w14:paraId="074417C8" w14:textId="77777777" w:rsidR="008906E8" w:rsidRDefault="00000000">
      <w:pPr>
        <w:pStyle w:val="BodyText"/>
      </w:pPr>
      <w:hyperlink r:id="rId136">
        <w:r>
          <w:rPr>
            <w:rStyle w:val="Hyperlink"/>
          </w:rPr>
          <w:t>https://www.nist.gov/publications/artificial-intelligence-risk-management-framework-generative-artificial-intelligence?utm_source=chatgpt.com</w:t>
        </w:r>
      </w:hyperlink>
    </w:p>
    <w:p w14:paraId="5A5109E7" w14:textId="77777777" w:rsidR="008906E8" w:rsidRDefault="00000000">
      <w:pPr>
        <w:pStyle w:val="BodyText"/>
      </w:pPr>
      <w:hyperlink r:id="rId137">
        <w:r>
          <w:rPr>
            <w:rStyle w:val="Hyperlink"/>
          </w:rPr>
          <w:t>[14]</w:t>
        </w:r>
      </w:hyperlink>
      <w:r>
        <w:t xml:space="preserve"> </w:t>
      </w:r>
      <w:hyperlink r:id="rId138">
        <w:r>
          <w:rPr>
            <w:rStyle w:val="Hyperlink"/>
          </w:rPr>
          <w:t>[61]</w:t>
        </w:r>
      </w:hyperlink>
      <w:r>
        <w:t xml:space="preserve"> </w:t>
      </w:r>
      <w:hyperlink r:id="rId139">
        <w:r>
          <w:rPr>
            <w:rStyle w:val="Hyperlink"/>
          </w:rPr>
          <w:t>[67]</w:t>
        </w:r>
      </w:hyperlink>
      <w:r>
        <w:t xml:space="preserve"> What is the medallion lakehouse architecture?</w:t>
      </w:r>
    </w:p>
    <w:p w14:paraId="71F5D03C" w14:textId="77777777" w:rsidR="008906E8" w:rsidRDefault="00000000">
      <w:pPr>
        <w:pStyle w:val="BodyText"/>
      </w:pPr>
      <w:hyperlink r:id="rId140">
        <w:r>
          <w:rPr>
            <w:rStyle w:val="Hyperlink"/>
          </w:rPr>
          <w:t>https://docs.databricks.com/aws/en/lakehouse/medallion?utm_source=chatgpt.com</w:t>
        </w:r>
      </w:hyperlink>
    </w:p>
    <w:p w14:paraId="7E428E85" w14:textId="77777777" w:rsidR="008906E8" w:rsidRDefault="00000000">
      <w:pPr>
        <w:pStyle w:val="BodyText"/>
      </w:pPr>
      <w:hyperlink r:id="rId141">
        <w:r>
          <w:rPr>
            <w:rStyle w:val="Hyperlink"/>
          </w:rPr>
          <w:t>[15]</w:t>
        </w:r>
      </w:hyperlink>
      <w:r>
        <w:t xml:space="preserve"> </w:t>
      </w:r>
      <w:hyperlink r:id="rId142">
        <w:r>
          <w:rPr>
            <w:rStyle w:val="Hyperlink"/>
          </w:rPr>
          <w:t>[68]</w:t>
        </w:r>
      </w:hyperlink>
      <w:r>
        <w:t xml:space="preserve"> ReAct: Synergizing Reasoning and Acting in Language Models</w:t>
      </w:r>
    </w:p>
    <w:p w14:paraId="5A6286EA" w14:textId="77777777" w:rsidR="008906E8" w:rsidRDefault="00000000">
      <w:pPr>
        <w:pStyle w:val="BodyText"/>
      </w:pPr>
      <w:hyperlink r:id="rId143">
        <w:r>
          <w:rPr>
            <w:rStyle w:val="Hyperlink"/>
          </w:rPr>
          <w:t>https://arxiv.org/abs/2210.03629?utm_source=chatgpt.com</w:t>
        </w:r>
      </w:hyperlink>
    </w:p>
    <w:p w14:paraId="10DEAFEE" w14:textId="77777777" w:rsidR="008906E8" w:rsidRPr="00101AAA" w:rsidRDefault="00000000">
      <w:pPr>
        <w:pStyle w:val="BodyText"/>
        <w:rPr>
          <w:lang w:val="da-DK"/>
        </w:rPr>
      </w:pPr>
      <w:hyperlink r:id="rId144">
        <w:r w:rsidRPr="00101AAA">
          <w:rPr>
            <w:rStyle w:val="Hyperlink"/>
            <w:lang w:val="da-DK"/>
          </w:rPr>
          <w:t>[16]</w:t>
        </w:r>
      </w:hyperlink>
      <w:r w:rsidRPr="00101AAA">
        <w:rPr>
          <w:lang w:val="da-DK"/>
        </w:rPr>
        <w:t xml:space="preserve"> USDA Market News</w:t>
      </w:r>
    </w:p>
    <w:p w14:paraId="4A0FE6AC" w14:textId="77777777" w:rsidR="008906E8" w:rsidRPr="00101AAA" w:rsidRDefault="00000000">
      <w:pPr>
        <w:pStyle w:val="BodyText"/>
        <w:rPr>
          <w:lang w:val="da-DK"/>
        </w:rPr>
      </w:pPr>
      <w:hyperlink r:id="rId145">
        <w:r w:rsidRPr="00101AAA">
          <w:rPr>
            <w:rStyle w:val="Hyperlink"/>
            <w:lang w:val="da-DK"/>
          </w:rPr>
          <w:t>https://www.ams.usda.gov/market-news?utm_source=chatgpt.com</w:t>
        </w:r>
      </w:hyperlink>
    </w:p>
    <w:p w14:paraId="5F112A93" w14:textId="77777777" w:rsidR="008906E8" w:rsidRPr="00101AAA" w:rsidRDefault="00000000">
      <w:pPr>
        <w:pStyle w:val="BodyText"/>
        <w:rPr>
          <w:lang w:val="da-DK"/>
        </w:rPr>
      </w:pPr>
      <w:hyperlink r:id="rId146">
        <w:r w:rsidRPr="00101AAA">
          <w:rPr>
            <w:rStyle w:val="Hyperlink"/>
            <w:lang w:val="da-DK"/>
          </w:rPr>
          <w:t>[17]</w:t>
        </w:r>
      </w:hyperlink>
      <w:r w:rsidRPr="00101AAA">
        <w:rPr>
          <w:lang w:val="da-DK"/>
        </w:rPr>
        <w:t xml:space="preserve"> </w:t>
      </w:r>
      <w:hyperlink r:id="rId147">
        <w:r w:rsidRPr="00101AAA">
          <w:rPr>
            <w:rStyle w:val="Hyperlink"/>
            <w:lang w:val="da-DK"/>
          </w:rPr>
          <w:t>[27]</w:t>
        </w:r>
      </w:hyperlink>
      <w:r w:rsidRPr="00101AAA">
        <w:rPr>
          <w:lang w:val="da-DK"/>
        </w:rPr>
        <w:t xml:space="preserve"> </w:t>
      </w:r>
      <w:hyperlink r:id="rId148">
        <w:r w:rsidRPr="00101AAA">
          <w:rPr>
            <w:rStyle w:val="Hyperlink"/>
            <w:lang w:val="da-DK"/>
          </w:rPr>
          <w:t>[38]</w:t>
        </w:r>
      </w:hyperlink>
      <w:r w:rsidRPr="00101AAA">
        <w:rPr>
          <w:lang w:val="da-DK"/>
        </w:rPr>
        <w:t xml:space="preserve"> </w:t>
      </w:r>
      <w:hyperlink r:id="rId149">
        <w:r w:rsidRPr="00101AAA">
          <w:rPr>
            <w:rStyle w:val="Hyperlink"/>
            <w:lang w:val="da-DK"/>
          </w:rPr>
          <w:t>[44]</w:t>
        </w:r>
      </w:hyperlink>
      <w:r w:rsidRPr="00101AAA">
        <w:rPr>
          <w:lang w:val="da-DK"/>
        </w:rPr>
        <w:t xml:space="preserve"> </w:t>
      </w:r>
      <w:hyperlink r:id="rId150">
        <w:r w:rsidRPr="00101AAA">
          <w:rPr>
            <w:rStyle w:val="Hyperlink"/>
            <w:lang w:val="da-DK"/>
          </w:rPr>
          <w:t>[66]</w:t>
        </w:r>
      </w:hyperlink>
      <w:r w:rsidRPr="00101AAA">
        <w:rPr>
          <w:lang w:val="da-DK"/>
        </w:rPr>
        <w:t xml:space="preserve"> </w:t>
      </w:r>
      <w:hyperlink r:id="rId151">
        <w:r w:rsidRPr="00101AAA">
          <w:rPr>
            <w:rStyle w:val="Hyperlink"/>
            <w:lang w:val="da-DK"/>
          </w:rPr>
          <w:t>[71]</w:t>
        </w:r>
      </w:hyperlink>
      <w:r w:rsidRPr="00101AAA">
        <w:rPr>
          <w:lang w:val="da-DK"/>
        </w:rPr>
        <w:t xml:space="preserve"> </w:t>
      </w:r>
      <w:hyperlink r:id="rId152">
        <w:r w:rsidRPr="00101AAA">
          <w:rPr>
            <w:rStyle w:val="Hyperlink"/>
            <w:lang w:val="da-DK"/>
          </w:rPr>
          <w:t>[76]</w:t>
        </w:r>
      </w:hyperlink>
      <w:r w:rsidRPr="00101AAA">
        <w:rPr>
          <w:lang w:val="da-DK"/>
        </w:rPr>
        <w:t xml:space="preserve"> WASDE Report</w:t>
      </w:r>
    </w:p>
    <w:p w14:paraId="309B3E4B" w14:textId="77777777" w:rsidR="008906E8" w:rsidRPr="00101AAA" w:rsidRDefault="00000000">
      <w:pPr>
        <w:pStyle w:val="BodyText"/>
        <w:rPr>
          <w:lang w:val="da-DK"/>
        </w:rPr>
      </w:pPr>
      <w:hyperlink r:id="rId153">
        <w:r w:rsidRPr="00101AAA">
          <w:rPr>
            <w:rStyle w:val="Hyperlink"/>
            <w:lang w:val="da-DK"/>
          </w:rPr>
          <w:t>https://www.usda.gov/about-usda/general-information/staff-offices/office-chief-economist/commodity-markets/wasde-report?utm_source=chatgpt.com</w:t>
        </w:r>
      </w:hyperlink>
    </w:p>
    <w:p w14:paraId="4EB18482" w14:textId="77777777" w:rsidR="008906E8" w:rsidRDefault="00000000">
      <w:pPr>
        <w:pStyle w:val="BodyText"/>
      </w:pPr>
      <w:hyperlink r:id="rId154">
        <w:r>
          <w:rPr>
            <w:rStyle w:val="Hyperlink"/>
          </w:rPr>
          <w:t>[18]</w:t>
        </w:r>
      </w:hyperlink>
      <w:r>
        <w:t xml:space="preserve"> </w:t>
      </w:r>
      <w:hyperlink r:id="rId155">
        <w:r>
          <w:rPr>
            <w:rStyle w:val="Hyperlink"/>
          </w:rPr>
          <w:t>[25]</w:t>
        </w:r>
      </w:hyperlink>
      <w:r>
        <w:t xml:space="preserve"> </w:t>
      </w:r>
      <w:hyperlink r:id="rId156">
        <w:r>
          <w:rPr>
            <w:rStyle w:val="Hyperlink"/>
          </w:rPr>
          <w:t>[72]</w:t>
        </w:r>
      </w:hyperlink>
      <w:r>
        <w:t xml:space="preserve"> Renewable Identification Numbers (RINs) under the ...</w:t>
      </w:r>
    </w:p>
    <w:p w14:paraId="0B355116" w14:textId="77777777" w:rsidR="008906E8" w:rsidRDefault="00000000">
      <w:pPr>
        <w:pStyle w:val="BodyText"/>
      </w:pPr>
      <w:hyperlink r:id="rId157">
        <w:r>
          <w:rPr>
            <w:rStyle w:val="Hyperlink"/>
          </w:rPr>
          <w:t>https://www.epa.gov/renewable-fuel-standard/renewable-identification-numbers-rins-under-renewable-fuel-standard-program?utm_source=chatgpt.com</w:t>
        </w:r>
      </w:hyperlink>
    </w:p>
    <w:p w14:paraId="17747503" w14:textId="77777777" w:rsidR="008906E8" w:rsidRDefault="00000000">
      <w:pPr>
        <w:pStyle w:val="BodyText"/>
      </w:pPr>
      <w:hyperlink r:id="rId158">
        <w:r>
          <w:rPr>
            <w:rStyle w:val="Hyperlink"/>
          </w:rPr>
          <w:t>[19]</w:t>
        </w:r>
      </w:hyperlink>
      <w:r>
        <w:t xml:space="preserve"> </w:t>
      </w:r>
      <w:hyperlink r:id="rId159">
        <w:r>
          <w:rPr>
            <w:rStyle w:val="Hyperlink"/>
          </w:rPr>
          <w:t>[55]</w:t>
        </w:r>
      </w:hyperlink>
      <w:r>
        <w:t xml:space="preserve"> </w:t>
      </w:r>
      <w:hyperlink r:id="rId160">
        <w:r>
          <w:rPr>
            <w:rStyle w:val="Hyperlink"/>
          </w:rPr>
          <w:t>[69]</w:t>
        </w:r>
      </w:hyperlink>
      <w:r>
        <w:t xml:space="preserve"> Retrieval-Augmented Generation for Knowledge-Intensive ...</w:t>
      </w:r>
    </w:p>
    <w:p w14:paraId="69B9BA85" w14:textId="77777777" w:rsidR="008906E8" w:rsidRDefault="00000000">
      <w:pPr>
        <w:pStyle w:val="BodyText"/>
      </w:pPr>
      <w:hyperlink r:id="rId161">
        <w:r>
          <w:rPr>
            <w:rStyle w:val="Hyperlink"/>
          </w:rPr>
          <w:t>https://proceedings.neurips.cc/paper/2020/hash/6b493230205f780e1bc26945df7481e5-Abstract.html?utm_source=chatgpt.com</w:t>
        </w:r>
      </w:hyperlink>
    </w:p>
    <w:p w14:paraId="153576A2" w14:textId="77777777" w:rsidR="008906E8" w:rsidRDefault="00000000">
      <w:pPr>
        <w:pStyle w:val="BodyText"/>
      </w:pPr>
      <w:hyperlink r:id="rId162">
        <w:r>
          <w:rPr>
            <w:rStyle w:val="Hyperlink"/>
          </w:rPr>
          <w:t>[22]</w:t>
        </w:r>
      </w:hyperlink>
      <w:r>
        <w:t xml:space="preserve"> Attendees</w:t>
      </w:r>
    </w:p>
    <w:p w14:paraId="3F14D10F" w14:textId="77777777" w:rsidR="008906E8" w:rsidRDefault="00000000">
      <w:pPr>
        <w:pStyle w:val="BodyText"/>
      </w:pPr>
      <w:hyperlink r:id="rId163">
        <w:r>
          <w:rPr>
            <w:rStyle w:val="Hyperlink"/>
          </w:rPr>
          <w:t>https://www.fastmarkets.com/events/biofuels-and-feedstocks-americas/attendees/?utm_source=chatgpt.com</w:t>
        </w:r>
      </w:hyperlink>
    </w:p>
    <w:p w14:paraId="1CA50CBC" w14:textId="77777777" w:rsidR="008906E8" w:rsidRDefault="00000000">
      <w:pPr>
        <w:pStyle w:val="BodyText"/>
      </w:pPr>
      <w:hyperlink r:id="rId164">
        <w:r>
          <w:rPr>
            <w:rStyle w:val="Hyperlink"/>
          </w:rPr>
          <w:t>[23]</w:t>
        </w:r>
      </w:hyperlink>
      <w:r>
        <w:t xml:space="preserve"> Agenda</w:t>
      </w:r>
    </w:p>
    <w:p w14:paraId="02E64B70" w14:textId="77777777" w:rsidR="008906E8" w:rsidRDefault="00000000">
      <w:pPr>
        <w:pStyle w:val="BodyText"/>
      </w:pPr>
      <w:hyperlink r:id="rId165">
        <w:r>
          <w:rPr>
            <w:rStyle w:val="Hyperlink"/>
          </w:rPr>
          <w:t>https://www.fastmarkets.com/events/biofuels-and-feedstocks-americas/agenda-2/?utm_source=chatgpt.com</w:t>
        </w:r>
      </w:hyperlink>
    </w:p>
    <w:p w14:paraId="57E8B192" w14:textId="77777777" w:rsidR="008906E8" w:rsidRDefault="00000000">
      <w:pPr>
        <w:pStyle w:val="BodyText"/>
      </w:pPr>
      <w:hyperlink r:id="rId166">
        <w:r>
          <w:rPr>
            <w:rStyle w:val="Hyperlink"/>
          </w:rPr>
          <w:t>[24]</w:t>
        </w:r>
      </w:hyperlink>
      <w:r>
        <w:t xml:space="preserve"> AI Risk Management Framework</w:t>
      </w:r>
    </w:p>
    <w:p w14:paraId="14F11C7D" w14:textId="77777777" w:rsidR="008906E8" w:rsidRDefault="00000000">
      <w:pPr>
        <w:pStyle w:val="BodyText"/>
      </w:pPr>
      <w:hyperlink r:id="rId167">
        <w:r>
          <w:rPr>
            <w:rStyle w:val="Hyperlink"/>
          </w:rPr>
          <w:t>https://www.nist.gov/itl/ai-risk-management-framework?utm_source=chatgpt.com</w:t>
        </w:r>
      </w:hyperlink>
    </w:p>
    <w:p w14:paraId="00DEA7DA" w14:textId="77777777" w:rsidR="008906E8" w:rsidRDefault="00000000">
      <w:pPr>
        <w:pStyle w:val="BodyText"/>
      </w:pPr>
      <w:hyperlink r:id="rId168">
        <w:r>
          <w:rPr>
            <w:rStyle w:val="Hyperlink"/>
          </w:rPr>
          <w:t>[28]</w:t>
        </w:r>
      </w:hyperlink>
      <w:r>
        <w:t xml:space="preserve"> Grain and Oilseed futures and options</w:t>
      </w:r>
    </w:p>
    <w:p w14:paraId="78DA11C3" w14:textId="77777777" w:rsidR="008906E8" w:rsidRDefault="00000000">
      <w:pPr>
        <w:pStyle w:val="BodyText"/>
      </w:pPr>
      <w:hyperlink r:id="rId169">
        <w:r>
          <w:rPr>
            <w:rStyle w:val="Hyperlink"/>
          </w:rPr>
          <w:t>https://www.cmegroup.com/markets/agriculture/grain-and-oilseed.html?utm_source=chatgpt.com</w:t>
        </w:r>
      </w:hyperlink>
    </w:p>
    <w:p w14:paraId="60E84F30" w14:textId="77777777" w:rsidR="008906E8" w:rsidRDefault="00000000">
      <w:pPr>
        <w:pStyle w:val="BodyText"/>
      </w:pPr>
      <w:hyperlink r:id="rId170">
        <w:r>
          <w:rPr>
            <w:rStyle w:val="Hyperlink"/>
          </w:rPr>
          <w:t>[31]</w:t>
        </w:r>
      </w:hyperlink>
      <w:r>
        <w:t xml:space="preserve"> Clean Fuels Conference 2026: Home</w:t>
      </w:r>
    </w:p>
    <w:p w14:paraId="4B32D8A7" w14:textId="77777777" w:rsidR="008906E8" w:rsidRDefault="00000000">
      <w:pPr>
        <w:pStyle w:val="BodyText"/>
      </w:pPr>
      <w:hyperlink r:id="rId171">
        <w:r>
          <w:rPr>
            <w:rStyle w:val="Hyperlink"/>
          </w:rPr>
          <w:t>https://www.cleanfuelsconference.org/?utm_source=chatgpt.com</w:t>
        </w:r>
      </w:hyperlink>
    </w:p>
    <w:p w14:paraId="78AE4DF0" w14:textId="77777777" w:rsidR="008906E8" w:rsidRDefault="00000000">
      <w:pPr>
        <w:pStyle w:val="BodyText"/>
      </w:pPr>
      <w:hyperlink r:id="rId172">
        <w:r>
          <w:rPr>
            <w:rStyle w:val="Hyperlink"/>
          </w:rPr>
          <w:t>[32]</w:t>
        </w:r>
      </w:hyperlink>
      <w:r>
        <w:t xml:space="preserve"> </w:t>
      </w:r>
      <w:hyperlink r:id="rId173">
        <w:r>
          <w:rPr>
            <w:rStyle w:val="Hyperlink"/>
          </w:rPr>
          <w:t>[33]</w:t>
        </w:r>
      </w:hyperlink>
      <w:r>
        <w:t xml:space="preserve"> Registration Now Open for 2026 Clean Fuels Conference</w:t>
      </w:r>
    </w:p>
    <w:p w14:paraId="51F0F722" w14:textId="77777777" w:rsidR="008906E8" w:rsidRDefault="00000000">
      <w:pPr>
        <w:pStyle w:val="BodyText"/>
      </w:pPr>
      <w:hyperlink r:id="rId174">
        <w:r>
          <w:rPr>
            <w:rStyle w:val="Hyperlink"/>
          </w:rPr>
          <w:t>https://cleanfuels.org/registration-now-open-for-2026-clean-fuels-conference/?utm_source=chatgpt.com</w:t>
        </w:r>
      </w:hyperlink>
    </w:p>
    <w:p w14:paraId="2445B270" w14:textId="77777777" w:rsidR="008906E8" w:rsidRDefault="00000000">
      <w:pPr>
        <w:pStyle w:val="BodyText"/>
      </w:pPr>
      <w:hyperlink r:id="rId175">
        <w:r>
          <w:rPr>
            <w:rStyle w:val="Hyperlink"/>
          </w:rPr>
          <w:t>[34]</w:t>
        </w:r>
      </w:hyperlink>
      <w:r>
        <w:t xml:space="preserve"> </w:t>
      </w:r>
      <w:hyperlink r:id="rId176">
        <w:r>
          <w:rPr>
            <w:rStyle w:val="Hyperlink"/>
          </w:rPr>
          <w:t>[52]</w:t>
        </w:r>
      </w:hyperlink>
      <w:r>
        <w:t xml:space="preserve"> </w:t>
      </w:r>
      <w:hyperlink r:id="rId177">
        <w:r>
          <w:rPr>
            <w:rStyle w:val="Hyperlink"/>
          </w:rPr>
          <w:t>[53]</w:t>
        </w:r>
      </w:hyperlink>
      <w:r>
        <w:t xml:space="preserve"> GrainCom Events 2026 Geneva - For the Trading Grain Industry</w:t>
      </w:r>
    </w:p>
    <w:p w14:paraId="20DB396C" w14:textId="77777777" w:rsidR="008906E8" w:rsidRDefault="00000000">
      <w:pPr>
        <w:pStyle w:val="BodyText"/>
      </w:pPr>
      <w:hyperlink r:id="rId178">
        <w:r>
          <w:rPr>
            <w:rStyle w:val="Hyperlink"/>
          </w:rPr>
          <w:t>https://graincomevents.com/?utm_source=chatgpt.com</w:t>
        </w:r>
      </w:hyperlink>
    </w:p>
    <w:p w14:paraId="1536A9B2" w14:textId="77777777" w:rsidR="008906E8" w:rsidRDefault="00000000">
      <w:pPr>
        <w:pStyle w:val="BodyText"/>
      </w:pPr>
      <w:hyperlink r:id="rId179">
        <w:r>
          <w:rPr>
            <w:rStyle w:val="Hyperlink"/>
          </w:rPr>
          <w:t>[35]</w:t>
        </w:r>
      </w:hyperlink>
      <w:r>
        <w:t xml:space="preserve"> </w:t>
      </w:r>
      <w:hyperlink r:id="rId180">
        <w:r>
          <w:rPr>
            <w:rStyle w:val="Hyperlink"/>
          </w:rPr>
          <w:t>[36]</w:t>
        </w:r>
      </w:hyperlink>
      <w:r>
        <w:t xml:space="preserve"> Events</w:t>
      </w:r>
    </w:p>
    <w:p w14:paraId="6D18D3C0" w14:textId="77777777" w:rsidR="008906E8" w:rsidRDefault="00000000">
      <w:pPr>
        <w:pStyle w:val="BodyText"/>
      </w:pPr>
      <w:hyperlink r:id="rId181">
        <w:r>
          <w:rPr>
            <w:rStyle w:val="Hyperlink"/>
          </w:rPr>
          <w:t>https://bbiinternational.com/ema/DisplayPage.aspx?pageId=Events&amp;utm_source=chatgpt.com</w:t>
        </w:r>
      </w:hyperlink>
    </w:p>
    <w:p w14:paraId="6C804E87" w14:textId="77777777" w:rsidR="008906E8" w:rsidRDefault="00000000">
      <w:pPr>
        <w:pStyle w:val="BodyText"/>
      </w:pPr>
      <w:hyperlink r:id="rId182">
        <w:r>
          <w:rPr>
            <w:rStyle w:val="Hyperlink"/>
          </w:rPr>
          <w:t>[37]</w:t>
        </w:r>
      </w:hyperlink>
      <w:r>
        <w:t xml:space="preserve"> Contact - 2026 Fuel Ethanol Workshop and Expo</w:t>
      </w:r>
    </w:p>
    <w:p w14:paraId="115192E6" w14:textId="77777777" w:rsidR="008906E8" w:rsidRDefault="00000000">
      <w:pPr>
        <w:pStyle w:val="BodyText"/>
      </w:pPr>
      <w:hyperlink r:id="rId183">
        <w:r>
          <w:rPr>
            <w:rStyle w:val="Hyperlink"/>
          </w:rPr>
          <w:t>https://few.bbiconferences.com/ema/DisplayPage.aspx?pageId=Contact&amp;utm_source=chatgpt.com</w:t>
        </w:r>
      </w:hyperlink>
    </w:p>
    <w:p w14:paraId="017D2CCB" w14:textId="77777777" w:rsidR="008906E8" w:rsidRDefault="00000000">
      <w:pPr>
        <w:pStyle w:val="BodyText"/>
      </w:pPr>
      <w:hyperlink r:id="rId184">
        <w:r>
          <w:rPr>
            <w:rStyle w:val="Hyperlink"/>
          </w:rPr>
          <w:t>[39]</w:t>
        </w:r>
      </w:hyperlink>
      <w:r>
        <w:t xml:space="preserve"> International Biomass Conference &amp; Expo</w:t>
      </w:r>
    </w:p>
    <w:p w14:paraId="3A2C13CE" w14:textId="77777777" w:rsidR="008906E8" w:rsidRDefault="00000000">
      <w:pPr>
        <w:pStyle w:val="BodyText"/>
      </w:pPr>
      <w:hyperlink r:id="rId185">
        <w:r>
          <w:rPr>
            <w:rStyle w:val="Hyperlink"/>
          </w:rPr>
          <w:t>https://2026-ibce.bbiconferences.com/?utm_source=chatgpt.com</w:t>
        </w:r>
      </w:hyperlink>
    </w:p>
    <w:p w14:paraId="4800982F" w14:textId="77777777" w:rsidR="008906E8" w:rsidRDefault="00000000">
      <w:pPr>
        <w:pStyle w:val="BodyText"/>
      </w:pPr>
      <w:hyperlink r:id="rId186">
        <w:r>
          <w:rPr>
            <w:rStyle w:val="Hyperlink"/>
          </w:rPr>
          <w:t>[40]</w:t>
        </w:r>
      </w:hyperlink>
      <w:r>
        <w:t xml:space="preserve"> The Conference - Int'l Biomass Conference and Expo</w:t>
      </w:r>
    </w:p>
    <w:p w14:paraId="59DB19EA" w14:textId="77777777" w:rsidR="008906E8" w:rsidRDefault="00000000">
      <w:pPr>
        <w:pStyle w:val="BodyText"/>
      </w:pPr>
      <w:hyperlink r:id="rId187">
        <w:r>
          <w:rPr>
            <w:rStyle w:val="Hyperlink"/>
          </w:rPr>
          <w:t>https://www.biomassconference.com/ema/DisplayPage.aspx?pageId=The_Conference&amp;utm_source=chatgpt.com</w:t>
        </w:r>
      </w:hyperlink>
    </w:p>
    <w:p w14:paraId="457E13DA" w14:textId="77777777" w:rsidR="008906E8" w:rsidRDefault="00000000">
      <w:pPr>
        <w:pStyle w:val="BodyText"/>
      </w:pPr>
      <w:hyperlink r:id="rId188">
        <w:r>
          <w:rPr>
            <w:rStyle w:val="Hyperlink"/>
          </w:rPr>
          <w:t>[41]</w:t>
        </w:r>
      </w:hyperlink>
      <w:r>
        <w:t xml:space="preserve"> </w:t>
      </w:r>
      <w:hyperlink r:id="rId189">
        <w:r>
          <w:rPr>
            <w:rStyle w:val="Hyperlink"/>
          </w:rPr>
          <w:t>[51]</w:t>
        </w:r>
      </w:hyperlink>
      <w:r>
        <w:t xml:space="preserve"> Speaking Opportunities - Int'l Biomass Conference and Expo</w:t>
      </w:r>
    </w:p>
    <w:p w14:paraId="10CC76FA" w14:textId="77777777" w:rsidR="008906E8" w:rsidRDefault="00000000">
      <w:pPr>
        <w:pStyle w:val="BodyText"/>
      </w:pPr>
      <w:hyperlink r:id="rId190">
        <w:r>
          <w:rPr>
            <w:rStyle w:val="Hyperlink"/>
          </w:rPr>
          <w:t>https://2026-ibce.bbiconferences.com/ema/DisplayPage.aspx?pageId=Speaking_Opportunities&amp;utm_source=chatgpt.com</w:t>
        </w:r>
      </w:hyperlink>
    </w:p>
    <w:p w14:paraId="0EFD1410" w14:textId="77777777" w:rsidR="008906E8" w:rsidRDefault="00000000">
      <w:pPr>
        <w:pStyle w:val="BodyText"/>
      </w:pPr>
      <w:hyperlink r:id="rId191">
        <w:r>
          <w:rPr>
            <w:rStyle w:val="Hyperlink"/>
          </w:rPr>
          <w:t>[43]</w:t>
        </w:r>
      </w:hyperlink>
      <w:r>
        <w:t xml:space="preserve"> Charting the future drivers of global grains trade</w:t>
      </w:r>
    </w:p>
    <w:p w14:paraId="1DF768FB" w14:textId="77777777" w:rsidR="008906E8" w:rsidRDefault="00000000">
      <w:pPr>
        <w:pStyle w:val="BodyText"/>
      </w:pPr>
      <w:hyperlink r:id="rId192">
        <w:r>
          <w:rPr>
            <w:rStyle w:val="Hyperlink"/>
          </w:rPr>
          <w:t>https://www.igc.int/en/conference/confhome.aspx?utm_source=chatgpt.com</w:t>
        </w:r>
      </w:hyperlink>
    </w:p>
    <w:p w14:paraId="37831D61" w14:textId="77777777" w:rsidR="008906E8" w:rsidRDefault="00000000">
      <w:pPr>
        <w:pStyle w:val="BodyText"/>
      </w:pPr>
      <w:hyperlink r:id="rId193">
        <w:r>
          <w:rPr>
            <w:rStyle w:val="Hyperlink"/>
          </w:rPr>
          <w:t>[45]</w:t>
        </w:r>
      </w:hyperlink>
      <w:r>
        <w:t xml:space="preserve"> 2026 AOCS Annual Meeting &amp; Expo</w:t>
      </w:r>
    </w:p>
    <w:p w14:paraId="3C0AF4EB" w14:textId="77777777" w:rsidR="008906E8" w:rsidRDefault="00000000">
      <w:pPr>
        <w:pStyle w:val="BodyText"/>
      </w:pPr>
      <w:hyperlink r:id="rId194">
        <w:r>
          <w:rPr>
            <w:rStyle w:val="Hyperlink"/>
          </w:rPr>
          <w:t>https://www.aocs.org/event/2026-aocs-annual-meeting-expo/?utm_source=chatgpt.com</w:t>
        </w:r>
      </w:hyperlink>
    </w:p>
    <w:p w14:paraId="0B62BDAE" w14:textId="77777777" w:rsidR="008906E8" w:rsidRDefault="00000000">
      <w:pPr>
        <w:pStyle w:val="BodyText"/>
      </w:pPr>
      <w:hyperlink r:id="rId195">
        <w:r>
          <w:rPr>
            <w:rStyle w:val="Hyperlink"/>
          </w:rPr>
          <w:t>[46]</w:t>
        </w:r>
      </w:hyperlink>
      <w:r>
        <w:t xml:space="preserve"> AOCS - Annual Meeting</w:t>
      </w:r>
    </w:p>
    <w:p w14:paraId="66137BAC" w14:textId="77777777" w:rsidR="008906E8" w:rsidRDefault="00000000">
      <w:pPr>
        <w:pStyle w:val="BodyText"/>
      </w:pPr>
      <w:hyperlink r:id="rId196">
        <w:r>
          <w:rPr>
            <w:rStyle w:val="Hyperlink"/>
          </w:rPr>
          <w:t>https://annualmeeting.aocs.org/?utm_source=chatgpt.com</w:t>
        </w:r>
      </w:hyperlink>
    </w:p>
    <w:p w14:paraId="147C6FEC" w14:textId="77777777" w:rsidR="008906E8" w:rsidRDefault="00000000">
      <w:pPr>
        <w:pStyle w:val="BodyText"/>
      </w:pPr>
      <w:hyperlink r:id="rId197">
        <w:r>
          <w:rPr>
            <w:rStyle w:val="Hyperlink"/>
          </w:rPr>
          <w:t>[47]</w:t>
        </w:r>
      </w:hyperlink>
      <w:r>
        <w:t xml:space="preserve"> Call for Papers - AOCS Annual Meeting</w:t>
      </w:r>
    </w:p>
    <w:p w14:paraId="04DE5C92" w14:textId="77777777" w:rsidR="008906E8" w:rsidRDefault="00000000">
      <w:pPr>
        <w:pStyle w:val="BodyText"/>
      </w:pPr>
      <w:hyperlink r:id="rId198">
        <w:r>
          <w:rPr>
            <w:rStyle w:val="Hyperlink"/>
          </w:rPr>
          <w:t>https://annualmeeting.aocs.org/program/call-for-papers/?utm_source=chatgpt.com</w:t>
        </w:r>
      </w:hyperlink>
    </w:p>
    <w:p w14:paraId="61920A7B" w14:textId="77777777" w:rsidR="008906E8" w:rsidRDefault="00000000">
      <w:pPr>
        <w:pStyle w:val="BodyText"/>
      </w:pPr>
      <w:hyperlink r:id="rId199">
        <w:r>
          <w:rPr>
            <w:rStyle w:val="Hyperlink"/>
          </w:rPr>
          <w:t>[49]</w:t>
        </w:r>
      </w:hyperlink>
      <w:r>
        <w:t xml:space="preserve"> </w:t>
      </w:r>
      <w:hyperlink r:id="rId200">
        <w:r>
          <w:rPr>
            <w:rStyle w:val="Hyperlink"/>
          </w:rPr>
          <w:t>[50]</w:t>
        </w:r>
      </w:hyperlink>
      <w:r>
        <w:t xml:space="preserve"> EuroGrainExchange Bucharest 2026 | The European Spring ...</w:t>
      </w:r>
    </w:p>
    <w:p w14:paraId="3AA8E86D" w14:textId="77777777" w:rsidR="008906E8" w:rsidRDefault="00000000">
      <w:pPr>
        <w:pStyle w:val="BodyText"/>
      </w:pPr>
      <w:hyperlink r:id="rId201">
        <w:r>
          <w:rPr>
            <w:rStyle w:val="Hyperlink"/>
          </w:rPr>
          <w:t>https://eurograinevents.com/?utm_source=chatgpt.com</w:t>
        </w:r>
      </w:hyperlink>
    </w:p>
    <w:p w14:paraId="7CE96BF8" w14:textId="77777777" w:rsidR="008906E8" w:rsidRDefault="00000000">
      <w:pPr>
        <w:pStyle w:val="BodyText"/>
      </w:pPr>
      <w:hyperlink r:id="rId202">
        <w:r>
          <w:rPr>
            <w:rStyle w:val="Hyperlink"/>
          </w:rPr>
          <w:t>[54]</w:t>
        </w:r>
      </w:hyperlink>
      <w:r>
        <w:t xml:space="preserve"> Agenda 26- GrainCom Events - A wide range of topics</w:t>
      </w:r>
    </w:p>
    <w:p w14:paraId="21E00926" w14:textId="77777777" w:rsidR="008906E8" w:rsidRDefault="00000000">
      <w:pPr>
        <w:pStyle w:val="BodyText"/>
      </w:pPr>
      <w:hyperlink r:id="rId203">
        <w:r>
          <w:rPr>
            <w:rStyle w:val="Hyperlink"/>
          </w:rPr>
          <w:t>https://graincomevents.com/agenda/?utm_source=chatgpt.com</w:t>
        </w:r>
      </w:hyperlink>
    </w:p>
    <w:p w14:paraId="2ACBBA9E" w14:textId="77777777" w:rsidR="008906E8" w:rsidRDefault="00000000">
      <w:pPr>
        <w:pStyle w:val="BodyText"/>
      </w:pPr>
      <w:hyperlink r:id="rId204">
        <w:r>
          <w:rPr>
            <w:rStyle w:val="Hyperlink"/>
          </w:rPr>
          <w:t>[56]</w:t>
        </w:r>
      </w:hyperlink>
      <w:r>
        <w:t xml:space="preserve"> Global Grain MENA</w:t>
      </w:r>
    </w:p>
    <w:p w14:paraId="64C301A2" w14:textId="77777777" w:rsidR="008906E8" w:rsidRDefault="00000000">
      <w:pPr>
        <w:pStyle w:val="BodyText"/>
      </w:pPr>
      <w:hyperlink r:id="rId205">
        <w:r>
          <w:rPr>
            <w:rStyle w:val="Hyperlink"/>
          </w:rPr>
          <w:t>https://www.fastmarkets.com/events/global-grain-mena/?utm_source=chatgpt.com</w:t>
        </w:r>
      </w:hyperlink>
    </w:p>
    <w:p w14:paraId="28229392" w14:textId="77777777" w:rsidR="008906E8" w:rsidRDefault="00000000">
      <w:pPr>
        <w:pStyle w:val="BodyText"/>
      </w:pPr>
      <w:hyperlink r:id="rId206">
        <w:r>
          <w:rPr>
            <w:rStyle w:val="Hyperlink"/>
          </w:rPr>
          <w:t>[57]</w:t>
        </w:r>
      </w:hyperlink>
      <w:r>
        <w:t xml:space="preserve"> </w:t>
      </w:r>
      <w:hyperlink r:id="rId207">
        <w:r>
          <w:rPr>
            <w:rStyle w:val="Hyperlink"/>
          </w:rPr>
          <w:t>[58]</w:t>
        </w:r>
      </w:hyperlink>
      <w:r>
        <w:t xml:space="preserve"> Commodity Trading Week Europe, London, 6th-7th May 2026</w:t>
      </w:r>
    </w:p>
    <w:p w14:paraId="51841B35" w14:textId="77777777" w:rsidR="008906E8" w:rsidRDefault="00000000">
      <w:pPr>
        <w:pStyle w:val="BodyText"/>
      </w:pPr>
      <w:hyperlink r:id="rId208">
        <w:r>
          <w:rPr>
            <w:rStyle w:val="Hyperlink"/>
          </w:rPr>
          <w:t>https://www.gafta.com/events/commodity-trading-week-europe-london-6th-7th-may-2026/?utm_source=chatgpt.com</w:t>
        </w:r>
      </w:hyperlink>
    </w:p>
    <w:p w14:paraId="5414B1EB" w14:textId="77777777" w:rsidR="008906E8" w:rsidRDefault="00000000">
      <w:pPr>
        <w:pStyle w:val="BodyText"/>
      </w:pPr>
      <w:hyperlink r:id="rId209">
        <w:r>
          <w:rPr>
            <w:rStyle w:val="Hyperlink"/>
          </w:rPr>
          <w:t>[59]</w:t>
        </w:r>
      </w:hyperlink>
      <w:r>
        <w:t xml:space="preserve"> Commodity Trading Week Europe 2026 - Become an Attendee</w:t>
      </w:r>
    </w:p>
    <w:p w14:paraId="38FA7344" w14:textId="77777777" w:rsidR="008906E8" w:rsidRDefault="00000000">
      <w:pPr>
        <w:pStyle w:val="BodyText"/>
      </w:pPr>
      <w:hyperlink r:id="rId210">
        <w:r>
          <w:rPr>
            <w:rStyle w:val="Hyperlink"/>
          </w:rPr>
          <w:t>https://europe.commoditytradingweek.com/become-an-attendee?utm_source=chatgpt.com</w:t>
        </w:r>
      </w:hyperlink>
    </w:p>
    <w:p w14:paraId="7B24CAF2" w14:textId="77777777" w:rsidR="008906E8" w:rsidRDefault="00000000">
      <w:pPr>
        <w:pStyle w:val="BodyText"/>
      </w:pPr>
      <w:hyperlink r:id="rId211">
        <w:r>
          <w:rPr>
            <w:rStyle w:val="Hyperlink"/>
          </w:rPr>
          <w:t>[60]</w:t>
        </w:r>
      </w:hyperlink>
      <w:r>
        <w:t xml:space="preserve"> Argus North American Biofuels, LCFS &amp; Carbon Markets ...</w:t>
      </w:r>
    </w:p>
    <w:p w14:paraId="4D8A9E8C" w14:textId="77777777" w:rsidR="008906E8" w:rsidRDefault="00000000">
      <w:pPr>
        <w:pStyle w:val="BodyText"/>
      </w:pPr>
      <w:hyperlink r:id="rId212">
        <w:r>
          <w:rPr>
            <w:rStyle w:val="Hyperlink"/>
          </w:rPr>
          <w:t>https://www.argusmedia.com/en/events/conferences/north-american-biofuels-lcfs-carbon-markets-summit?utm_source=chatgpt.com</w:t>
        </w:r>
      </w:hyperlink>
    </w:p>
    <w:p w14:paraId="59F14BC8" w14:textId="77777777" w:rsidR="008906E8" w:rsidRDefault="00000000">
      <w:pPr>
        <w:pStyle w:val="BodyText"/>
      </w:pPr>
      <w:hyperlink r:id="rId213">
        <w:r>
          <w:rPr>
            <w:rStyle w:val="Hyperlink"/>
          </w:rPr>
          <w:t>[62]</w:t>
        </w:r>
      </w:hyperlink>
      <w:r>
        <w:t xml:space="preserve"> </w:t>
      </w:r>
      <w:hyperlink r:id="rId214">
        <w:r>
          <w:rPr>
            <w:rStyle w:val="Hyperlink"/>
          </w:rPr>
          <w:t>[63]</w:t>
        </w:r>
      </w:hyperlink>
      <w:r>
        <w:t xml:space="preserve"> 23rd International Marketing Conference &amp; 66th Annual ...</w:t>
      </w:r>
    </w:p>
    <w:p w14:paraId="18F51937" w14:textId="77777777" w:rsidR="008906E8" w:rsidRDefault="00000000">
      <w:pPr>
        <w:pStyle w:val="BodyText"/>
      </w:pPr>
      <w:hyperlink r:id="rId215">
        <w:r>
          <w:rPr>
            <w:rStyle w:val="Hyperlink"/>
          </w:rPr>
          <w:t>https://reg.eventmobi.com/23rd-international-marketing-conference-66th-annual-membership-meeting?utm_source=chatgpt.com</w:t>
        </w:r>
      </w:hyperlink>
    </w:p>
    <w:p w14:paraId="0DD5197E" w14:textId="77777777" w:rsidR="008906E8" w:rsidRDefault="00000000">
      <w:pPr>
        <w:pStyle w:val="BodyText"/>
      </w:pPr>
      <w:hyperlink r:id="rId216">
        <w:r>
          <w:rPr>
            <w:rStyle w:val="Hyperlink"/>
          </w:rPr>
          <w:t>[64]</w:t>
        </w:r>
      </w:hyperlink>
      <w:r>
        <w:t xml:space="preserve"> Geneva Sugar Conference 2026</w:t>
      </w:r>
    </w:p>
    <w:p w14:paraId="433FA754" w14:textId="77777777" w:rsidR="008906E8" w:rsidRDefault="00000000">
      <w:pPr>
        <w:pStyle w:val="BodyText"/>
      </w:pPr>
      <w:hyperlink r:id="rId217">
        <w:r>
          <w:rPr>
            <w:rStyle w:val="Hyperlink"/>
          </w:rPr>
          <w:t>https://www.spglobal.com/energy/en/events/conferences/geneva-sugar?utm_source=chatgpt.com</w:t>
        </w:r>
      </w:hyperlink>
    </w:p>
    <w:p w14:paraId="7C030FF6" w14:textId="77777777" w:rsidR="008906E8" w:rsidRDefault="00000000">
      <w:pPr>
        <w:pStyle w:val="BodyText"/>
      </w:pPr>
      <w:hyperlink r:id="rId218">
        <w:r>
          <w:rPr>
            <w:rStyle w:val="Hyperlink"/>
          </w:rPr>
          <w:t>[70]</w:t>
        </w:r>
      </w:hyperlink>
      <w:r>
        <w:t xml:space="preserve"> Agricultural Market Information System (AMIS) | FAO Statistics</w:t>
      </w:r>
    </w:p>
    <w:p w14:paraId="1C885764" w14:textId="77777777" w:rsidR="008906E8" w:rsidRDefault="00000000">
      <w:pPr>
        <w:pStyle w:val="BodyText"/>
      </w:pPr>
      <w:hyperlink r:id="rId219">
        <w:r>
          <w:rPr>
            <w:rStyle w:val="Hyperlink"/>
          </w:rPr>
          <w:t>https://www.fao.org/statistics/statistics/statistical-capacity-development/agricultural-market-information-system/en?utm_source=chatgpt.com</w:t>
        </w:r>
      </w:hyperlink>
    </w:p>
    <w:p w14:paraId="358D5718" w14:textId="77777777" w:rsidR="008906E8" w:rsidRDefault="00000000">
      <w:pPr>
        <w:pStyle w:val="BodyText"/>
      </w:pPr>
      <w:hyperlink r:id="rId220">
        <w:r>
          <w:rPr>
            <w:rStyle w:val="Hyperlink"/>
          </w:rPr>
          <w:t>[73]</w:t>
        </w:r>
      </w:hyperlink>
      <w:r>
        <w:t xml:space="preserve"> U.S. Renewable Diesel Fuel and Other Biofuels Plant ...</w:t>
      </w:r>
    </w:p>
    <w:p w14:paraId="0A52FD4D" w14:textId="77777777" w:rsidR="008906E8" w:rsidRDefault="00000000">
      <w:pPr>
        <w:pStyle w:val="BodyText"/>
      </w:pPr>
      <w:hyperlink r:id="rId221">
        <w:r>
          <w:rPr>
            <w:rStyle w:val="Hyperlink"/>
          </w:rPr>
          <w:t>https://www.eia.gov/biofuels/renewable/capacity/?utm_source=chatgpt.com</w:t>
        </w:r>
      </w:hyperlink>
    </w:p>
    <w:p w14:paraId="2CCC34B0" w14:textId="77777777" w:rsidR="008906E8" w:rsidRDefault="00000000">
      <w:pPr>
        <w:pStyle w:val="BodyText"/>
      </w:pPr>
      <w:hyperlink r:id="rId222">
        <w:r>
          <w:rPr>
            <w:rStyle w:val="Hyperlink"/>
          </w:rPr>
          <w:t>[74]</w:t>
        </w:r>
      </w:hyperlink>
      <w:r>
        <w:t xml:space="preserve"> Overview of the Renewable Fuel Standard Program</w:t>
      </w:r>
    </w:p>
    <w:p w14:paraId="310E02E1" w14:textId="77777777" w:rsidR="008906E8" w:rsidRDefault="00000000">
      <w:pPr>
        <w:pStyle w:val="BodyText"/>
      </w:pPr>
      <w:hyperlink r:id="rId223">
        <w:r>
          <w:rPr>
            <w:rStyle w:val="Hyperlink"/>
          </w:rPr>
          <w:t>https://www.epa.gov/renewable-fuel-standard/overview-renewable-fuel-standard-program?utm_source=chatgpt.com</w:t>
        </w:r>
      </w:hyperlink>
    </w:p>
    <w:p w14:paraId="01913B66" w14:textId="77777777" w:rsidR="008906E8" w:rsidRDefault="00000000">
      <w:pPr>
        <w:pStyle w:val="BodyText"/>
      </w:pPr>
      <w:hyperlink r:id="rId224">
        <w:r>
          <w:rPr>
            <w:rStyle w:val="Hyperlink"/>
          </w:rPr>
          <w:t>[75]</w:t>
        </w:r>
      </w:hyperlink>
      <w:r>
        <w:t xml:space="preserve"> Corn Futures Contract Specs</w:t>
      </w:r>
    </w:p>
    <w:p w14:paraId="3BA05A5F" w14:textId="77777777" w:rsidR="008906E8" w:rsidRDefault="00000000">
      <w:pPr>
        <w:pStyle w:val="BodyText"/>
      </w:pPr>
      <w:hyperlink r:id="rId225">
        <w:r>
          <w:rPr>
            <w:rStyle w:val="Hyperlink"/>
          </w:rPr>
          <w:t>https://www.cmegroup.com/markets/agriculture/grains/corn.contractSpecs.html?utm_source=chatgpt.com</w:t>
        </w:r>
      </w:hyperlink>
      <w:bookmarkEnd w:id="19"/>
    </w:p>
    <w:sectPr w:rsidR="008906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4C8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1895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E8"/>
    <w:rsid w:val="00101AAA"/>
    <w:rsid w:val="008906E8"/>
    <w:rsid w:val="00B774D8"/>
    <w:rsid w:val="00DF2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44DB"/>
  <w15:docId w15:val="{81F8506C-3FEF-4D32-A55F-409253DC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sandoils.org/?utm_source=chatgpt.com" TargetMode="External"/><Relationship Id="rId21" Type="http://schemas.openxmlformats.org/officeDocument/2006/relationships/hyperlink" Target="https://arxiv.org/abs/2210.03629?utm_source=chatgpt.com" TargetMode="External"/><Relationship Id="rId42" Type="http://schemas.openxmlformats.org/officeDocument/2006/relationships/hyperlink" Target="https://www.usda.gov/about-usda/general-information/staff-offices/office-chief-economist/commodity-markets/wasde-report?utm_source=chatgpt.com" TargetMode="External"/><Relationship Id="rId63" Type="http://schemas.openxmlformats.org/officeDocument/2006/relationships/hyperlink" Target="https://annualmeeting.aocs.org/?utm_source=chatgpt.com" TargetMode="External"/><Relationship Id="rId84" Type="http://schemas.openxmlformats.org/officeDocument/2006/relationships/hyperlink" Target="https://reg.eventmobi.com/23rd-international-marketing-conference-66th-annual-membership-meeting?utm_source=chatgpt.com" TargetMode="External"/><Relationship Id="rId138" Type="http://schemas.openxmlformats.org/officeDocument/2006/relationships/hyperlink" Target="https://docs.databricks.com/aws/en/lakehouse/medallion?utm_source=chatgpt.com" TargetMode="External"/><Relationship Id="rId159" Type="http://schemas.openxmlformats.org/officeDocument/2006/relationships/hyperlink" Target="https://proceedings.neurips.cc/paper/2020/hash/6b493230205f780e1bc26945df7481e5-Abstract.html?utm_source=chatgpt.com" TargetMode="External"/><Relationship Id="rId170" Type="http://schemas.openxmlformats.org/officeDocument/2006/relationships/hyperlink" Target="https://www.cleanfuelsconference.org/?utm_source=chatgpt.com" TargetMode="External"/><Relationship Id="rId191" Type="http://schemas.openxmlformats.org/officeDocument/2006/relationships/hyperlink" Target="https://www.igc.int/en/conference/confhome.aspx?utm_source=chatgpt.com" TargetMode="External"/><Relationship Id="rId205" Type="http://schemas.openxmlformats.org/officeDocument/2006/relationships/hyperlink" Target="https://www.fastmarkets.com/events/global-grain-mena/?utm_source=chatgpt.com" TargetMode="External"/><Relationship Id="rId226" Type="http://schemas.openxmlformats.org/officeDocument/2006/relationships/fontTable" Target="fontTable.xml"/><Relationship Id="rId107" Type="http://schemas.openxmlformats.org/officeDocument/2006/relationships/hyperlink" Target="https://www.nist.gov/publications/artificial-intelligence-risk-management-framework-generative-artificial-intelligence?utm_source=chatgpt.com" TargetMode="External"/><Relationship Id="rId11" Type="http://schemas.openxmlformats.org/officeDocument/2006/relationships/hyperlink" Target="https://www.fastmarkets.com/events/biofuels-and-feedstocks-americas/?utm_source=chatgpt.com" TargetMode="External"/><Relationship Id="rId32" Type="http://schemas.openxmlformats.org/officeDocument/2006/relationships/hyperlink" Target="https://arxiv.org/abs/2210.03629?utm_source=chatgpt.com" TargetMode="External"/><Relationship Id="rId53" Type="http://schemas.openxmlformats.org/officeDocument/2006/relationships/hyperlink" Target="https://www.usda.gov/about-usda/general-information/staff-offices/office-chief-economist/commodity-markets/wasde-report?utm_source=chatgpt.com" TargetMode="External"/><Relationship Id="rId74" Type="http://schemas.openxmlformats.org/officeDocument/2006/relationships/hyperlink" Target="https://www.fastmarkets.com/events/global-grain-mena/?utm_source=chatgpt.com" TargetMode="External"/><Relationship Id="rId128" Type="http://schemas.openxmlformats.org/officeDocument/2006/relationships/hyperlink" Target="https://www.fastmarkets.com/events/biofuels-and-feedstocks/agenda/?utm_source=chatgpt.com" TargetMode="External"/><Relationship Id="rId149" Type="http://schemas.openxmlformats.org/officeDocument/2006/relationships/hyperlink" Target="https://www.usda.gov/about-usda/general-information/staff-offices/office-chief-economist/commodity-markets/wasde-report?utm_source=chatgpt.com" TargetMode="External"/><Relationship Id="rId5" Type="http://schemas.openxmlformats.org/officeDocument/2006/relationships/hyperlink" Target="https://arxiv.org/abs/2311.05232?utm_source=chatgpt.com" TargetMode="External"/><Relationship Id="rId95" Type="http://schemas.openxmlformats.org/officeDocument/2006/relationships/hyperlink" Target="https://arxiv.org/abs/2210.03629?utm_source=chatgpt.com" TargetMode="External"/><Relationship Id="rId160" Type="http://schemas.openxmlformats.org/officeDocument/2006/relationships/hyperlink" Target="https://proceedings.neurips.cc/paper/2020/hash/6b493230205f780e1bc26945df7481e5-Abstract.html?utm_source=chatgpt.com" TargetMode="External"/><Relationship Id="rId181" Type="http://schemas.openxmlformats.org/officeDocument/2006/relationships/hyperlink" Target="https://bbiinternational.com/ema/DisplayPage.aspx?pageId=Events&amp;utm_source=chatgpt.com" TargetMode="External"/><Relationship Id="rId216" Type="http://schemas.openxmlformats.org/officeDocument/2006/relationships/hyperlink" Target="https://www.spglobal.com/energy/en/events/conferences/geneva-sugar?utm_source=chatgpt.com" TargetMode="External"/><Relationship Id="rId22" Type="http://schemas.openxmlformats.org/officeDocument/2006/relationships/hyperlink" Target="https://www.ams.usda.gov/market-news?utm_source=chatgpt.com" TargetMode="External"/><Relationship Id="rId43" Type="http://schemas.openxmlformats.org/officeDocument/2006/relationships/hyperlink" Target="https://proceedings.neurips.cc/paper/2020/hash/6b493230205f780e1bc26945df7481e5-Abstract.html?utm_source=chatgpt.com" TargetMode="External"/><Relationship Id="rId64" Type="http://schemas.openxmlformats.org/officeDocument/2006/relationships/hyperlink" Target="https://annualmeeting.aocs.org/program/call-for-papers/?utm_source=chatgpt.com" TargetMode="External"/><Relationship Id="rId118" Type="http://schemas.openxmlformats.org/officeDocument/2006/relationships/hyperlink" Target="https://fatsandoils.org/?utm_source=chatgpt.com" TargetMode="External"/><Relationship Id="rId139" Type="http://schemas.openxmlformats.org/officeDocument/2006/relationships/hyperlink" Target="https://docs.databricks.com/aws/en/lakehouse/medallion?utm_source=chatgpt.com" TargetMode="External"/><Relationship Id="rId85" Type="http://schemas.openxmlformats.org/officeDocument/2006/relationships/hyperlink" Target="https://reg.eventmobi.com/23rd-international-marketing-conference-66th-annual-membership-meeting?utm_source=chatgpt.com" TargetMode="External"/><Relationship Id="rId150" Type="http://schemas.openxmlformats.org/officeDocument/2006/relationships/hyperlink" Target="https://www.usda.gov/about-usda/general-information/staff-offices/office-chief-economist/commodity-markets/wasde-report?utm_source=chatgpt.com" TargetMode="External"/><Relationship Id="rId171" Type="http://schemas.openxmlformats.org/officeDocument/2006/relationships/hyperlink" Target="https://www.cleanfuelsconference.org/?utm_source=chatgpt.com" TargetMode="External"/><Relationship Id="rId192" Type="http://schemas.openxmlformats.org/officeDocument/2006/relationships/hyperlink" Target="https://www.igc.int/en/conference/confhome.aspx?utm_source=chatgpt.com" TargetMode="External"/><Relationship Id="rId206" Type="http://schemas.openxmlformats.org/officeDocument/2006/relationships/hyperlink" Target="https://www.gafta.com/events/commodity-trading-week-europe-london-6th-7th-may-2026/?utm_source=chatgpt.com" TargetMode="External"/><Relationship Id="rId227" Type="http://schemas.openxmlformats.org/officeDocument/2006/relationships/theme" Target="theme/theme1.xml"/><Relationship Id="rId12" Type="http://schemas.openxmlformats.org/officeDocument/2006/relationships/hyperlink" Target="https://www.fastmarkets.com/events/biofuels-and-feedstocks/agenda/?utm_source=chatgpt.com" TargetMode="External"/><Relationship Id="rId33" Type="http://schemas.openxmlformats.org/officeDocument/2006/relationships/hyperlink" Target="https://www.nist.gov/itl/ai-risk-management-framework?utm_source=chatgpt.com" TargetMode="External"/><Relationship Id="rId108" Type="http://schemas.openxmlformats.org/officeDocument/2006/relationships/hyperlink" Target="https://arxiv.org/abs/2311.05232?utm_source=chatgpt.com" TargetMode="External"/><Relationship Id="rId129" Type="http://schemas.openxmlformats.org/officeDocument/2006/relationships/hyperlink" Target="https://www.fastmarkets.com/events/biofuels-and-feedstocks/agenda/?utm_source=chatgpt.com" TargetMode="External"/><Relationship Id="rId54" Type="http://schemas.openxmlformats.org/officeDocument/2006/relationships/hyperlink" Target="https://2026-ibce.bbiconferences.com/?utm_source=chatgpt.com" TargetMode="External"/><Relationship Id="rId75" Type="http://schemas.openxmlformats.org/officeDocument/2006/relationships/hyperlink" Target="https://www.fastmarkets.com/events/global-grain-mena/?utm_source=chatgpt.com" TargetMode="External"/><Relationship Id="rId96" Type="http://schemas.openxmlformats.org/officeDocument/2006/relationships/hyperlink" Target="https://www.nist.gov/publications/artificial-intelligence-risk-management-framework-generative-artificial-intelligence?utm_source=chatgpt.com" TargetMode="External"/><Relationship Id="rId140" Type="http://schemas.openxmlformats.org/officeDocument/2006/relationships/hyperlink" Target="https://docs.databricks.com/aws/en/lakehouse/medallion?utm_source=chatgpt.com" TargetMode="External"/><Relationship Id="rId161" Type="http://schemas.openxmlformats.org/officeDocument/2006/relationships/hyperlink" Target="https://proceedings.neurips.cc/paper/2020/hash/6b493230205f780e1bc26945df7481e5-Abstract.html?utm_source=chatgpt.com" TargetMode="External"/><Relationship Id="rId182" Type="http://schemas.openxmlformats.org/officeDocument/2006/relationships/hyperlink" Target="https://few.bbiconferences.com/ema/DisplayPage.aspx?pageId=Contact&amp;utm_source=chatgpt.com" TargetMode="External"/><Relationship Id="rId217" Type="http://schemas.openxmlformats.org/officeDocument/2006/relationships/hyperlink" Target="https://www.spglobal.com/energy/en/events/conferences/geneva-sugar?utm_source=chatgpt.com" TargetMode="External"/><Relationship Id="rId6" Type="http://schemas.openxmlformats.org/officeDocument/2006/relationships/hyperlink" Target="https://fatsandoils.org/upcoming-events/?utm_source=chatgpt.com" TargetMode="External"/><Relationship Id="rId23" Type="http://schemas.openxmlformats.org/officeDocument/2006/relationships/hyperlink" Target="https://www.usda.gov/about-usda/general-information/staff-offices/office-chief-economist/commodity-markets/wasde-report?utm_source=chatgpt.com" TargetMode="External"/><Relationship Id="rId119" Type="http://schemas.openxmlformats.org/officeDocument/2006/relationships/hyperlink" Target="https://www.fastmarkets.com/events/global-grain-geneva/agenda/?utm_source=chatgpt.com" TargetMode="External"/><Relationship Id="rId44" Type="http://schemas.openxmlformats.org/officeDocument/2006/relationships/hyperlink" Target="https://www.nist.gov/itl/ai-risk-management-framework?utm_source=chatgpt.com" TargetMode="External"/><Relationship Id="rId65" Type="http://schemas.openxmlformats.org/officeDocument/2006/relationships/hyperlink" Target="https://www.fastmarkets.com/events/biofuels-and-feedstocks/agenda/?utm_source=chatgpt.com" TargetMode="External"/><Relationship Id="rId86" Type="http://schemas.openxmlformats.org/officeDocument/2006/relationships/hyperlink" Target="https://reg.eventmobi.com/23rd-international-marketing-conference-66th-annual-membership-meeting?utm_source=chatgpt.com" TargetMode="External"/><Relationship Id="rId130" Type="http://schemas.openxmlformats.org/officeDocument/2006/relationships/hyperlink" Target="https://www.spglobal.com/commodityinsights/en/events/emea/grains?utm_source=chatgpt.com" TargetMode="External"/><Relationship Id="rId151" Type="http://schemas.openxmlformats.org/officeDocument/2006/relationships/hyperlink" Target="https://www.usda.gov/about-usda/general-information/staff-offices/office-chief-economist/commodity-markets/wasde-report?utm_source=chatgpt.com" TargetMode="External"/><Relationship Id="rId172" Type="http://schemas.openxmlformats.org/officeDocument/2006/relationships/hyperlink" Target="https://cleanfuels.org/registration-now-open-for-2026-clean-fuels-conference/?utm_source=chatgpt.com" TargetMode="External"/><Relationship Id="rId193" Type="http://schemas.openxmlformats.org/officeDocument/2006/relationships/hyperlink" Target="https://www.aocs.org/event/2026-aocs-annual-meeting-expo/?utm_source=chatgpt.com" TargetMode="External"/><Relationship Id="rId207" Type="http://schemas.openxmlformats.org/officeDocument/2006/relationships/hyperlink" Target="https://www.gafta.com/events/commodity-trading-week-europe-london-6th-7th-may-2026/?utm_source=chatgpt.com" TargetMode="External"/><Relationship Id="rId13" Type="http://schemas.openxmlformats.org/officeDocument/2006/relationships/hyperlink" Target="https://www.spglobal.com/commodityinsights/en/events/emea/grains?utm_source=chatgpt.com" TargetMode="External"/><Relationship Id="rId109" Type="http://schemas.openxmlformats.org/officeDocument/2006/relationships/hyperlink" Target="https://arxiv.org/abs/2311.05232?utm_source=chatgpt.com" TargetMode="External"/><Relationship Id="rId34" Type="http://schemas.openxmlformats.org/officeDocument/2006/relationships/hyperlink" Target="https://www.epa.gov/renewable-fuel-standard/renewable-identification-numbers-rins-under-renewable-fuel-standard-program?utm_source=chatgpt.com" TargetMode="External"/><Relationship Id="rId55" Type="http://schemas.openxmlformats.org/officeDocument/2006/relationships/hyperlink" Target="https://www.biomassconference.com/ema/DisplayPage.aspx?pageId=The_Conference&amp;utm_source=chatgpt.com" TargetMode="External"/><Relationship Id="rId76" Type="http://schemas.openxmlformats.org/officeDocument/2006/relationships/hyperlink" Target="https://www.fastmarkets.com/events/global-grain-mena/?utm_source=chatgpt.com" TargetMode="External"/><Relationship Id="rId97" Type="http://schemas.openxmlformats.org/officeDocument/2006/relationships/hyperlink" Target="https://proceedings.neurips.cc/paper/2020/hash/6b493230205f780e1bc26945df7481e5-Abstract.html?utm_source=chatgpt.com" TargetMode="External"/><Relationship Id="rId120" Type="http://schemas.openxmlformats.org/officeDocument/2006/relationships/hyperlink" Target="https://www.fastmarkets.com/events/global-grain-geneva/agenda/?utm_source=chatgpt.com" TargetMode="External"/><Relationship Id="rId141" Type="http://schemas.openxmlformats.org/officeDocument/2006/relationships/hyperlink" Target="https://arxiv.org/abs/2210.03629?utm_source=chatgpt.com" TargetMode="External"/><Relationship Id="rId7" Type="http://schemas.openxmlformats.org/officeDocument/2006/relationships/hyperlink" Target="https://fatsandoils.org/?utm_source=chatgpt.com" TargetMode="External"/><Relationship Id="rId162" Type="http://schemas.openxmlformats.org/officeDocument/2006/relationships/hyperlink" Target="https://www.fastmarkets.com/events/biofuels-and-feedstocks-americas/attendees/?utm_source=chatgpt.com" TargetMode="External"/><Relationship Id="rId183" Type="http://schemas.openxmlformats.org/officeDocument/2006/relationships/hyperlink" Target="https://few.bbiconferences.com/ema/DisplayPage.aspx?pageId=Contact&amp;utm_source=chatgpt.com" TargetMode="External"/><Relationship Id="rId218" Type="http://schemas.openxmlformats.org/officeDocument/2006/relationships/hyperlink" Target="https://www.fao.org/statistics/statistics/statistical-capacity-development/agricultural-market-information-system/en?utm_source=chatgpt.com" TargetMode="External"/><Relationship Id="rId24" Type="http://schemas.openxmlformats.org/officeDocument/2006/relationships/hyperlink" Target="https://www.epa.gov/renewable-fuel-standard/renewable-identification-numbers-rins-under-renewable-fuel-standard-program?utm_source=chatgpt.com" TargetMode="External"/><Relationship Id="rId45" Type="http://schemas.openxmlformats.org/officeDocument/2006/relationships/hyperlink" Target="https://www.fastmarkets.com/events/biofuels-and-feedstocks/agenda/?utm_source=chatgpt.com" TargetMode="External"/><Relationship Id="rId66" Type="http://schemas.openxmlformats.org/officeDocument/2006/relationships/hyperlink" Target="https://eurograinevents.com/?utm_source=chatgpt.com" TargetMode="External"/><Relationship Id="rId87" Type="http://schemas.openxmlformats.org/officeDocument/2006/relationships/hyperlink" Target="https://www.spglobal.com/energy/en/events/conferences/geneva-sugar?utm_source=chatgpt.com" TargetMode="External"/><Relationship Id="rId110" Type="http://schemas.openxmlformats.org/officeDocument/2006/relationships/hyperlink" Target="https://arxiv.org/abs/2311.05232?utm_source=chatgpt.com" TargetMode="External"/><Relationship Id="rId131" Type="http://schemas.openxmlformats.org/officeDocument/2006/relationships/hyperlink" Target="https://www.spglobal.com/commodityinsights/en/events/emea/grains?utm_source=chatgpt.com" TargetMode="External"/><Relationship Id="rId152" Type="http://schemas.openxmlformats.org/officeDocument/2006/relationships/hyperlink" Target="https://www.usda.gov/about-usda/general-information/staff-offices/office-chief-economist/commodity-markets/wasde-report?utm_source=chatgpt.com" TargetMode="External"/><Relationship Id="rId173" Type="http://schemas.openxmlformats.org/officeDocument/2006/relationships/hyperlink" Target="https://cleanfuels.org/registration-now-open-for-2026-clean-fuels-conference/?utm_source=chatgpt.com" TargetMode="External"/><Relationship Id="rId194" Type="http://schemas.openxmlformats.org/officeDocument/2006/relationships/hyperlink" Target="https://www.aocs.org/event/2026-aocs-annual-meeting-expo/?utm_source=chatgpt.com" TargetMode="External"/><Relationship Id="rId208" Type="http://schemas.openxmlformats.org/officeDocument/2006/relationships/hyperlink" Target="https://www.gafta.com/events/commodity-trading-week-europe-london-6th-7th-may-2026/?utm_source=chatgpt.com" TargetMode="External"/><Relationship Id="rId14" Type="http://schemas.openxmlformats.org/officeDocument/2006/relationships/hyperlink" Target="https://www.fastmarkets.com/events/global-grain-geneva-2025/agenda/?utm_source=chatgpt.com" TargetMode="External"/><Relationship Id="rId35" Type="http://schemas.openxmlformats.org/officeDocument/2006/relationships/hyperlink" Target="https://proceedings.neurips.cc/paper/2020/hash/6b493230205f780e1bc26945df7481e5-Abstract.html?utm_source=chatgpt.com" TargetMode="External"/><Relationship Id="rId56" Type="http://schemas.openxmlformats.org/officeDocument/2006/relationships/hyperlink" Target="https://2026-ibce.bbiconferences.com/ema/DisplayPage.aspx?pageId=Speaking_Opportunities&amp;utm_source=chatgpt.com" TargetMode="External"/><Relationship Id="rId77" Type="http://schemas.openxmlformats.org/officeDocument/2006/relationships/hyperlink" Target="https://www.gafta.com/events/commodity-trading-week-europe-london-6th-7th-may-2026/?utm_source=chatgpt.com" TargetMode="External"/><Relationship Id="rId100" Type="http://schemas.openxmlformats.org/officeDocument/2006/relationships/hyperlink" Target="https://www.usda.gov/about-usda/general-information/staff-offices/office-chief-economist/commodity-markets/wasde-report?utm_source=chatgpt.com" TargetMode="External"/><Relationship Id="rId8" Type="http://schemas.openxmlformats.org/officeDocument/2006/relationships/hyperlink" Target="https://www.fastmarkets.com/events/global-grain-geneva/agenda/?utm_source=chatgpt.com" TargetMode="External"/><Relationship Id="rId98" Type="http://schemas.openxmlformats.org/officeDocument/2006/relationships/hyperlink" Target="https://www.usda.gov/about-usda/general-information/staff-offices/office-chief-economist/commodity-markets/wasde-report?utm_source=chatgpt.com" TargetMode="External"/><Relationship Id="rId121" Type="http://schemas.openxmlformats.org/officeDocument/2006/relationships/hyperlink" Target="https://www.fastmarkets.com/events/global-grain-geneva/agenda/?utm_source=chatgpt.com" TargetMode="External"/><Relationship Id="rId142" Type="http://schemas.openxmlformats.org/officeDocument/2006/relationships/hyperlink" Target="https://arxiv.org/abs/2210.03629?utm_source=chatgpt.com" TargetMode="External"/><Relationship Id="rId163" Type="http://schemas.openxmlformats.org/officeDocument/2006/relationships/hyperlink" Target="https://www.fastmarkets.com/events/biofuels-and-feedstocks-americas/attendees/?utm_source=chatgpt.com" TargetMode="External"/><Relationship Id="rId184" Type="http://schemas.openxmlformats.org/officeDocument/2006/relationships/hyperlink" Target="https://2026-ibce.bbiconferences.com/?utm_source=chatgpt.com" TargetMode="External"/><Relationship Id="rId219" Type="http://schemas.openxmlformats.org/officeDocument/2006/relationships/hyperlink" Target="https://www.fao.org/statistics/statistics/statistical-capacity-development/agricultural-market-information-system/en?utm_source=chatgpt.com" TargetMode="External"/><Relationship Id="rId3" Type="http://schemas.openxmlformats.org/officeDocument/2006/relationships/settings" Target="settings.xml"/><Relationship Id="rId214" Type="http://schemas.openxmlformats.org/officeDocument/2006/relationships/hyperlink" Target="https://reg.eventmobi.com/23rd-international-marketing-conference-66th-annual-membership-meeting?utm_source=chatgpt.com" TargetMode="External"/><Relationship Id="rId25" Type="http://schemas.openxmlformats.org/officeDocument/2006/relationships/hyperlink" Target="https://proceedings.neurips.cc/paper/2020/hash/6b493230205f780e1bc26945df7481e5-Abstract.html?utm_source=chatgpt.com" TargetMode="External"/><Relationship Id="rId46" Type="http://schemas.openxmlformats.org/officeDocument/2006/relationships/hyperlink" Target="https://www.cleanfuelsconference.org/?utm_source=chatgpt.com" TargetMode="External"/><Relationship Id="rId67" Type="http://schemas.openxmlformats.org/officeDocument/2006/relationships/hyperlink" Target="https://eurograinevents.com/?utm_source=chatgpt.com" TargetMode="External"/><Relationship Id="rId116" Type="http://schemas.openxmlformats.org/officeDocument/2006/relationships/hyperlink" Target="https://fatsandoils.org/?utm_source=chatgpt.com" TargetMode="External"/><Relationship Id="rId137" Type="http://schemas.openxmlformats.org/officeDocument/2006/relationships/hyperlink" Target="https://docs.databricks.com/aws/en/lakehouse/medallion?utm_source=chatgpt.com" TargetMode="External"/><Relationship Id="rId158" Type="http://schemas.openxmlformats.org/officeDocument/2006/relationships/hyperlink" Target="https://proceedings.neurips.cc/paper/2020/hash/6b493230205f780e1bc26945df7481e5-Abstract.html?utm_source=chatgpt.com" TargetMode="External"/><Relationship Id="rId20" Type="http://schemas.openxmlformats.org/officeDocument/2006/relationships/hyperlink" Target="https://docs.databricks.com/aws/en/lakehouse/medallion?utm_source=chatgpt.com" TargetMode="External"/><Relationship Id="rId41" Type="http://schemas.openxmlformats.org/officeDocument/2006/relationships/hyperlink" Target="https://www.fastmarkets.com/events/global-grain-geneva/agenda/?utm_source=chatgpt.com" TargetMode="External"/><Relationship Id="rId62" Type="http://schemas.openxmlformats.org/officeDocument/2006/relationships/hyperlink" Target="https://www.aocs.org/event/2026-aocs-annual-meeting-expo/?utm_source=chatgpt.com" TargetMode="External"/><Relationship Id="rId83" Type="http://schemas.openxmlformats.org/officeDocument/2006/relationships/hyperlink" Target="https://docs.databricks.com/aws/en/lakehouse/medallion?utm_source=chatgpt.com" TargetMode="External"/><Relationship Id="rId88" Type="http://schemas.openxmlformats.org/officeDocument/2006/relationships/hyperlink" Target="https://www.spglobal.com/energy/en/events/conferences/geneva-sugar?utm_source=chatgpt.com" TargetMode="External"/><Relationship Id="rId111" Type="http://schemas.openxmlformats.org/officeDocument/2006/relationships/hyperlink" Target="https://arxiv.org/abs/2311.05232?utm_source=chatgpt.com" TargetMode="External"/><Relationship Id="rId132" Type="http://schemas.openxmlformats.org/officeDocument/2006/relationships/hyperlink" Target="https://www.fastmarkets.com/events/global-grain-geneva-2025/agenda/?utm_source=chatgpt.com" TargetMode="External"/><Relationship Id="rId153" Type="http://schemas.openxmlformats.org/officeDocument/2006/relationships/hyperlink" Target="https://www.usda.gov/about-usda/general-information/staff-offices/office-chief-economist/commodity-markets/wasde-report?utm_source=chatgpt.com" TargetMode="External"/><Relationship Id="rId174" Type="http://schemas.openxmlformats.org/officeDocument/2006/relationships/hyperlink" Target="https://cleanfuels.org/registration-now-open-for-2026-clean-fuels-conference/?utm_source=chatgpt.com" TargetMode="External"/><Relationship Id="rId179" Type="http://schemas.openxmlformats.org/officeDocument/2006/relationships/hyperlink" Target="https://bbiinternational.com/ema/DisplayPage.aspx?pageId=Events&amp;utm_source=chatgpt.com" TargetMode="External"/><Relationship Id="rId195" Type="http://schemas.openxmlformats.org/officeDocument/2006/relationships/hyperlink" Target="https://annualmeeting.aocs.org/?utm_source=chatgpt.com" TargetMode="External"/><Relationship Id="rId209" Type="http://schemas.openxmlformats.org/officeDocument/2006/relationships/hyperlink" Target="https://europe.commoditytradingweek.com/become-an-attendee?utm_source=chatgpt.com" TargetMode="External"/><Relationship Id="rId190" Type="http://schemas.openxmlformats.org/officeDocument/2006/relationships/hyperlink" Target="https://2026-ibce.bbiconferences.com/ema/DisplayPage.aspx?pageId=Speaking_Opportunities&amp;utm_source=chatgpt.com" TargetMode="External"/><Relationship Id="rId204" Type="http://schemas.openxmlformats.org/officeDocument/2006/relationships/hyperlink" Target="https://www.fastmarkets.com/events/global-grain-mena/?utm_source=chatgpt.com" TargetMode="External"/><Relationship Id="rId220" Type="http://schemas.openxmlformats.org/officeDocument/2006/relationships/hyperlink" Target="https://www.eia.gov/biofuels/renewable/capacity/?utm_source=chatgpt.com" TargetMode="External"/><Relationship Id="rId225" Type="http://schemas.openxmlformats.org/officeDocument/2006/relationships/hyperlink" Target="https://www.cmegroup.com/markets/agriculture/grains/corn.contractSpecs.html?utm_source=chatgpt.com" TargetMode="External"/><Relationship Id="rId15" Type="http://schemas.openxmlformats.org/officeDocument/2006/relationships/hyperlink" Target="https://www.fastmarkets.com/events/global-grain-geneva/agenda/?utm_source=chatgpt.com" TargetMode="External"/><Relationship Id="rId36" Type="http://schemas.openxmlformats.org/officeDocument/2006/relationships/hyperlink" Target="https://arxiv.org/abs/2311.05232?utm_source=chatgpt.com" TargetMode="External"/><Relationship Id="rId57" Type="http://schemas.openxmlformats.org/officeDocument/2006/relationships/hyperlink" Target="https://arxiv.org/abs/2311.05232?utm_source=chatgpt.com" TargetMode="External"/><Relationship Id="rId106" Type="http://schemas.openxmlformats.org/officeDocument/2006/relationships/hyperlink" Target="https://www.usda.gov/about-usda/general-information/staff-offices/office-chief-economist/commodity-markets/wasde-report?utm_source=chatgpt.com" TargetMode="External"/><Relationship Id="rId127" Type="http://schemas.openxmlformats.org/officeDocument/2006/relationships/hyperlink" Target="https://www.fastmarkets.com/events/biofuels-and-feedstocks/agenda/?utm_source=chatgpt.com" TargetMode="External"/><Relationship Id="rId10" Type="http://schemas.openxmlformats.org/officeDocument/2006/relationships/hyperlink" Target="https://fatsandoils.org/?utm_source=chatgpt.com" TargetMode="External"/><Relationship Id="rId31" Type="http://schemas.openxmlformats.org/officeDocument/2006/relationships/hyperlink" Target="https://docs.databricks.com/aws/en/lakehouse/medallion?utm_source=chatgpt.com" TargetMode="External"/><Relationship Id="rId52" Type="http://schemas.openxmlformats.org/officeDocument/2006/relationships/hyperlink" Target="https://few.bbiconferences.com/ema/DisplayPage.aspx?pageId=Contact&amp;utm_source=chatgpt.com" TargetMode="External"/><Relationship Id="rId73" Type="http://schemas.openxmlformats.org/officeDocument/2006/relationships/hyperlink" Target="https://proceedings.neurips.cc/paper/2020/hash/6b493230205f780e1bc26945df7481e5-Abstract.html?utm_source=chatgpt.com" TargetMode="External"/><Relationship Id="rId78" Type="http://schemas.openxmlformats.org/officeDocument/2006/relationships/hyperlink" Target="https://www.gafta.com/events/commodity-trading-week-europe-london-6th-7th-may-2026/?utm_source=chatgpt.com" TargetMode="External"/><Relationship Id="rId94" Type="http://schemas.openxmlformats.org/officeDocument/2006/relationships/hyperlink" Target="https://docs.databricks.com/aws/en/lakehouse/medallion?utm_source=chatgpt.com" TargetMode="External"/><Relationship Id="rId99" Type="http://schemas.openxmlformats.org/officeDocument/2006/relationships/hyperlink" Target="https://www.fao.org/statistics/statistics/statistical-capacity-development/agricultural-market-information-system/en?utm_source=chatgpt.com" TargetMode="External"/><Relationship Id="rId101" Type="http://schemas.openxmlformats.org/officeDocument/2006/relationships/hyperlink" Target="https://www.usda.gov/about-usda/general-information/staff-offices/office-chief-economist/commodity-markets/wasde-report?utm_source=chatgpt.com" TargetMode="External"/><Relationship Id="rId122" Type="http://schemas.openxmlformats.org/officeDocument/2006/relationships/hyperlink" Target="https://www.fastmarkets.com/events/global-grain-geneva/agenda/?utm_source=chatgpt.com" TargetMode="External"/><Relationship Id="rId143" Type="http://schemas.openxmlformats.org/officeDocument/2006/relationships/hyperlink" Target="https://arxiv.org/abs/2210.03629?utm_source=chatgpt.com" TargetMode="External"/><Relationship Id="rId148" Type="http://schemas.openxmlformats.org/officeDocument/2006/relationships/hyperlink" Target="https://www.usda.gov/about-usda/general-information/staff-offices/office-chief-economist/commodity-markets/wasde-report?utm_source=chatgpt.com" TargetMode="External"/><Relationship Id="rId164" Type="http://schemas.openxmlformats.org/officeDocument/2006/relationships/hyperlink" Target="https://www.fastmarkets.com/events/biofuels-and-feedstocks-americas/agenda-2/?utm_source=chatgpt.com" TargetMode="External"/><Relationship Id="rId169" Type="http://schemas.openxmlformats.org/officeDocument/2006/relationships/hyperlink" Target="https://www.cmegroup.com/markets/agriculture/grain-and-oilseed.html?utm_source=chatgpt.com" TargetMode="External"/><Relationship Id="rId185" Type="http://schemas.openxmlformats.org/officeDocument/2006/relationships/hyperlink" Target="https://2026-ibce.bbiconferences.com/?utm_source=chatgpt.com" TargetMode="External"/><Relationship Id="rId4" Type="http://schemas.openxmlformats.org/officeDocument/2006/relationships/webSettings" Target="webSettings.xml"/><Relationship Id="rId9" Type="http://schemas.openxmlformats.org/officeDocument/2006/relationships/hyperlink" Target="https://fatsandoils.org/upcoming-events/?utm_source=chatgpt.com" TargetMode="External"/><Relationship Id="rId180" Type="http://schemas.openxmlformats.org/officeDocument/2006/relationships/hyperlink" Target="https://bbiinternational.com/ema/DisplayPage.aspx?pageId=Events&amp;utm_source=chatgpt.com" TargetMode="External"/><Relationship Id="rId210" Type="http://schemas.openxmlformats.org/officeDocument/2006/relationships/hyperlink" Target="https://europe.commoditytradingweek.com/become-an-attendee?utm_source=chatgpt.com" TargetMode="External"/><Relationship Id="rId215" Type="http://schemas.openxmlformats.org/officeDocument/2006/relationships/hyperlink" Target="https://reg.eventmobi.com/23rd-international-marketing-conference-66th-annual-membership-meeting?utm_source=chatgpt.com" TargetMode="External"/><Relationship Id="rId26" Type="http://schemas.openxmlformats.org/officeDocument/2006/relationships/hyperlink" Target="https://arxiv.org/abs/2311.05232?utm_source=chatgpt.com" TargetMode="External"/><Relationship Id="rId47" Type="http://schemas.openxmlformats.org/officeDocument/2006/relationships/hyperlink" Target="https://cleanfuels.org/registration-now-open-for-2026-clean-fuels-conference/?utm_source=chatgpt.com" TargetMode="External"/><Relationship Id="rId68" Type="http://schemas.openxmlformats.org/officeDocument/2006/relationships/hyperlink" Target="https://eurograinevents.com/?utm_source=chatgpt.com" TargetMode="External"/><Relationship Id="rId89" Type="http://schemas.openxmlformats.org/officeDocument/2006/relationships/hyperlink" Target="https://www.spglobal.com/energy/en/events/conferences/geneva-sugar?utm_source=chatgpt.com" TargetMode="External"/><Relationship Id="rId112" Type="http://schemas.openxmlformats.org/officeDocument/2006/relationships/hyperlink" Target="https://arxiv.org/abs/2311.05232?utm_source=chatgpt.com" TargetMode="External"/><Relationship Id="rId133" Type="http://schemas.openxmlformats.org/officeDocument/2006/relationships/hyperlink" Target="https://www.fastmarkets.com/events/global-grain-geneva-2025/agenda/?utm_source=chatgpt.com" TargetMode="External"/><Relationship Id="rId154" Type="http://schemas.openxmlformats.org/officeDocument/2006/relationships/hyperlink" Target="https://www.epa.gov/renewable-fuel-standard/renewable-identification-numbers-rins-under-renewable-fuel-standard-program?utm_source=chatgpt.com" TargetMode="External"/><Relationship Id="rId175" Type="http://schemas.openxmlformats.org/officeDocument/2006/relationships/hyperlink" Target="https://graincomevents.com/?utm_source=chatgpt.com" TargetMode="External"/><Relationship Id="rId196" Type="http://schemas.openxmlformats.org/officeDocument/2006/relationships/hyperlink" Target="https://annualmeeting.aocs.org/?utm_source=chatgpt.com" TargetMode="External"/><Relationship Id="rId200" Type="http://schemas.openxmlformats.org/officeDocument/2006/relationships/hyperlink" Target="https://eurograinevents.com/?utm_source=chatgpt.com" TargetMode="External"/><Relationship Id="rId16" Type="http://schemas.openxmlformats.org/officeDocument/2006/relationships/hyperlink" Target="https://arxiv.org/abs/2311.05232?utm_source=chatgpt.com" TargetMode="External"/><Relationship Id="rId221" Type="http://schemas.openxmlformats.org/officeDocument/2006/relationships/hyperlink" Target="https://www.eia.gov/biofuels/renewable/capacity/?utm_source=chatgpt.com" TargetMode="External"/><Relationship Id="rId37" Type="http://schemas.openxmlformats.org/officeDocument/2006/relationships/hyperlink" Target="https://www.fastmarkets.com/events/global-grain-geneva/agenda/?utm_source=chatgpt.com" TargetMode="External"/><Relationship Id="rId58" Type="http://schemas.openxmlformats.org/officeDocument/2006/relationships/hyperlink" Target="https://www.igc.int/en/conference/confhome.aspx?utm_source=chatgpt.com" TargetMode="External"/><Relationship Id="rId79" Type="http://schemas.openxmlformats.org/officeDocument/2006/relationships/hyperlink" Target="https://europe.commoditytradingweek.com/become-an-attendee?utm_source=chatgpt.com" TargetMode="External"/><Relationship Id="rId102" Type="http://schemas.openxmlformats.org/officeDocument/2006/relationships/hyperlink" Target="https://www.epa.gov/renewable-fuel-standard/renewable-identification-numbers-rins-under-renewable-fuel-standard-program?utm_source=chatgpt.com" TargetMode="External"/><Relationship Id="rId123" Type="http://schemas.openxmlformats.org/officeDocument/2006/relationships/hyperlink" Target="https://www.fastmarkets.com/events/biofuels-and-feedstocks-americas/?utm_source=chatgpt.com" TargetMode="External"/><Relationship Id="rId144" Type="http://schemas.openxmlformats.org/officeDocument/2006/relationships/hyperlink" Target="https://www.ams.usda.gov/market-news?utm_source=chatgpt.com" TargetMode="External"/><Relationship Id="rId90" Type="http://schemas.openxmlformats.org/officeDocument/2006/relationships/hyperlink" Target="https://www.nist.gov/publications/artificial-intelligence-risk-management-framework-generative-artificial-intelligence?utm_source=chatgpt.com" TargetMode="External"/><Relationship Id="rId165" Type="http://schemas.openxmlformats.org/officeDocument/2006/relationships/hyperlink" Target="https://www.fastmarkets.com/events/biofuels-and-feedstocks-americas/agenda-2/?utm_source=chatgpt.com" TargetMode="External"/><Relationship Id="rId186" Type="http://schemas.openxmlformats.org/officeDocument/2006/relationships/hyperlink" Target="https://www.biomassconference.com/ema/DisplayPage.aspx?pageId=The_Conference&amp;utm_source=chatgpt.com" TargetMode="External"/><Relationship Id="rId211" Type="http://schemas.openxmlformats.org/officeDocument/2006/relationships/hyperlink" Target="https://www.argusmedia.com/en/events/conferences/north-american-biofuels-lcfs-carbon-markets-summit?utm_source=chatgpt.com" TargetMode="External"/><Relationship Id="rId27" Type="http://schemas.openxmlformats.org/officeDocument/2006/relationships/hyperlink" Target="https://www.fastmarkets.com/events/biofuels-and-feedstocks-americas/?utm_source=chatgpt.com" TargetMode="External"/><Relationship Id="rId48" Type="http://schemas.openxmlformats.org/officeDocument/2006/relationships/hyperlink" Target="https://cleanfuels.org/registration-now-open-for-2026-clean-fuels-conference/?utm_source=chatgpt.com" TargetMode="External"/><Relationship Id="rId69" Type="http://schemas.openxmlformats.org/officeDocument/2006/relationships/hyperlink" Target="https://2026-ibce.bbiconferences.com/ema/DisplayPage.aspx?pageId=Speaking_Opportunities&amp;utm_source=chatgpt.com" TargetMode="External"/><Relationship Id="rId113" Type="http://schemas.openxmlformats.org/officeDocument/2006/relationships/hyperlink" Target="https://fatsandoils.org/upcoming-events/?utm_source=chatgpt.com" TargetMode="External"/><Relationship Id="rId134" Type="http://schemas.openxmlformats.org/officeDocument/2006/relationships/hyperlink" Target="https://www.nist.gov/publications/artificial-intelligence-risk-management-framework-generative-artificial-intelligence?utm_source=chatgpt.com" TargetMode="External"/><Relationship Id="rId80" Type="http://schemas.openxmlformats.org/officeDocument/2006/relationships/hyperlink" Target="https://www.argusmedia.com/en/events/conferences/north-american-biofuels-lcfs-carbon-markets-summit?utm_source=chatgpt.com" TargetMode="External"/><Relationship Id="rId155" Type="http://schemas.openxmlformats.org/officeDocument/2006/relationships/hyperlink" Target="https://www.epa.gov/renewable-fuel-standard/renewable-identification-numbers-rins-under-renewable-fuel-standard-program?utm_source=chatgpt.com" TargetMode="External"/><Relationship Id="rId176" Type="http://schemas.openxmlformats.org/officeDocument/2006/relationships/hyperlink" Target="https://graincomevents.com/?utm_source=chatgpt.com" TargetMode="External"/><Relationship Id="rId197" Type="http://schemas.openxmlformats.org/officeDocument/2006/relationships/hyperlink" Target="https://annualmeeting.aocs.org/program/call-for-papers/?utm_source=chatgpt.com" TargetMode="External"/><Relationship Id="rId201" Type="http://schemas.openxmlformats.org/officeDocument/2006/relationships/hyperlink" Target="https://eurograinevents.com/?utm_source=chatgpt.com" TargetMode="External"/><Relationship Id="rId222" Type="http://schemas.openxmlformats.org/officeDocument/2006/relationships/hyperlink" Target="https://www.epa.gov/renewable-fuel-standard/overview-renewable-fuel-standard-program?utm_source=chatgpt.com" TargetMode="External"/><Relationship Id="rId17" Type="http://schemas.openxmlformats.org/officeDocument/2006/relationships/hyperlink" Target="https://fatsandoils.org/?utm_source=chatgpt.com" TargetMode="External"/><Relationship Id="rId38" Type="http://schemas.openxmlformats.org/officeDocument/2006/relationships/hyperlink" Target="https://www.usda.gov/about-usda/general-information/staff-offices/office-chief-economist/commodity-markets/wasde-report?utm_source=chatgpt.com" TargetMode="External"/><Relationship Id="rId59" Type="http://schemas.openxmlformats.org/officeDocument/2006/relationships/hyperlink" Target="https://www.igc.int/en/conference/confhome.aspx?utm_source=chatgpt.com" TargetMode="External"/><Relationship Id="rId103" Type="http://schemas.openxmlformats.org/officeDocument/2006/relationships/hyperlink" Target="https://www.eia.gov/biofuels/renewable/capacity/?utm_source=chatgpt.com" TargetMode="External"/><Relationship Id="rId124" Type="http://schemas.openxmlformats.org/officeDocument/2006/relationships/hyperlink" Target="https://www.fastmarkets.com/events/biofuels-and-feedstocks-americas/?utm_source=chatgpt.com" TargetMode="External"/><Relationship Id="rId70" Type="http://schemas.openxmlformats.org/officeDocument/2006/relationships/hyperlink" Target="https://graincomevents.com/?utm_source=chatgpt.com" TargetMode="External"/><Relationship Id="rId91" Type="http://schemas.openxmlformats.org/officeDocument/2006/relationships/hyperlink" Target="https://www.usda.gov/about-usda/general-information/staff-offices/office-chief-economist/commodity-markets/wasde-report?utm_source=chatgpt.com" TargetMode="External"/><Relationship Id="rId145" Type="http://schemas.openxmlformats.org/officeDocument/2006/relationships/hyperlink" Target="https://www.ams.usda.gov/market-news?utm_source=chatgpt.com" TargetMode="External"/><Relationship Id="rId166" Type="http://schemas.openxmlformats.org/officeDocument/2006/relationships/hyperlink" Target="https://www.nist.gov/itl/ai-risk-management-framework?utm_source=chatgpt.com" TargetMode="External"/><Relationship Id="rId187" Type="http://schemas.openxmlformats.org/officeDocument/2006/relationships/hyperlink" Target="https://www.biomassconference.com/ema/DisplayPage.aspx?pageId=The_Conference&amp;utm_source=chatgpt.com" TargetMode="External"/><Relationship Id="rId1" Type="http://schemas.openxmlformats.org/officeDocument/2006/relationships/numbering" Target="numbering.xml"/><Relationship Id="rId212" Type="http://schemas.openxmlformats.org/officeDocument/2006/relationships/hyperlink" Target="https://www.argusmedia.com/en/events/conferences/north-american-biofuels-lcfs-carbon-markets-summit?utm_source=chatgpt.com" TargetMode="External"/><Relationship Id="rId28" Type="http://schemas.openxmlformats.org/officeDocument/2006/relationships/hyperlink" Target="https://www.fastmarkets.com/events/biofuels-and-feedstocks-americas/attendees/?utm_source=chatgpt.com" TargetMode="External"/><Relationship Id="rId49" Type="http://schemas.openxmlformats.org/officeDocument/2006/relationships/hyperlink" Target="https://graincomevents.com/?utm_source=chatgpt.com" TargetMode="External"/><Relationship Id="rId114" Type="http://schemas.openxmlformats.org/officeDocument/2006/relationships/hyperlink" Target="https://fatsandoils.org/upcoming-events/?utm_source=chatgpt.com" TargetMode="External"/><Relationship Id="rId60" Type="http://schemas.openxmlformats.org/officeDocument/2006/relationships/hyperlink" Target="https://www.igc.int/en/conference/confhome.aspx?utm_source=chatgpt.com" TargetMode="External"/><Relationship Id="rId81" Type="http://schemas.openxmlformats.org/officeDocument/2006/relationships/hyperlink" Target="https://www.argusmedia.com/en/events/conferences/north-american-biofuels-lcfs-carbon-markets-summit?utm_source=chatgpt.com" TargetMode="External"/><Relationship Id="rId135" Type="http://schemas.openxmlformats.org/officeDocument/2006/relationships/hyperlink" Target="https://www.nist.gov/publications/artificial-intelligence-risk-management-framework-generative-artificial-intelligence?utm_source=chatgpt.com" TargetMode="External"/><Relationship Id="rId156" Type="http://schemas.openxmlformats.org/officeDocument/2006/relationships/hyperlink" Target="https://www.epa.gov/renewable-fuel-standard/renewable-identification-numbers-rins-under-renewable-fuel-standard-program?utm_source=chatgpt.com" TargetMode="External"/><Relationship Id="rId177" Type="http://schemas.openxmlformats.org/officeDocument/2006/relationships/hyperlink" Target="https://graincomevents.com/?utm_source=chatgpt.com" TargetMode="External"/><Relationship Id="rId198" Type="http://schemas.openxmlformats.org/officeDocument/2006/relationships/hyperlink" Target="https://annualmeeting.aocs.org/program/call-for-papers/?utm_source=chatgpt.com" TargetMode="External"/><Relationship Id="rId202" Type="http://schemas.openxmlformats.org/officeDocument/2006/relationships/hyperlink" Target="https://graincomevents.com/agenda/?utm_source=chatgpt.com" TargetMode="External"/><Relationship Id="rId223" Type="http://schemas.openxmlformats.org/officeDocument/2006/relationships/hyperlink" Target="https://www.epa.gov/renewable-fuel-standard/overview-renewable-fuel-standard-program?utm_source=chatgpt.com" TargetMode="External"/><Relationship Id="rId18" Type="http://schemas.openxmlformats.org/officeDocument/2006/relationships/hyperlink" Target="https://arxiv.org/abs/2311.05232?utm_source=chatgpt.com" TargetMode="External"/><Relationship Id="rId39" Type="http://schemas.openxmlformats.org/officeDocument/2006/relationships/hyperlink" Target="https://www.cmegroup.com/markets/agriculture/grain-and-oilseed.html?utm_source=chatgpt.com" TargetMode="External"/><Relationship Id="rId50" Type="http://schemas.openxmlformats.org/officeDocument/2006/relationships/hyperlink" Target="https://bbiinternational.com/ema/DisplayPage.aspx?pageId=Events&amp;utm_source=chatgpt.com" TargetMode="External"/><Relationship Id="rId104" Type="http://schemas.openxmlformats.org/officeDocument/2006/relationships/hyperlink" Target="https://www.epa.gov/renewable-fuel-standard/overview-renewable-fuel-standard-program?utm_source=chatgpt.com" TargetMode="External"/><Relationship Id="rId125" Type="http://schemas.openxmlformats.org/officeDocument/2006/relationships/hyperlink" Target="https://www.fastmarkets.com/events/biofuels-and-feedstocks-americas/?utm_source=chatgpt.com" TargetMode="External"/><Relationship Id="rId146" Type="http://schemas.openxmlformats.org/officeDocument/2006/relationships/hyperlink" Target="https://www.usda.gov/about-usda/general-information/staff-offices/office-chief-economist/commodity-markets/wasde-report?utm_source=chatgpt.com" TargetMode="External"/><Relationship Id="rId167" Type="http://schemas.openxmlformats.org/officeDocument/2006/relationships/hyperlink" Target="https://www.nist.gov/itl/ai-risk-management-framework?utm_source=chatgpt.com" TargetMode="External"/><Relationship Id="rId188" Type="http://schemas.openxmlformats.org/officeDocument/2006/relationships/hyperlink" Target="https://2026-ibce.bbiconferences.com/ema/DisplayPage.aspx?pageId=Speaking_Opportunities&amp;utm_source=chatgpt.com" TargetMode="External"/><Relationship Id="rId71" Type="http://schemas.openxmlformats.org/officeDocument/2006/relationships/hyperlink" Target="https://graincomevents.com/?utm_source=chatgpt.com" TargetMode="External"/><Relationship Id="rId92" Type="http://schemas.openxmlformats.org/officeDocument/2006/relationships/hyperlink" Target="https://docs.databricks.com/aws/en/lakehouse/medallion?utm_source=chatgpt.com" TargetMode="External"/><Relationship Id="rId213" Type="http://schemas.openxmlformats.org/officeDocument/2006/relationships/hyperlink" Target="https://reg.eventmobi.com/23rd-international-marketing-conference-66th-annual-membership-meeting?utm_source=chatgpt.com" TargetMode="External"/><Relationship Id="rId2" Type="http://schemas.openxmlformats.org/officeDocument/2006/relationships/styles" Target="styles.xml"/><Relationship Id="rId29" Type="http://schemas.openxmlformats.org/officeDocument/2006/relationships/hyperlink" Target="https://www.fastmarkets.com/events/biofuels-and-feedstocks-americas/agenda-2/?utm_source=chatgpt.com" TargetMode="External"/><Relationship Id="rId40" Type="http://schemas.openxmlformats.org/officeDocument/2006/relationships/hyperlink" Target="https://docs.databricks.com/aws/en/lakehouse/medallion?utm_source=chatgpt.com" TargetMode="External"/><Relationship Id="rId115" Type="http://schemas.openxmlformats.org/officeDocument/2006/relationships/hyperlink" Target="https://fatsandoils.org/upcoming-events/?utm_source=chatgpt.com" TargetMode="External"/><Relationship Id="rId136" Type="http://schemas.openxmlformats.org/officeDocument/2006/relationships/hyperlink" Target="https://www.nist.gov/publications/artificial-intelligence-risk-management-framework-generative-artificial-intelligence?utm_source=chatgpt.com" TargetMode="External"/><Relationship Id="rId157" Type="http://schemas.openxmlformats.org/officeDocument/2006/relationships/hyperlink" Target="https://www.epa.gov/renewable-fuel-standard/renewable-identification-numbers-rins-under-renewable-fuel-standard-program?utm_source=chatgpt.com" TargetMode="External"/><Relationship Id="rId178" Type="http://schemas.openxmlformats.org/officeDocument/2006/relationships/hyperlink" Target="https://graincomevents.com/?utm_source=chatgpt.com" TargetMode="External"/><Relationship Id="rId61" Type="http://schemas.openxmlformats.org/officeDocument/2006/relationships/hyperlink" Target="https://www.usda.gov/about-usda/general-information/staff-offices/office-chief-economist/commodity-markets/wasde-report?utm_source=chatgpt.com" TargetMode="External"/><Relationship Id="rId82" Type="http://schemas.openxmlformats.org/officeDocument/2006/relationships/hyperlink" Target="https://www.argusmedia.com/en/events/conferences/north-american-biofuels-lcfs-carbon-markets-summit?utm_source=chatgpt.com" TargetMode="External"/><Relationship Id="rId199" Type="http://schemas.openxmlformats.org/officeDocument/2006/relationships/hyperlink" Target="https://eurograinevents.com/?utm_source=chatgpt.com" TargetMode="External"/><Relationship Id="rId203" Type="http://schemas.openxmlformats.org/officeDocument/2006/relationships/hyperlink" Target="https://graincomevents.com/agenda/?utm_source=chatgpt.com" TargetMode="External"/><Relationship Id="rId19" Type="http://schemas.openxmlformats.org/officeDocument/2006/relationships/hyperlink" Target="https://www.nist.gov/publications/artificial-intelligence-risk-management-framework-generative-artificial-intelligence?utm_source=chatgpt.com" TargetMode="External"/><Relationship Id="rId224" Type="http://schemas.openxmlformats.org/officeDocument/2006/relationships/hyperlink" Target="https://www.cmegroup.com/markets/agriculture/grains/corn.contractSpecs.html?utm_source=chatgpt.com" TargetMode="External"/><Relationship Id="rId30" Type="http://schemas.openxmlformats.org/officeDocument/2006/relationships/hyperlink" Target="https://arxiv.org/abs/2311.05232?utm_source=chatgpt.com" TargetMode="External"/><Relationship Id="rId105" Type="http://schemas.openxmlformats.org/officeDocument/2006/relationships/hyperlink" Target="https://www.cmegroup.com/markets/agriculture/grains/corn.contractSpecs.html?utm_source=chatgpt.com" TargetMode="External"/><Relationship Id="rId126" Type="http://schemas.openxmlformats.org/officeDocument/2006/relationships/hyperlink" Target="https://www.fastmarkets.com/events/biofuels-and-feedstocks/agenda/?utm_source=chatgpt.com" TargetMode="External"/><Relationship Id="rId147" Type="http://schemas.openxmlformats.org/officeDocument/2006/relationships/hyperlink" Target="https://www.usda.gov/about-usda/general-information/staff-offices/office-chief-economist/commodity-markets/wasde-report?utm_source=chatgpt.com" TargetMode="External"/><Relationship Id="rId168" Type="http://schemas.openxmlformats.org/officeDocument/2006/relationships/hyperlink" Target="https://www.cmegroup.com/markets/agriculture/grain-and-oilseed.html?utm_source=chatgpt.com" TargetMode="External"/><Relationship Id="rId51" Type="http://schemas.openxmlformats.org/officeDocument/2006/relationships/hyperlink" Target="https://bbiinternational.com/ema/DisplayPage.aspx?pageId=Events&amp;utm_source=chatgpt.com" TargetMode="External"/><Relationship Id="rId72" Type="http://schemas.openxmlformats.org/officeDocument/2006/relationships/hyperlink" Target="https://graincomevents.com/agenda/?utm_source=chatgpt.com" TargetMode="External"/><Relationship Id="rId93" Type="http://schemas.openxmlformats.org/officeDocument/2006/relationships/hyperlink" Target="https://docs.databricks.com/aws/en/lakehouse/medallion?utm_source=chatgpt.com" TargetMode="External"/><Relationship Id="rId189" Type="http://schemas.openxmlformats.org/officeDocument/2006/relationships/hyperlink" Target="https://2026-ibce.bbiconferences.com/ema/DisplayPage.aspx?pageId=Speaking_Opportunities&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8792</Words>
  <Characters>58910</Characters>
  <Application>Microsoft Office Word</Application>
  <DocSecurity>0</DocSecurity>
  <Lines>1785</Lines>
  <Paragraphs>470</Paragraphs>
  <ScaleCrop>false</ScaleCrop>
  <Company/>
  <LinksUpToDate>false</LinksUpToDate>
  <CharactersWithSpaces>67232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2026-02-16T12:27:00Z</dcterms:created>
  <dcterms:modified xsi:type="dcterms:W3CDTF">2026-02-16T12:27:00Z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