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84A2" w14:textId="77777777" w:rsidR="00CF5A2C"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Architectural Review and Restructuring Strategy for the RLC-Agent Agricultural Economics Platform</w:t>
      </w:r>
    </w:p>
    <w:p w14:paraId="594627DF"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integration of Large Language Models into automated data engineering and agricultural econometric modeling represents a fundamental paradigm shift in quantitative market analysis. The RLC-Agent platform is designed to construct an autonomous, expert-level system capable of continuous supply-demand balance sheet updates, sophisticated insight generation, and data-backed narrative analysis. The ultimate objective of this architecture is to effectively replicate the holistic functions, analytical rigor, and reasoning capabilities of a senior agricultural economist.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Achieving this requires a seamless fusion of deterministic data pipelines, probabilistic econometric models, and generative artificial intelligence. However, the current development environment, residing within a generalized local workspace, exhibits significant organic sprawl. This operational drift has produced a highly fragmented architecture characterized by duplicate implementations, decentralized scheduling mechanisms, and misaligned repository structures.</w:t>
      </w:r>
      <w:r>
        <w:rPr>
          <w:rFonts w:ascii="Google Sans" w:eastAsia="Google Sans" w:hAnsi="Google Sans" w:cs="Google Sans"/>
          <w:color w:val="444746"/>
          <w:sz w:val="24"/>
          <w:szCs w:val="24"/>
          <w:vertAlign w:val="superscript"/>
        </w:rPr>
        <w:t>1</w:t>
      </w:r>
    </w:p>
    <w:p w14:paraId="73747ADD"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achieve the sophisticated operational maturity required for complex econometric forecasting and LLM orchestration, a comprehensive structural evolution is mandatory. The analysis of the existing infrastructure indicates that transitioning from the current fragmented workspace to a highly standardized, logically partitioned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will resolve existing technical debt, eliminate functional duplication, and establish a highly scalable foundation for advanced analytical paradigms.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restructuring is not merely a software engineering exercise; it is an absolute prerequisite for ensuring the economic validity of the system's outputs. Large Language Models are highly susceptible to hallucinations and logical degradation when forced to navigate disorganized data environments, conflicting operational paths, and poorly defined database schemas. By imposing rigorous architectural discipline, the platform can ensure that the AI agents operate upon a verified, single source of truth, thereby producing forecasts and policy analyses that meet the exacting standards of professional agricultural economics.</w:t>
      </w:r>
    </w:p>
    <w:p w14:paraId="569A5CDB" w14:textId="77777777" w:rsidR="00CF5A2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System Inventory and Functional Classification</w:t>
      </w:r>
    </w:p>
    <w:p w14:paraId="7AE91F09"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existing development environment contains an expansive collection of approximately 121 automated components, scripts, and legacy data artifacts. These critical assets are currently dispersed across loosely defined directories such as the global module, the dispatcher, the South American regional folders, the United States domestic folders, various tool directories, redundant schedulers, and ad-hoc script repositories. To propose a coherent target </w:t>
      </w:r>
      <w:r>
        <w:rPr>
          <w:rFonts w:ascii="Google Sans" w:eastAsia="Google Sans" w:hAnsi="Google Sans" w:cs="Google Sans"/>
          <w:color w:val="1F1F1F"/>
        </w:rPr>
        <w:lastRenderedPageBreak/>
        <w:t xml:space="preserve">architecture that eliminates redundancy, it </w:t>
      </w:r>
      <w:proofErr w:type="gramStart"/>
      <w:r>
        <w:rPr>
          <w:rFonts w:ascii="Google Sans" w:eastAsia="Google Sans" w:hAnsi="Google Sans" w:cs="Google Sans"/>
          <w:color w:val="1F1F1F"/>
        </w:rPr>
        <w:t>is first</w:t>
      </w:r>
      <w:proofErr w:type="gramEnd"/>
      <w:r>
        <w:rPr>
          <w:rFonts w:ascii="Google Sans" w:eastAsia="Google Sans" w:hAnsi="Google Sans" w:cs="Google Sans"/>
          <w:color w:val="1F1F1F"/>
        </w:rPr>
        <w:t xml:space="preserve"> necessary to comprehensively inventory and classify the current system components based on their fundamental capabilities, operational roles, and specific domain applications.</w:t>
      </w:r>
    </w:p>
    <w:p w14:paraId="5C58A889"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Core LLM Orchestration and Specialized Agents</w:t>
      </w:r>
    </w:p>
    <w:p w14:paraId="50466ACF"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central intelligence of the platform relies on </w:t>
      </w:r>
      <w:proofErr w:type="gramStart"/>
      <w:r>
        <w:rPr>
          <w:rFonts w:ascii="Google Sans" w:eastAsia="Google Sans" w:hAnsi="Google Sans" w:cs="Google Sans"/>
          <w:color w:val="1F1F1F"/>
        </w:rPr>
        <w:t>a sophisticated</w:t>
      </w:r>
      <w:proofErr w:type="gramEnd"/>
      <w:r>
        <w:rPr>
          <w:rFonts w:ascii="Google Sans" w:eastAsia="Google Sans" w:hAnsi="Google Sans" w:cs="Google Sans"/>
          <w:color w:val="1F1F1F"/>
        </w:rPr>
        <w:t xml:space="preserve"> master-agent architecture, primarily housed within the assistant and commodity pipeline directories. This tier is responsible for interpreting natural language commands, dynamically delegating complex tasks, maintaining persistent state across sessions, and ensuring the qualitative integrity of the final analytical output. The orchestration layer is the cognitive engine of the platform, transforming disparate data points into cohesive economic intelligence.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F5A2C" w14:paraId="4E86790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7C5546"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Component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0429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Functional Classification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682EE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Capability and Economic Relevance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BC0F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Current Location</w:t>
            </w:r>
          </w:p>
        </w:tc>
      </w:tr>
      <w:tr w:rsidR="00CF5A2C" w14:paraId="13FF82E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DCFAD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RLCMasterAgent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F33D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Orchestrator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C57C80"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Functions as the central delegation authority, managing task planning and execution control. It interprets high-level economic queries and routes them to specialized sub-agents.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4624D2"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rlc_master_agent</w:t>
            </w:r>
            <w:proofErr w:type="spellEnd"/>
            <w:r>
              <w:rPr>
                <w:rFonts w:ascii="Google Sans" w:eastAsia="Google Sans" w:hAnsi="Google Sans" w:cs="Google Sans"/>
                <w:color w:val="1F1F1F"/>
              </w:rPr>
              <w:t>/</w:t>
            </w:r>
          </w:p>
        </w:tc>
      </w:tr>
      <w:tr w:rsidR="00CF5A2C" w14:paraId="5B40F0F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DA01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MemoryManager</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2CFAB"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State Management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E5B9F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Handles persistent memory, Notion-backed logging, and session state. This is critical for maintaining context in long-term economic forecasting and tracking historical market narratives.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D548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src/agents/core/</w:t>
            </w:r>
          </w:p>
        </w:tc>
      </w:tr>
      <w:tr w:rsidR="00CF5A2C" w14:paraId="29CED03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6A4FA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lastRenderedPageBreak/>
              <w:t>VerificationAgent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FDFB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Quality Assurance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B7367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Executes post-loading programmatic checks, conducts tone reviews, and identifies data discrepancies. It acts as the primary defense against LLM hallucination and data corruption.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16725"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rlc_master_agent</w:t>
            </w:r>
            <w:proofErr w:type="spellEnd"/>
            <w:r>
              <w:rPr>
                <w:rFonts w:ascii="Google Sans" w:eastAsia="Google Sans" w:hAnsi="Google Sans" w:cs="Google Sans"/>
                <w:color w:val="1F1F1F"/>
              </w:rPr>
              <w:t>/</w:t>
            </w:r>
          </w:p>
        </w:tc>
      </w:tr>
      <w:tr w:rsidR="00CF5A2C" w14:paraId="035164C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64BF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DataAgent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6CD38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Retrieval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B3CC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Interfaces directly with external APIs, including the USDA and the US Census Bureau, to execute ad-hoc statistical queries required for immediate market analysis.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587A1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rlc_master_agent</w:t>
            </w:r>
            <w:proofErr w:type="spellEnd"/>
            <w:r>
              <w:rPr>
                <w:rFonts w:ascii="Google Sans" w:eastAsia="Google Sans" w:hAnsi="Google Sans" w:cs="Google Sans"/>
                <w:color w:val="1F1F1F"/>
              </w:rPr>
              <w:t>/</w:t>
            </w:r>
          </w:p>
        </w:tc>
      </w:tr>
      <w:tr w:rsidR="00CF5A2C" w14:paraId="0C2B93A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931F1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EmailAgent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1DCE6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Communication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3B2E9"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Manages the triage of incoming Gmail messages. In an economic context, this allows the system to monitor incoming market intelligence, broker reports, and institutional research.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373B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rlc_master_agent</w:t>
            </w:r>
            <w:proofErr w:type="spellEnd"/>
            <w:r>
              <w:rPr>
                <w:rFonts w:ascii="Google Sans" w:eastAsia="Google Sans" w:hAnsi="Google Sans" w:cs="Google Sans"/>
                <w:color w:val="1F1F1F"/>
              </w:rPr>
              <w:t>/</w:t>
            </w:r>
          </w:p>
        </w:tc>
      </w:tr>
      <w:tr w:rsidR="00CF5A2C" w14:paraId="0F82F0F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CCC9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WeatherIntelligenceAgent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13238"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Specialized Analytics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049E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Parses complex communications from </w:t>
            </w:r>
            <w:r>
              <w:rPr>
                <w:rFonts w:ascii="Google Sans" w:eastAsia="Google Sans" w:hAnsi="Google Sans" w:cs="Google Sans"/>
                <w:color w:val="1F1F1F"/>
              </w:rPr>
              <w:lastRenderedPageBreak/>
              <w:t>meteorologists, synthesizes the agronomic implications of weather patterns, and generates actionable market briefs regarding potential yield impacts.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058F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dev/</w:t>
            </w:r>
          </w:p>
        </w:tc>
      </w:tr>
      <w:tr w:rsidR="00CF5A2C" w14:paraId="6362555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26A9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MarketResearchAgent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A064F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Analytical Reporting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4F5651"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Compiles foundational market analysis and generates qualitative narratives. It synthesizes quantitative outputs into professional economic commentary.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F2670"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commodity_pipeline</w:t>
            </w:r>
            <w:proofErr w:type="spellEnd"/>
            <w:r>
              <w:rPr>
                <w:rFonts w:ascii="Google Sans" w:eastAsia="Google Sans" w:hAnsi="Google Sans" w:cs="Google Sans"/>
                <w:color w:val="1F1F1F"/>
              </w:rPr>
              <w:t>/</w:t>
            </w:r>
          </w:p>
        </w:tc>
      </w:tr>
      <w:tr w:rsidR="00CF5A2C" w14:paraId="43E266F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04BA9"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InternalDataAgent</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136B8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Reporting Support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22CA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gramStart"/>
            <w:r>
              <w:rPr>
                <w:rFonts w:ascii="Google Sans" w:eastAsia="Google Sans" w:hAnsi="Google Sans" w:cs="Google Sans"/>
                <w:color w:val="1F1F1F"/>
              </w:rPr>
              <w:t>Caches</w:t>
            </w:r>
            <w:proofErr w:type="gramEnd"/>
            <w:r>
              <w:rPr>
                <w:rFonts w:ascii="Google Sans" w:eastAsia="Google Sans" w:hAnsi="Google Sans" w:cs="Google Sans"/>
                <w:color w:val="1F1F1F"/>
              </w:rPr>
              <w:t xml:space="preserve"> and retrieves proprietary internal market data specifically required for the generation of standardized weekly reports, ensuring consistency in published analytics.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71AF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commodity_pipeline</w:t>
            </w:r>
            <w:proofErr w:type="spellEnd"/>
            <w:r>
              <w:rPr>
                <w:rFonts w:ascii="Google Sans" w:eastAsia="Google Sans" w:hAnsi="Google Sans" w:cs="Google Sans"/>
                <w:color w:val="1F1F1F"/>
              </w:rPr>
              <w:t>/</w:t>
            </w:r>
          </w:p>
        </w:tc>
      </w:tr>
      <w:tr w:rsidR="00CF5A2C" w14:paraId="52CD395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943D6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ApprovalManager</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5BE4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Human-in-the-</w:t>
            </w:r>
            <w:r>
              <w:rPr>
                <w:rFonts w:ascii="Google Sans" w:eastAsia="Google Sans" w:hAnsi="Google Sans" w:cs="Google Sans"/>
                <w:color w:val="1F1F1F"/>
              </w:rPr>
              <w:lastRenderedPageBreak/>
              <w:t>Loop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61029B"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Manages approval </w:t>
            </w:r>
            <w:r>
              <w:rPr>
                <w:rFonts w:ascii="Google Sans" w:eastAsia="Google Sans" w:hAnsi="Google Sans" w:cs="Google Sans"/>
                <w:color w:val="1F1F1F"/>
              </w:rPr>
              <w:lastRenderedPageBreak/>
              <w:t>workflows, allowing human economists to review, override, or authorize complex analytical outputs before they are finalized or distributed.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ADCE3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lastRenderedPageBreak/>
              <w:t>rlc_master_agent</w:t>
            </w:r>
            <w:proofErr w:type="spellEnd"/>
            <w:r>
              <w:rPr>
                <w:rFonts w:ascii="Google Sans" w:eastAsia="Google Sans" w:hAnsi="Google Sans" w:cs="Google Sans"/>
                <w:color w:val="1F1F1F"/>
              </w:rPr>
              <w:t>/</w:t>
            </w:r>
          </w:p>
        </w:tc>
      </w:tr>
    </w:tbl>
    <w:p w14:paraId="261DE09A" w14:textId="77777777" w:rsidR="00CF5A2C"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Global and Regional Data Collection Pipelines</w:t>
      </w:r>
    </w:p>
    <w:p w14:paraId="633E428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substantial portion of the codebase is dedicated to the automated extraction of agricultural statistics, pricing data, and meteorological information. These collector modules form the foundational layer of the data ingestion pipeline, drawing from a vast array of federal, international, and commercial APIs. The accuracy and timeliness of these collectors dictate the ultimate efficacy of the platform's predictive models. The global agricultural market is deeply interconnected; a weather event in Mato Grosso directly impacts the pricing models for the United States Corn Belt. Therefore, the architectural organization of these collectors is of paramount importance.</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F5A2C" w14:paraId="7ADC601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BBD1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Geographic Scope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E1F918"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Source Agency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DCA1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Component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F7D72"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Description and Agronomic Application</w:t>
            </w:r>
          </w:p>
        </w:tc>
      </w:tr>
      <w:tr w:rsidR="00CF5A2C" w14:paraId="0CDB907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059B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Global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5E4381"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FAO / NOAA / NASA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0821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faostat_collector.py, ndvi_collector.py, gefs_ensemble_collector.py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9C224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Collects comprehensive global food statistics, remote sensing vegetation health indices (NDVI), and probabilistic weather ensembles necessary for macroeconomic baselining and yield risk assessment.</w:t>
            </w:r>
          </w:p>
        </w:tc>
      </w:tr>
      <w:tr w:rsidR="00CF5A2C" w14:paraId="447E1C3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16E75"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South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3760D0"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CONAB (Brazil)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9CB0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conab_collector.py, conab_soybean_agent.py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E9F9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Gathers official monthly crop harvest estimates and critical supply/demand balances from the Brazilian government, tracking the world's largest soybean exporter.</w:t>
            </w:r>
          </w:p>
        </w:tc>
      </w:tr>
      <w:tr w:rsidR="00CF5A2C" w14:paraId="58A0BA2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0DE750"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South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FC6C5"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IMEA (Brazil)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29642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imea_collector.py, imea_soybean_indicator_agent.py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F5393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Tracks highly localized crop progress, production costs, and daily soybean price indicators specifically for the state of Mato Grosso, providing granular insight into Brazilian agricultural economics.</w:t>
            </w:r>
          </w:p>
        </w:tc>
      </w:tr>
      <w:tr w:rsidR="00CF5A2C" w14:paraId="1DE8B7B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2A62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South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D68FB"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ANEC (Brazil)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31493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anec_collector.py, brazil_lineup_agent.py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D2894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Monitors weekly accumulated export volumes and tracks scheduled port vessel lineups, providing leading indicators for global trade flows and logistical bottlenecks.</w:t>
            </w:r>
          </w:p>
        </w:tc>
      </w:tr>
      <w:tr w:rsidR="00CF5A2C" w14:paraId="7961E7C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CC25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South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1976A6"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INDEC / DANE / </w:t>
            </w:r>
            <w:r>
              <w:rPr>
                <w:rFonts w:ascii="Google Sans" w:eastAsia="Google Sans" w:hAnsi="Google Sans" w:cs="Google Sans"/>
                <w:color w:val="1F1F1F"/>
              </w:rPr>
              <w:lastRenderedPageBreak/>
              <w:t>DNA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E9AAB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argentina_agent.py, colombia_agent.py, </w:t>
            </w:r>
            <w:r>
              <w:rPr>
                <w:rFonts w:ascii="Google Sans" w:eastAsia="Google Sans" w:hAnsi="Google Sans" w:cs="Google Sans"/>
                <w:color w:val="1F1F1F"/>
              </w:rPr>
              <w:lastRenderedPageBreak/>
              <w:t>uruguay_agent.py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47750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Aggregates regional customs </w:t>
            </w:r>
            <w:r>
              <w:rPr>
                <w:rFonts w:ascii="Google Sans" w:eastAsia="Google Sans" w:hAnsi="Google Sans" w:cs="Google Sans"/>
                <w:color w:val="1F1F1F"/>
              </w:rPr>
              <w:lastRenderedPageBreak/>
              <w:t>and foreign trade data from Argentina, Colombia, and Uruguay, mapping the comprehensive trade matrix of the South American continent.</w:t>
            </w:r>
          </w:p>
        </w:tc>
      </w:tr>
      <w:tr w:rsidR="00CF5A2C" w14:paraId="27C2581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06CE9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United States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10B6A"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USDA NASS / ERS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8FCC0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usda_nass_collector.py, ers_feed_grains_collector.py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41A51"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Extracts high-frequency crop condition ratings, yield estimates, and comprehensive feed grain tables critical for modeling domestic livestock feed demand and grain availability.</w:t>
            </w:r>
          </w:p>
        </w:tc>
      </w:tr>
      <w:tr w:rsidR="00CF5A2C" w14:paraId="76DC250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BB1D56"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United States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614D0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USDA FAS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5B945"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backfill_fas_psd.py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318C32"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Pulls historical Production, Supply, and Distribution data, establishing the foundational time-series datasets required for training machine learning algorithms and baseline econometric models.</w:t>
            </w:r>
          </w:p>
        </w:tc>
      </w:tr>
      <w:tr w:rsidR="00CF5A2C" w14:paraId="1C119A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4F5E6"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United States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DA64A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 Census Bureau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551EE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pull_census_trade.py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E9C5F"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Downloads high-fidelity monthly import and export </w:t>
            </w:r>
            <w:r>
              <w:rPr>
                <w:rFonts w:ascii="Google Sans" w:eastAsia="Google Sans" w:hAnsi="Google Sans" w:cs="Google Sans"/>
                <w:color w:val="1F1F1F"/>
              </w:rPr>
              <w:lastRenderedPageBreak/>
              <w:t>schedule data, allowing the system to track real-time shifts in domestic trade policy and international demand.</w:t>
            </w:r>
          </w:p>
        </w:tc>
      </w:tr>
      <w:tr w:rsidR="00CF5A2C" w14:paraId="1595818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1CC6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North America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BB050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Statistics Canada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D8CB3"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pull_statcan_trade.py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BAC1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Secures official trade data from Canada, maintaining visibility into cross-border agricultural flows, particularly concerning wheat, canola, and specialized grain markets.</w:t>
            </w:r>
          </w:p>
        </w:tc>
      </w:tr>
    </w:tbl>
    <w:p w14:paraId="239751CB" w14:textId="77777777" w:rsidR="00CF5A2C"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Biofuels and Energy Market Integration</w:t>
      </w:r>
    </w:p>
    <w:p w14:paraId="7F29973C"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Modern agricultural economics is inextricably linked to energy markets. A significant percentage of the global row crop harvest is diverted to the production of ethanol, biodiesel, renewable diesel, and sustainable aviation fuel (SAF). The platform includes highly specialized agents designed to monitor these critical industrial pathways, mapping the complex relationship between fossil fuel economics, environmental regulations, and agricultural commodity prices.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F5A2C" w14:paraId="65D5C71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9BC55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Market Sector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F88A1"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Source Agency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596E7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Component Name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FAD3C"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Description and Economic Relevance</w:t>
            </w:r>
          </w:p>
        </w:tc>
      </w:tr>
      <w:tr w:rsidR="00CF5A2C" w14:paraId="5B8897D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48817"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Biofuels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25AB0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 EPA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20039D"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epa_pathway_collector.py, export_pathway_spreadsheet.py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377B79"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Scrapes, downloads, and parses highly technical EPA </w:t>
            </w:r>
            <w:r>
              <w:rPr>
                <w:rFonts w:ascii="Google Sans" w:eastAsia="Google Sans" w:hAnsi="Google Sans" w:cs="Google Sans"/>
                <w:color w:val="1F1F1F"/>
              </w:rPr>
              <w:lastRenderedPageBreak/>
              <w:t>renewable fuel pathway determination letters. This monitors regulatory approvals that dictate future feedstock demand.</w:t>
            </w:r>
          </w:p>
        </w:tc>
      </w:tr>
      <w:tr w:rsidR="00CF5A2C" w14:paraId="4DE7C4A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5E681"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Biofuels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89CB6"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 EPA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0AE48"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emts_csv_loader.py, excel_emts_updater.py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2AFAE4"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Ingests EPA Moderated Transaction System (EMTS) data, tracking the generation and retirement of Renewable Identification Numbers (RINs), which serve as the primary compliance mechanism and price driver for renewable fuels.</w:t>
            </w:r>
          </w:p>
        </w:tc>
      </w:tr>
      <w:tr w:rsidR="00CF5A2C" w14:paraId="31FE8BC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14ED5"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Energy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A1260"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US EIA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CFD446" w14:textId="77777777" w:rsidR="00CF5A2C" w:rsidRPr="00FB17EC" w:rsidRDefault="00000000">
            <w:pPr>
              <w:pBdr>
                <w:top w:val="nil"/>
                <w:left w:val="nil"/>
                <w:bottom w:val="nil"/>
                <w:right w:val="nil"/>
                <w:between w:val="nil"/>
              </w:pBdr>
              <w:spacing w:before="120" w:after="120" w:line="275" w:lineRule="auto"/>
              <w:rPr>
                <w:rFonts w:ascii="Google Sans" w:eastAsia="Google Sans" w:hAnsi="Google Sans" w:cs="Google Sans"/>
                <w:color w:val="1F1F1F"/>
                <w:lang w:val="pt-BR"/>
              </w:rPr>
            </w:pPr>
            <w:r w:rsidRPr="00FB17EC">
              <w:rPr>
                <w:rFonts w:ascii="Google Sans" w:eastAsia="Google Sans" w:hAnsi="Google Sans" w:cs="Google Sans"/>
                <w:color w:val="1F1F1F"/>
                <w:lang w:val="pt-BR"/>
              </w:rPr>
              <w:t>eia_biofuels_collector.py, eia_petroleum_agent.py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F74BE" w14:textId="77777777" w:rsidR="00CF5A2C"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Downloads Form 819 capacity data and petroleum statistics. This tracks the physical processing capacity and actual feedstock consumption of the renewable energy sector, linking crude oil dynamics to vegetable oil and </w:t>
            </w:r>
            <w:r>
              <w:rPr>
                <w:rFonts w:ascii="Google Sans" w:eastAsia="Google Sans" w:hAnsi="Google Sans" w:cs="Google Sans"/>
                <w:color w:val="1F1F1F"/>
              </w:rPr>
              <w:lastRenderedPageBreak/>
              <w:t>corn demand.</w:t>
            </w:r>
          </w:p>
        </w:tc>
      </w:tr>
    </w:tbl>
    <w:p w14:paraId="0D44CA07" w14:textId="77777777" w:rsidR="00CF5A2C"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Data Transformation, Loading, and Storage Infrastructure</w:t>
      </w:r>
    </w:p>
    <w:p w14:paraId="230730A2"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transformation layer is responsible for converting raw, disparate JSON payloads and unstructured CSV extracts into strictly typed, structured relational tables. These tables must be optimized simultaneously for complex LLM querying, traditional econometric time-series analysis, and Business Intelligence (BI) visualization. The current architecture utilizes a Medallion pattern, segmenting data into </w:t>
      </w:r>
      <w:proofErr w:type="gramStart"/>
      <w:r>
        <w:rPr>
          <w:rFonts w:ascii="Google Sans" w:eastAsia="Google Sans" w:hAnsi="Google Sans" w:cs="Google Sans"/>
          <w:color w:val="1F1F1F"/>
        </w:rPr>
        <w:t>Bronze, Silver, and Gold</w:t>
      </w:r>
      <w:proofErr w:type="gramEnd"/>
      <w:r>
        <w:rPr>
          <w:rFonts w:ascii="Google Sans" w:eastAsia="Google Sans" w:hAnsi="Google Sans" w:cs="Google Sans"/>
          <w:color w:val="1F1F1F"/>
        </w:rPr>
        <w:t xml:space="preserve"> tiers, combined with local SQLite prototyping and a planned migration to a robust PostgreSQL cloud deployment.</w:t>
      </w:r>
    </w:p>
    <w:p w14:paraId="65E17245"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ingestion utilities form the first stage of this pipeline. Scripts such as the PDF parser for the monthly USDA WASDE report and the EMTS transaction loaders facilitate the staging of raw data. Once staged, transformation operations manipulate this raw data to create actionable economic metrics. Modules like the wheat silver transformations script calculate complex derived fields, such as historical stocks-to-use ratios, transitioning the data from the unrefined </w:t>
      </w:r>
      <w:proofErr w:type="gramStart"/>
      <w:r>
        <w:rPr>
          <w:rFonts w:ascii="Google Sans" w:eastAsia="Google Sans" w:hAnsi="Google Sans" w:cs="Google Sans"/>
          <w:color w:val="1F1F1F"/>
        </w:rPr>
        <w:t>Bronze</w:t>
      </w:r>
      <w:proofErr w:type="gramEnd"/>
      <w:r>
        <w:rPr>
          <w:rFonts w:ascii="Google Sans" w:eastAsia="Google Sans" w:hAnsi="Google Sans" w:cs="Google Sans"/>
          <w:color w:val="1F1F1F"/>
        </w:rPr>
        <w:t xml:space="preserve"> layer to the analytical </w:t>
      </w:r>
      <w:proofErr w:type="gramStart"/>
      <w:r>
        <w:rPr>
          <w:rFonts w:ascii="Google Sans" w:eastAsia="Google Sans" w:hAnsi="Google Sans" w:cs="Google Sans"/>
          <w:color w:val="1F1F1F"/>
        </w:rPr>
        <w:t>Silver</w:t>
      </w:r>
      <w:proofErr w:type="gramEnd"/>
      <w:r>
        <w:rPr>
          <w:rFonts w:ascii="Google Sans" w:eastAsia="Google Sans" w:hAnsi="Google Sans" w:cs="Google Sans"/>
          <w:color w:val="1F1F1F"/>
        </w:rPr>
        <w:t xml:space="preserve"> layer.</w:t>
      </w:r>
    </w:p>
    <w:p w14:paraId="14E99C7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database management tools define the structural integrity of the system. Scripts that initialize the database schemas and establish the </w:t>
      </w:r>
      <w:proofErr w:type="gramStart"/>
      <w:r>
        <w:rPr>
          <w:rFonts w:ascii="Google Sans" w:eastAsia="Google Sans" w:hAnsi="Google Sans" w:cs="Google Sans"/>
          <w:color w:val="1F1F1F"/>
        </w:rPr>
        <w:t>Gold</w:t>
      </w:r>
      <w:proofErr w:type="gramEnd"/>
      <w:r>
        <w:rPr>
          <w:rFonts w:ascii="Google Sans" w:eastAsia="Google Sans" w:hAnsi="Google Sans" w:cs="Google Sans"/>
          <w:color w:val="1F1F1F"/>
        </w:rPr>
        <w:t xml:space="preserve"> layer views create the optimized environments necessary for rapid data retrieval. Finally, the export and visualization components push this finalized data into dashboard-ready formats. Tools that export cached data for Power BI integration or update legacy Excel trade spreadsheets ensure that the platform's outputs are accessible to human analysts operating outside of the LLM environment.</w:t>
      </w:r>
    </w:p>
    <w:p w14:paraId="6124E53C"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Orchestration, Scheduling, and Dispatch Mechanisms</w:t>
      </w:r>
    </w:p>
    <w:p w14:paraId="5F7B24B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automation of the platform's data engineering pipeline is currently governed by a highly fractured array of scheduling mechanisms. These systems are designed to trigger data collection events strictly aligned with the complex release calendars of global agricultural agencies, ensuring that the platform's models react immediately to new market information.</w:t>
      </w:r>
    </w:p>
    <w:p w14:paraId="123D1665"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current environment features a daemon-based background dispatch system utilizing the </w:t>
      </w:r>
      <w:proofErr w:type="spellStart"/>
      <w:r>
        <w:rPr>
          <w:rFonts w:ascii="Google Sans" w:eastAsia="Google Sans" w:hAnsi="Google Sans" w:cs="Google Sans"/>
          <w:color w:val="1F1F1F"/>
        </w:rPr>
        <w:t>APScheduler</w:t>
      </w:r>
      <w:proofErr w:type="spellEnd"/>
      <w:r>
        <w:rPr>
          <w:rFonts w:ascii="Google Sans" w:eastAsia="Google Sans" w:hAnsi="Google Sans" w:cs="Google Sans"/>
          <w:color w:val="1F1F1F"/>
        </w:rPr>
        <w:t xml:space="preserve"> library, which runs as a continuous service to manage the execution of collectors defined within a centralized registry. Concurrently, separate task scheduling scripts coordinate specific data pulls based on detailed USDA and international reporting schedules. Furthermore, an entirely separate operating system-level configuration utilizes the Windows Task Scheduler to manage agent execution outside of the Python runtime environment. This multiplicity of scheduling paradigms represents a critical architectural vulnerability that must be addressed to ensure system stability.</w:t>
      </w:r>
    </w:p>
    <w:p w14:paraId="4C90C8DA" w14:textId="77777777" w:rsidR="00CF5A2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Architectural Pathology: The Duplication Crisis and Operational Drift</w:t>
      </w:r>
    </w:p>
    <w:p w14:paraId="69763AD2"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critical and exhaustive evaluation of the existing workspace reveals pervasive code duplication and severe structural inconsistencies. This fragmentation is not merely an issue of software aesthetics; it introduces substantial operational risks, significantly impedes system reliability, and creates immense friction in deployment and maintenance cycles. For an LLM-driven platform, this architectural pathology is uniquely destructive. AI agents rely on clear, unambiguous </w:t>
      </w:r>
      <w:proofErr w:type="gramStart"/>
      <w:r>
        <w:rPr>
          <w:rFonts w:ascii="Google Sans" w:eastAsia="Google Sans" w:hAnsi="Google Sans" w:cs="Google Sans"/>
          <w:color w:val="1F1F1F"/>
        </w:rPr>
        <w:t>pathing</w:t>
      </w:r>
      <w:proofErr w:type="gramEnd"/>
      <w:r>
        <w:rPr>
          <w:rFonts w:ascii="Google Sans" w:eastAsia="Google Sans" w:hAnsi="Google Sans" w:cs="Google Sans"/>
          <w:color w:val="1F1F1F"/>
        </w:rPr>
        <w:t xml:space="preserve"> to locate tools, execute code, and retrieve data. When presented with multiple, conflicting implementations of the same capability, the agent's deterministic reasoning breaks down, leading to unpredictable execution and compromised economic analysis.</w:t>
      </w:r>
    </w:p>
    <w:p w14:paraId="77BB6C24"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Dual Implementation and State Desynchronization Problem</w:t>
      </w:r>
    </w:p>
    <w:p w14:paraId="6C30A9D2"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most severe architectural vulnerability within the platform is the widespread presence of parallel codebases executing identical capabilities. The repository is currently caught in an incomplete transition. It is actively attempting to move legacy operational modules into a new, standardized architectural layout, but this process has stalled, resulting in the documentation of over 126 redundant Python files.</w:t>
      </w:r>
      <w:r>
        <w:rPr>
          <w:rFonts w:ascii="Google Sans" w:eastAsia="Google Sans" w:hAnsi="Google Sans" w:cs="Google Sans"/>
          <w:color w:val="444746"/>
          <w:sz w:val="24"/>
          <w:szCs w:val="24"/>
          <w:vertAlign w:val="superscript"/>
        </w:rPr>
        <w:t>1</w:t>
      </w:r>
    </w:p>
    <w:p w14:paraId="21EFCA29"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primary manifestation of this crisis is the complete bifurcation of the data collector modules. For example, the critical capability to collect USDA National Agricultural Statistics Service data currently exists in two entirely separate locations within the file system: the legacy operational path and the newly consolidated target path.</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duplication extends across the entirety of the United States and global collector ecosystem, impacting dozens of critical data feeds.</w:t>
      </w:r>
      <w:r>
        <w:rPr>
          <w:rFonts w:ascii="Google Sans" w:eastAsia="Google Sans" w:hAnsi="Google Sans" w:cs="Google Sans"/>
          <w:color w:val="444746"/>
          <w:sz w:val="24"/>
          <w:szCs w:val="24"/>
          <w:vertAlign w:val="superscript"/>
        </w:rPr>
        <w:t>1</w:t>
      </w:r>
    </w:p>
    <w:p w14:paraId="072B5DE4"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When an operational script or an autonomous LLM agent requires data, it must navigate this fractured environment. Often, it may inadvertently invoke an outdated legacy file rather than the optimized, secured target module. This causes highly unpredictable pipeline behavior. Furthermore, this structural drift guarantees that security updates, logic corrections, or API endpoint changes applied to one module are not reflected in its duplicate. This results in severe data desynchronization and a total breakdown of the single-source-of-truth principle.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An economic forecast generated using an outdated API endpoint is functionally worthless, highlighting the critical need for immediate structural consolidation.</w:t>
      </w:r>
    </w:p>
    <w:p w14:paraId="25BDA2E3"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Scheduling Redundancy and Resource Contention</w:t>
      </w:r>
    </w:p>
    <w:p w14:paraId="771E94A3"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system's execution timing logic suffers from identical fragmentation, creating a high-risk environment for resource contention and data corruption. The responsibility for triggering </w:t>
      </w:r>
      <w:r>
        <w:rPr>
          <w:rFonts w:ascii="Google Sans" w:eastAsia="Google Sans" w:hAnsi="Google Sans" w:cs="Google Sans"/>
          <w:color w:val="1F1F1F"/>
        </w:rPr>
        <w:lastRenderedPageBreak/>
        <w:t>automated tasks is currently fractured across multiple paradigms, directories, and operating system layers.</w:t>
      </w:r>
    </w:p>
    <w:p w14:paraId="6B391791"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Within the dispatcher directory, an </w:t>
      </w:r>
      <w:proofErr w:type="spellStart"/>
      <w:r>
        <w:rPr>
          <w:rFonts w:ascii="Google Sans" w:eastAsia="Google Sans" w:hAnsi="Google Sans" w:cs="Google Sans"/>
          <w:color w:val="1F1F1F"/>
        </w:rPr>
        <w:t>APScheduler</w:t>
      </w:r>
      <w:proofErr w:type="spellEnd"/>
      <w:r>
        <w:rPr>
          <w:rFonts w:ascii="Google Sans" w:eastAsia="Google Sans" w:hAnsi="Google Sans" w:cs="Google Sans"/>
          <w:color w:val="1F1F1F"/>
        </w:rPr>
        <w:t>-based daemon operates alongside a complex command-line interface designed to manage job execution. Concurrently, a separate directory houses highly specific scheduling scripts designed to manage everything from master data collection to regional trade reporting. Compounding this complexity is an entirely separate configuration that utilizes the Windows Task Scheduler to execute scripts via PowerShell.</w:t>
      </w:r>
    </w:p>
    <w:p w14:paraId="0849F450"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overlapping architecture creates competing execution triggers. A single global data update might be triggered simultaneously by the </w:t>
      </w:r>
      <w:proofErr w:type="spellStart"/>
      <w:r>
        <w:rPr>
          <w:rFonts w:ascii="Google Sans" w:eastAsia="Google Sans" w:hAnsi="Google Sans" w:cs="Google Sans"/>
          <w:color w:val="1F1F1F"/>
        </w:rPr>
        <w:t>APScheduler</w:t>
      </w:r>
      <w:proofErr w:type="spellEnd"/>
      <w:r>
        <w:rPr>
          <w:rFonts w:ascii="Google Sans" w:eastAsia="Google Sans" w:hAnsi="Google Sans" w:cs="Google Sans"/>
          <w:color w:val="1F1F1F"/>
        </w:rPr>
        <w:t xml:space="preserve"> daemon and the Windows Task Scheduler. This significantly increases the likelihood of race conditions, where two scripts attempt to write to the same database row simultaneously, leading to fatal locks and data corruption. Furthermore, these redundant executions generate unnecessary API calls, leading to potential rate-limiting from data providers and driving up cloud infrastructure compute costs. A unified, conflict-free scheduling environment is an absolute necessity.</w:t>
      </w:r>
    </w:p>
    <w:p w14:paraId="182E646D"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Documentation Failure and Environment Pollution</w:t>
      </w:r>
    </w:p>
    <w:p w14:paraId="46CF6863"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operational truth of the platform is currently maintained in an external Notion workspace, which diligently tracks agent registries, data source availability, and foundational architecture decision records. However, the physical filesystem paths mapped within this Notion documentation are routinely invalidated by the dual implementation crisis.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Because the Notion architecture often tracks only a single location field for any given asset, it cannot accurately reflect the reality of paths that are simultaneously active in legacy, target, and deprecated states.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This renders the system documentation functionally obsolete, preventing new developers or autonomous agents from accurately understanding the platform's capabilities.</w:t>
      </w:r>
    </w:p>
    <w:p w14:paraId="1DE4800C"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Furthermore, the fundamental development directory is heavily polluted. The presence of multiple instance caches, uncompiled bytecode directories, </w:t>
      </w:r>
      <w:proofErr w:type="gramStart"/>
      <w:r>
        <w:rPr>
          <w:rFonts w:ascii="Google Sans" w:eastAsia="Google Sans" w:hAnsi="Google Sans" w:cs="Google Sans"/>
          <w:color w:val="1F1F1F"/>
        </w:rPr>
        <w:t>exposed .git</w:t>
      </w:r>
      <w:proofErr w:type="gramEnd"/>
      <w:r>
        <w:rPr>
          <w:rFonts w:ascii="Google Sans" w:eastAsia="Google Sans" w:hAnsi="Google Sans" w:cs="Google Sans"/>
          <w:color w:val="1F1F1F"/>
        </w:rPr>
        <w:t xml:space="preserve"> configurations, and obscure hex-named data artifacts sitting alongside core source code indicates a severe lack of proper version control hygiene and environment isolation. This </w:t>
      </w:r>
      <w:proofErr w:type="gramStart"/>
      <w:r>
        <w:rPr>
          <w:rFonts w:ascii="Google Sans" w:eastAsia="Google Sans" w:hAnsi="Google Sans" w:cs="Google Sans"/>
          <w:color w:val="1F1F1F"/>
        </w:rPr>
        <w:t>environment</w:t>
      </w:r>
      <w:proofErr w:type="gramEnd"/>
      <w:r>
        <w:rPr>
          <w:rFonts w:ascii="Google Sans" w:eastAsia="Google Sans" w:hAnsi="Google Sans" w:cs="Google Sans"/>
          <w:color w:val="1F1F1F"/>
        </w:rPr>
        <w:t xml:space="preserve"> pollution confuses LLM context windows, wasting token limits on irrelevant files and significantly degrading the model's ability to reason about the codebase's actual structure.</w:t>
      </w:r>
    </w:p>
    <w:p w14:paraId="62111D48" w14:textId="77777777" w:rsidR="00CF5A2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Sophisticated Econometric Modeling Framework</w:t>
      </w:r>
    </w:p>
    <w:p w14:paraId="459D3397"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true value proposition of the RLC-Agent platform lies in its unprecedented fusion of generative artificial intelligence with rigorous, classical agricultural econometrics.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structural reorganization of the codebase must be designed explicitly to facilitate seamless, deterministic interaction between the LLM orchestration layer and the complex analytical </w:t>
      </w:r>
      <w:r>
        <w:rPr>
          <w:rFonts w:ascii="Google Sans" w:eastAsia="Google Sans" w:hAnsi="Google Sans" w:cs="Google Sans"/>
          <w:color w:val="1F1F1F"/>
        </w:rPr>
        <w:lastRenderedPageBreak/>
        <w:t>models documented in the internal reference guides.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system must transcend basic data retrieval; it must function as a comprehensive economic reasoning engine capable of simulating complex market dynamics and generating nuanced policy analysis.</w:t>
      </w:r>
    </w:p>
    <w:p w14:paraId="3AD0F8EE"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Fundamental Analytical Paradigms</w:t>
      </w:r>
    </w:p>
    <w:p w14:paraId="7DEA8A77"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Agricultural econometric modeling within the platform operates across three distinct, fundamental paradigms. Each of these mathematical approaches must be carefully modularized within the new codebase to allow the LLM to invoke them appropriately based on the specific analytical task required.</w:t>
      </w:r>
    </w:p>
    <w:p w14:paraId="29CEE66D"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first paradigm encompasses Partial Equilibrium Models. These frameworks are heavily utilized for short-to-medium-term balance sheet projections and commodity-specific policy analysis. Partial equilibrium models operate on the assumption that macroeconomic factors outside the specific commodity market remain exogenous and fixed, while modeling highly stable supply and demand elasticities within the target market.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For example, when projecting the upcoming marketing year for corn, the system utilizes the Food and Agricultural Policy Research Institute model structure. This recursive dynamic system uses econometrically estimated supply and demand equations, factoring in lagged adjustments and historical acreage responses.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codebase must be structured to allow the LLM to query the required supply and distribution tables, extract the historical baseline data, apply these specific equations, and generate a cohesive forecast.</w:t>
      </w:r>
      <w:r>
        <w:rPr>
          <w:rFonts w:ascii="Google Sans" w:eastAsia="Google Sans" w:hAnsi="Google Sans" w:cs="Google Sans"/>
          <w:color w:val="444746"/>
          <w:sz w:val="24"/>
          <w:szCs w:val="24"/>
          <w:vertAlign w:val="superscript"/>
        </w:rPr>
        <w:t>3</w:t>
      </w:r>
    </w:p>
    <w:p w14:paraId="016AAC5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second paradigm involves General Equilibrium Models, specifically Computable General Equilibrium variants. These massive, multi-variable frameworks, such as the SIMPLE-G model or the </w:t>
      </w:r>
      <w:proofErr w:type="spellStart"/>
      <w:r>
        <w:rPr>
          <w:rFonts w:ascii="Google Sans" w:eastAsia="Google Sans" w:hAnsi="Google Sans" w:cs="Google Sans"/>
          <w:color w:val="1F1F1F"/>
        </w:rPr>
        <w:t>multiregion</w:t>
      </w:r>
      <w:proofErr w:type="spellEnd"/>
      <w:r>
        <w:rPr>
          <w:rFonts w:ascii="Google Sans" w:eastAsia="Google Sans" w:hAnsi="Google Sans" w:cs="Google Sans"/>
          <w:color w:val="1F1F1F"/>
        </w:rPr>
        <w:t xml:space="preserve"> Global Trade Analysis Project, are required for evaluating broad structural macroeconomic changes, complex international trade policy shifts, and long-term land use allocation.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SIMPLE-G model, for instance, operationalizes thirteen calibrated parameters encompassing land, labor, water, and fertilizer constraints.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It specifically models the extensive margin elasticity regarding land expansion versus the intensive margin elasticity of yield response.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LLM must be capable of invoking these complex systems when assessing macro-level disruptions, such as the implementation of massive new biofuel mandates or the outbreak of a global trade war, accurately simulating how a shock to one sector ripples through the entire agricultural economy.</w:t>
      </w:r>
    </w:p>
    <w:p w14:paraId="7462E0D8"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third paradigm relies on advanced Time-Series and Machine Learning Models. These statistical approaches operate with minimal structural assumptions regarding economic theory, relying instead on pattern recognition to excel at short-term price forecasting, volatility modeling, and basis prediction.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platform increasingly relies on hybrid models, fusing traditional methods with advanced algorithms. For example, when modeling complex farmer behavior—such as the adoption or </w:t>
      </w:r>
      <w:proofErr w:type="spellStart"/>
      <w:r>
        <w:rPr>
          <w:rFonts w:ascii="Google Sans" w:eastAsia="Google Sans" w:hAnsi="Google Sans" w:cs="Google Sans"/>
          <w:color w:val="1F1F1F"/>
        </w:rPr>
        <w:t>disadoption</w:t>
      </w:r>
      <w:proofErr w:type="spellEnd"/>
      <w:r>
        <w:rPr>
          <w:rFonts w:ascii="Google Sans" w:eastAsia="Google Sans" w:hAnsi="Google Sans" w:cs="Google Sans"/>
          <w:color w:val="1F1F1F"/>
        </w:rPr>
        <w:t xml:space="preserve"> of conservation practices—the system </w:t>
      </w:r>
      <w:r>
        <w:rPr>
          <w:rFonts w:ascii="Google Sans" w:eastAsia="Google Sans" w:hAnsi="Google Sans" w:cs="Google Sans"/>
          <w:color w:val="1F1F1F"/>
        </w:rPr>
        <w:lastRenderedPageBreak/>
        <w:t>contrasts traditional logistic regression against Random Forest algorithms.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The integration of </w:t>
      </w:r>
      <w:proofErr w:type="spellStart"/>
      <w:r>
        <w:rPr>
          <w:rFonts w:ascii="Google Sans" w:eastAsia="Google Sans" w:hAnsi="Google Sans" w:cs="Google Sans"/>
          <w:color w:val="1F1F1F"/>
        </w:rPr>
        <w:t>SHapley</w:t>
      </w:r>
      <w:proofErr w:type="spellEnd"/>
      <w:r>
        <w:rPr>
          <w:rFonts w:ascii="Google Sans" w:eastAsia="Google Sans" w:hAnsi="Google Sans" w:cs="Google Sans"/>
          <w:color w:val="1F1F1F"/>
        </w:rPr>
        <w:t xml:space="preserve"> Additive </w:t>
      </w:r>
      <w:proofErr w:type="spellStart"/>
      <w:r>
        <w:rPr>
          <w:rFonts w:ascii="Google Sans" w:eastAsia="Google Sans" w:hAnsi="Google Sans" w:cs="Google Sans"/>
          <w:color w:val="1F1F1F"/>
        </w:rPr>
        <w:t>exPlanations</w:t>
      </w:r>
      <w:proofErr w:type="spellEnd"/>
      <w:r>
        <w:rPr>
          <w:rFonts w:ascii="Google Sans" w:eastAsia="Google Sans" w:hAnsi="Google Sans" w:cs="Google Sans"/>
          <w:color w:val="1F1F1F"/>
        </w:rPr>
        <w:t xml:space="preserve"> analysis allows the system to dissect the Random Forest output, identifying the specific, non-linear factors driving decisions, such as past adoption behavior or environmental constraints.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By combining machine learning's predictive power with the interpretability of traditional econometrics, the system achieves a highly superior analytical depth.</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Furthermore, the system incorporates Probabilistic Programming and Bayesian analysis to rigorously quantify and communicate uncertainty, building essential trust in the model's empirical results.</w:t>
      </w:r>
      <w:r>
        <w:rPr>
          <w:rFonts w:ascii="Google Sans" w:eastAsia="Google Sans" w:hAnsi="Google Sans" w:cs="Google Sans"/>
          <w:color w:val="444746"/>
          <w:sz w:val="24"/>
          <w:szCs w:val="24"/>
          <w:vertAlign w:val="superscript"/>
        </w:rPr>
        <w:t>5</w:t>
      </w:r>
    </w:p>
    <w:p w14:paraId="1058AABF"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Execution Protocol and Retrieval-Augmented Generation</w:t>
      </w:r>
    </w:p>
    <w:p w14:paraId="349B0C2C"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To successfully operationalize these complex models, the proposed architecture must support a highly standardized execution protocol powered by a Retrieval-Augmented Generation workflow</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proofErr w:type="gramEnd"/>
      <w:r>
        <w:rPr>
          <w:rFonts w:ascii="Google Sans" w:eastAsia="Google Sans" w:hAnsi="Google Sans" w:cs="Google Sans"/>
          <w:color w:val="1F1F1F"/>
        </w:rPr>
        <w:t xml:space="preserve"> When the master agent receives a natural language forecasting request, it must execute a strictly defined sequence of operations.</w:t>
      </w:r>
    </w:p>
    <w:p w14:paraId="3B2EC2F6"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First, the agent parses the request to identify the specific commodity, the required forecasting horizon, and the desired output format.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It then performs query expansion to identify the required database tables necessary to feed the model—for instance, pulling daily settlement prices from the futures tables, weather data from the NOAA tables, and trade flows from the census tables.</w:t>
      </w:r>
      <w:r>
        <w:rPr>
          <w:rFonts w:ascii="Google Sans" w:eastAsia="Google Sans" w:hAnsi="Google Sans" w:cs="Google Sans"/>
          <w:color w:val="444746"/>
          <w:sz w:val="24"/>
          <w:szCs w:val="24"/>
          <w:vertAlign w:val="superscript"/>
        </w:rPr>
        <w:t>3</w:t>
      </w:r>
    </w:p>
    <w:p w14:paraId="0BFA1C14"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Once the data is retrieved, the agent selects the appropriate mathematical model based on the time horizon and data availability. It then executes the selected model within a secure, isolated Python environment. Crucially, the system does not merely generate a single point forecast. It must generate robust uncertainty bounds using Monte Carlo simulations, drawing hundreds of samples from parameter distributions, or by employing ensemble methods that combine forecasts from multiple models weighted by recent performance.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The agent reports the resulting percentiles, mimicking the sophisticated range forecasting utilized by the USDA.</w:t>
      </w:r>
      <w:r>
        <w:rPr>
          <w:rFonts w:ascii="Google Sans" w:eastAsia="Google Sans" w:hAnsi="Google Sans" w:cs="Google Sans"/>
          <w:color w:val="444746"/>
          <w:sz w:val="24"/>
          <w:szCs w:val="24"/>
          <w:vertAlign w:val="superscript"/>
        </w:rPr>
        <w:t>3</w:t>
      </w:r>
    </w:p>
    <w:p w14:paraId="1513F466"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Finally, the LLM takes this complex numerical output, applies cross-market reasoning frameworks—such as linking energy market movements to corn prices via ethanol production margins—and synthesizes the data into a fluid, professional economic narrative.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To achieve this cleanly and prevent code hallucination, the repository structure must completely separate the raw mathematical econometric functions from the LLM prompt instructions that govern how and when to invoke them.</w:t>
      </w:r>
      <w:r>
        <w:rPr>
          <w:rFonts w:ascii="Google Sans" w:eastAsia="Google Sans" w:hAnsi="Google Sans" w:cs="Google Sans"/>
          <w:color w:val="444746"/>
          <w:sz w:val="24"/>
          <w:szCs w:val="24"/>
          <w:vertAlign w:val="superscript"/>
        </w:rPr>
        <w:t>6</w:t>
      </w:r>
    </w:p>
    <w:p w14:paraId="3993AB52" w14:textId="77777777" w:rsidR="00CF5A2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Data Engineering, Integrity Protocols, and LLM Guardrails</w:t>
      </w:r>
    </w:p>
    <w:p w14:paraId="71204074"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underlying data engineering framework must prioritize absolute structural integrity, </w:t>
      </w:r>
      <w:r>
        <w:rPr>
          <w:rFonts w:ascii="Google Sans" w:eastAsia="Google Sans" w:hAnsi="Google Sans" w:cs="Google Sans"/>
          <w:color w:val="1F1F1F"/>
        </w:rPr>
        <w:lastRenderedPageBreak/>
        <w:t>immutability, and comprehensive traceability. Large Language Models possess no inherent concept of mathematical truth; they are highly susceptible to hallucinations and logic failures when fed malformed, duplicated, or contradictory data. Therefore, the database architecture is the most critical guardrail within the entire platform.</w:t>
      </w:r>
    </w:p>
    <w:p w14:paraId="7D558FE8"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Database Normalization and Extensibility</w:t>
      </w:r>
    </w:p>
    <w:p w14:paraId="567EBB87"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relational database must utilize a highly normalized, standardized schema across all tracked commodities to ensure predictable agent interaction</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roofErr w:type="gramEnd"/>
      <w:r>
        <w:rPr>
          <w:rFonts w:ascii="Google Sans" w:eastAsia="Google Sans" w:hAnsi="Google Sans" w:cs="Google Sans"/>
          <w:color w:val="1F1F1F"/>
        </w:rPr>
        <w:t xml:space="preserve"> The architecture splits data into two primary conceptual formats. High-frequency price data must be stored using rigid composite primary keys. By demanding that every price observation is uniquely identified by its date, commodity identifier, geographical location, and source report, the database definitively prevents the insertion of duplicate records, regardless of how many times a scheduler misfires.</w:t>
      </w:r>
      <w:r>
        <w:rPr>
          <w:rFonts w:ascii="Google Sans" w:eastAsia="Google Sans" w:hAnsi="Google Sans" w:cs="Google Sans"/>
          <w:color w:val="444746"/>
          <w:sz w:val="24"/>
          <w:szCs w:val="24"/>
          <w:vertAlign w:val="superscript"/>
        </w:rPr>
        <w:t>7</w:t>
      </w:r>
    </w:p>
    <w:p w14:paraId="56ED1ACF"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Conversely, the foundational macroeconomic supply and demand metrics—such as national production, export volumes, and ending stocks—must utilize a highly dynamic tall table architecture. In this format, each metric is recorded as an individual row rather than a static column. This design choice is vital for extensibility; it permits the seamless integration of novel metrics or newly tracked commodities without requiring disruptive, system-wide structural schema alterations.</w:t>
      </w:r>
      <w:r>
        <w:rPr>
          <w:rFonts w:ascii="Google Sans" w:eastAsia="Google Sans" w:hAnsi="Google Sans" w:cs="Google Sans"/>
          <w:color w:val="444746"/>
          <w:sz w:val="24"/>
          <w:szCs w:val="24"/>
          <w:vertAlign w:val="superscript"/>
        </w:rPr>
        <w:t>1</w:t>
      </w:r>
    </w:p>
    <w:p w14:paraId="612A5F33"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Validation and Verification Loop</w:t>
      </w:r>
    </w:p>
    <w:p w14:paraId="319305DD" w14:textId="77777777" w:rsidR="00CF5A2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To ensure absolute trustworthiness, the data ingestion pipeline must implement a rigorous, multi-stage validation sequence.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goal is to programmatically guarantee that the data residing in the database perfectly mirrors the reality reported by the source agencies.</w:t>
      </w:r>
    </w:p>
    <w:p w14:paraId="7054BD0F" w14:textId="77777777" w:rsidR="00CF5A2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Ingestion Validation:</w:t>
      </w:r>
      <w:r>
        <w:rPr>
          <w:rFonts w:ascii="Google Sans" w:eastAsia="Google Sans" w:hAnsi="Google Sans" w:cs="Google Sans"/>
          <w:color w:val="1F1F1F"/>
        </w:rPr>
        <w:t xml:space="preserve"> As raw data enters the system, the Database Loader Agent enforces strict basic type constraints, ensuring that temporal dates remain valid objects and numerical fields are stripped of extraneous text characters.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Furthermore, comprehensive audit fields, specifically </w:t>
      </w:r>
      <w:proofErr w:type="spellStart"/>
      <w:r>
        <w:rPr>
          <w:rFonts w:ascii="Google Sans" w:eastAsia="Google Sans" w:hAnsi="Google Sans" w:cs="Google Sans"/>
          <w:color w:val="1F1F1F"/>
        </w:rPr>
        <w:t>last_updated</w:t>
      </w:r>
      <w:proofErr w:type="spellEnd"/>
      <w:r>
        <w:rPr>
          <w:rFonts w:ascii="Google Sans" w:eastAsia="Google Sans" w:hAnsi="Google Sans" w:cs="Google Sans"/>
          <w:color w:val="1F1F1F"/>
        </w:rPr>
        <w:t xml:space="preserve"> timestamps and </w:t>
      </w:r>
      <w:proofErr w:type="spellStart"/>
      <w:r>
        <w:rPr>
          <w:rFonts w:ascii="Google Sans" w:eastAsia="Google Sans" w:hAnsi="Google Sans" w:cs="Google Sans"/>
          <w:color w:val="1F1F1F"/>
        </w:rPr>
        <w:t>source_report</w:t>
      </w:r>
      <w:proofErr w:type="spellEnd"/>
      <w:r>
        <w:rPr>
          <w:rFonts w:ascii="Google Sans" w:eastAsia="Google Sans" w:hAnsi="Google Sans" w:cs="Google Sans"/>
          <w:color w:val="1F1F1F"/>
        </w:rPr>
        <w:t xml:space="preserve"> locators, must be appended to every single row to guarantee data provenance and historical traceability.</w:t>
      </w:r>
      <w:r>
        <w:rPr>
          <w:rFonts w:ascii="Google Sans" w:eastAsia="Google Sans" w:hAnsi="Google Sans" w:cs="Google Sans"/>
          <w:color w:val="444746"/>
          <w:sz w:val="24"/>
          <w:szCs w:val="24"/>
          <w:vertAlign w:val="superscript"/>
        </w:rPr>
        <w:t>7</w:t>
      </w:r>
    </w:p>
    <w:p w14:paraId="7DE5D71D" w14:textId="77777777" w:rsidR="00CF5A2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Programmatic Verification:</w:t>
      </w:r>
      <w:r>
        <w:rPr>
          <w:rFonts w:ascii="Google Sans" w:eastAsia="Google Sans" w:hAnsi="Google Sans" w:cs="Google Sans"/>
          <w:color w:val="1F1F1F"/>
        </w:rPr>
        <w:t xml:space="preserve"> Following the initial load phase, the Verification Agent executes a comparative analysis. It reads the newly inserted database rows and compares them directly against the original JSON payloads or CSV line counts, logging explicit confirmations to ensure no data was dropped during the transaction.</w:t>
      </w:r>
      <w:r>
        <w:rPr>
          <w:rFonts w:ascii="Google Sans" w:eastAsia="Google Sans" w:hAnsi="Google Sans" w:cs="Google Sans"/>
          <w:color w:val="444746"/>
          <w:sz w:val="24"/>
          <w:szCs w:val="24"/>
          <w:vertAlign w:val="superscript"/>
        </w:rPr>
        <w:t>7</w:t>
      </w:r>
    </w:p>
    <w:p w14:paraId="757A7EAD" w14:textId="77777777" w:rsidR="00CF5A2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Sanity and Economic Checking:</w:t>
      </w:r>
      <w:r>
        <w:rPr>
          <w:rFonts w:ascii="Google Sans" w:eastAsia="Google Sans" w:hAnsi="Google Sans" w:cs="Google Sans"/>
          <w:color w:val="1F1F1F"/>
        </w:rPr>
        <w:t xml:space="preserve"> The Verification Agent then performs domain-specific economic logic checks. It recalculates derived fields, such as </w:t>
      </w:r>
      <w:proofErr w:type="gramStart"/>
      <w:r>
        <w:rPr>
          <w:rFonts w:ascii="Google Sans" w:eastAsia="Google Sans" w:hAnsi="Google Sans" w:cs="Google Sans"/>
          <w:color w:val="1F1F1F"/>
        </w:rPr>
        <w:t>stocks</w:t>
      </w:r>
      <w:proofErr w:type="gramEnd"/>
      <w:r>
        <w:rPr>
          <w:rFonts w:ascii="Google Sans" w:eastAsia="Google Sans" w:hAnsi="Google Sans" w:cs="Google Sans"/>
          <w:color w:val="1F1F1F"/>
        </w:rPr>
        <w:t xml:space="preserve">-to-use ratios, to ensure mathematical consistency. It actively flags anomalous scenarios, such as mathematically impossible negative stock values or prices that deviate radically from </w:t>
      </w:r>
      <w:r>
        <w:rPr>
          <w:rFonts w:ascii="Google Sans" w:eastAsia="Google Sans" w:hAnsi="Google Sans" w:cs="Google Sans"/>
          <w:color w:val="1F1F1F"/>
        </w:rPr>
        <w:lastRenderedPageBreak/>
        <w:t>historical volatility bands.</w:t>
      </w:r>
      <w:r>
        <w:rPr>
          <w:rFonts w:ascii="Google Sans" w:eastAsia="Google Sans" w:hAnsi="Google Sans" w:cs="Google Sans"/>
          <w:color w:val="444746"/>
          <w:sz w:val="24"/>
          <w:szCs w:val="24"/>
          <w:vertAlign w:val="superscript"/>
        </w:rPr>
        <w:t>7</w:t>
      </w:r>
    </w:p>
    <w:p w14:paraId="775A9886" w14:textId="77777777" w:rsidR="00CF5A2C"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Graceful Error Handling:</w:t>
      </w:r>
      <w:r>
        <w:rPr>
          <w:rFonts w:ascii="Google Sans" w:eastAsia="Google Sans" w:hAnsi="Google Sans" w:cs="Google Sans"/>
          <w:color w:val="1F1F1F"/>
        </w:rPr>
        <w:t xml:space="preserve"> If network interruptions occur or constraint violations are detected, the pipeline is programmed to attempt localized retries.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If failures persist, the system immediately halts the specific ingestion task and generates critical alerts via configured notification channels, preventing the silent corruption of the broader macroeconomic dataset and alerting human operators</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proofErr w:type="gramEnd"/>
    </w:p>
    <w:p w14:paraId="699A3940" w14:textId="77777777" w:rsidR="00CF5A2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Provenance and Imputation Flagging</w:t>
      </w:r>
    </w:p>
    <w:p w14:paraId="5C932DB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critical requirement for an LLM-integrated database is the explicit tracking of data sourcing. Information derived from official federal APIs possesses a different confidence interval than data scraped from internal spreadsheets or data synthesized by an AI model. Therefore, all data must be explicitly flagged using an enumerator, such as a </w:t>
      </w:r>
      <w:proofErr w:type="spellStart"/>
      <w:r>
        <w:rPr>
          <w:rFonts w:ascii="Google Sans" w:eastAsia="Google Sans" w:hAnsi="Google Sans" w:cs="Google Sans"/>
          <w:color w:val="1F1F1F"/>
        </w:rPr>
        <w:t>DataSourceType</w:t>
      </w:r>
      <w:proofErr w:type="spellEnd"/>
      <w:r>
        <w:rPr>
          <w:rFonts w:ascii="Google Sans" w:eastAsia="Google Sans" w:hAnsi="Google Sans" w:cs="Google Sans"/>
          <w:color w:val="1F1F1F"/>
        </w:rPr>
        <w:t xml:space="preserve"> field, tracking its exact origin.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Crucially, if an LLM is ever utilized to fill a gap in the data—perhaps providing an estimate for an unpublished trade figure—that specific record must be strictly and permanently marked with an </w:t>
      </w:r>
      <w:proofErr w:type="spellStart"/>
      <w:r>
        <w:rPr>
          <w:rFonts w:ascii="Google Sans" w:eastAsia="Google Sans" w:hAnsi="Google Sans" w:cs="Google Sans"/>
          <w:color w:val="1F1F1F"/>
        </w:rPr>
        <w:t>is_estimate</w:t>
      </w:r>
      <w:proofErr w:type="spellEnd"/>
      <w:r>
        <w:rPr>
          <w:rFonts w:ascii="Google Sans" w:eastAsia="Google Sans" w:hAnsi="Google Sans" w:cs="Google Sans"/>
          <w:color w:val="1F1F1F"/>
        </w:rPr>
        <w:t xml:space="preserve"> boolean.</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This ensures that both human economists and future predictive models can mathematically distinguish empirical, official fact from synthetic, AI-generated inference, maintaining the scientific validity of the platform's outputs.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Finally, aggressive caching mechanisms must be implemented across all agent workflows. By storing recent API responses in memory, the system drastically reduces redundant network calls, significantly lowers commercial API costs, and dramatically accelerates the LLM's response time during complex analytical reasoning tasks.</w:t>
      </w:r>
      <w:r>
        <w:rPr>
          <w:rFonts w:ascii="Google Sans" w:eastAsia="Google Sans" w:hAnsi="Google Sans" w:cs="Google Sans"/>
          <w:color w:val="444746"/>
          <w:sz w:val="24"/>
          <w:szCs w:val="24"/>
          <w:vertAlign w:val="superscript"/>
        </w:rPr>
        <w:t>7</w:t>
      </w:r>
    </w:p>
    <w:p w14:paraId="154E44D7" w14:textId="77777777" w:rsidR="00CF5A2C"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Proposed Target Architecture: The Unified </w:t>
      </w:r>
      <w:proofErr w:type="spellStart"/>
      <w:r>
        <w:rPr>
          <w:rFonts w:ascii="Google Sans" w:eastAsia="Google Sans" w:hAnsi="Google Sans" w:cs="Google Sans"/>
          <w:color w:val="1F1F1F"/>
        </w:rPr>
        <w:t>Monorepo</w:t>
      </w:r>
      <w:proofErr w:type="spellEnd"/>
    </w:p>
    <w:p w14:paraId="76B3A0C7"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actualize the target architecture, eliminate the identified duplication, and establish a foundation capable of supporting advanced autonomous economic reasoning, the fragmented directory structure must be replaced entirely by a formalized, heavily governed Git repository. The transition to a unified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structure is non-negotiable.</w:t>
      </w:r>
    </w:p>
    <w:p w14:paraId="642BE6BB"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While large organizations sometimes debate the merits of </w:t>
      </w:r>
      <w:proofErr w:type="spellStart"/>
      <w:r>
        <w:rPr>
          <w:rFonts w:ascii="Google Sans" w:eastAsia="Google Sans" w:hAnsi="Google Sans" w:cs="Google Sans"/>
          <w:color w:val="1F1F1F"/>
        </w:rPr>
        <w:t>monorepos</w:t>
      </w:r>
      <w:proofErr w:type="spellEnd"/>
      <w:r>
        <w:rPr>
          <w:rFonts w:ascii="Google Sans" w:eastAsia="Google Sans" w:hAnsi="Google Sans" w:cs="Google Sans"/>
          <w:color w:val="1F1F1F"/>
        </w:rPr>
        <w:t xml:space="preserve"> versus </w:t>
      </w:r>
      <w:proofErr w:type="spellStart"/>
      <w:r>
        <w:rPr>
          <w:rFonts w:ascii="Google Sans" w:eastAsia="Google Sans" w:hAnsi="Google Sans" w:cs="Google Sans"/>
          <w:color w:val="1F1F1F"/>
        </w:rPr>
        <w:t>polyrepos</w:t>
      </w:r>
      <w:proofErr w:type="spellEnd"/>
      <w:r>
        <w:rPr>
          <w:rFonts w:ascii="Google Sans" w:eastAsia="Google Sans" w:hAnsi="Google Sans" w:cs="Google Sans"/>
          <w:color w:val="1F1F1F"/>
        </w:rPr>
        <w:t xml:space="preserve">—where multiple repositories house separate microservices—the tight, inescapable coupling between the platform's database schemas, data ingestion pipelines, econometric mathematical models, and LLM orchestration logic strongly favors a single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approach.</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A well-structured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dramatically simplifies cross-module synchronization and dependency management.</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Furthermore, comprehensive industry analysis indicates that while human teams might experience specific challenges in massive </w:t>
      </w:r>
      <w:proofErr w:type="spellStart"/>
      <w:r>
        <w:rPr>
          <w:rFonts w:ascii="Google Sans" w:eastAsia="Google Sans" w:hAnsi="Google Sans" w:cs="Google Sans"/>
          <w:color w:val="1F1F1F"/>
        </w:rPr>
        <w:t>monorepos</w:t>
      </w:r>
      <w:proofErr w:type="spellEnd"/>
      <w:r>
        <w:rPr>
          <w:rFonts w:ascii="Google Sans" w:eastAsia="Google Sans" w:hAnsi="Google Sans" w:cs="Google Sans"/>
          <w:color w:val="1F1F1F"/>
        </w:rPr>
        <w:t>, autonomous AI coding agents thrive in them. Providing the LLM with a holistic, single-repository view of the entire codebase enables the agent to generate highly accurate context, understand the relationship between a data collector and the econometric model that relies upon it, and operate significantly more effectively.</w:t>
      </w:r>
      <w:r>
        <w:rPr>
          <w:rFonts w:ascii="Google Sans" w:eastAsia="Google Sans" w:hAnsi="Google Sans" w:cs="Google Sans"/>
          <w:color w:val="444746"/>
          <w:sz w:val="24"/>
          <w:szCs w:val="24"/>
          <w:vertAlign w:val="superscript"/>
        </w:rPr>
        <w:t>2</w:t>
      </w:r>
    </w:p>
    <w:p w14:paraId="033F7844"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Codebase Organization Principles</w:t>
      </w:r>
    </w:p>
    <w:p w14:paraId="34F5847F"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transition to a unified architecture must strictly adhere to modern software engineering best practices designed specifically for Python development and LLM agent frameworks.</w:t>
      </w:r>
      <w:r>
        <w:rPr>
          <w:rFonts w:ascii="Google Sans" w:eastAsia="Google Sans" w:hAnsi="Google Sans" w:cs="Google Sans"/>
          <w:color w:val="444746"/>
          <w:sz w:val="24"/>
          <w:szCs w:val="24"/>
          <w:vertAlign w:val="superscript"/>
        </w:rPr>
        <w:t>6</w:t>
      </w:r>
    </w:p>
    <w:p w14:paraId="49E8D408"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First, the root directory must be completely sanitized. It must be restricted solely to essential configuration files, dependency management manifests, and system documentation. All executable Python scripts must be removed from the top level to prevent execution ambiguity.</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Second, all importable application code must be encapsulated within a centralized source directory, broken down into logically separated sub-packages.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Third, the architecture must enforce modular abstraction; the codebase must rigorously separate task planning, memory management, tool usage, and control flow.</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Finally, there must be strict data isolation. Raw files, intermediate transformations, and processed datasets must be stored in a dedicated data directory, completely divorced from the underlying source code logic to prevent version control bloat and maintain data security.</w:t>
      </w:r>
      <w:r>
        <w:rPr>
          <w:rFonts w:ascii="Google Sans" w:eastAsia="Google Sans" w:hAnsi="Google Sans" w:cs="Google Sans"/>
          <w:color w:val="444746"/>
          <w:sz w:val="24"/>
          <w:szCs w:val="24"/>
          <w:vertAlign w:val="superscript"/>
        </w:rPr>
        <w:t>12</w:t>
      </w:r>
    </w:p>
    <w:p w14:paraId="041B03DD"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Structural Blueprint</w:t>
      </w:r>
    </w:p>
    <w:p w14:paraId="1B6FD74E"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proposed repository layout enforces these principles, providing a clear, logical map for both human developers and autonomous agents.</w:t>
      </w:r>
    </w:p>
    <w:p w14:paraId="2CA390A5" w14:textId="77777777" w:rsidR="00CF5A2C"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1. The Project Root Environment</w:t>
      </w:r>
    </w:p>
    <w:p w14:paraId="19F0E475" w14:textId="77777777" w:rsidR="00CF5A2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README.md: Provides the high-level system overview, purpose, and rapid onboarding instructions.</w:t>
      </w:r>
      <w:r>
        <w:rPr>
          <w:rFonts w:ascii="Google Sans" w:eastAsia="Google Sans" w:hAnsi="Google Sans" w:cs="Google Sans"/>
          <w:color w:val="444746"/>
          <w:sz w:val="24"/>
          <w:szCs w:val="24"/>
          <w:vertAlign w:val="superscript"/>
        </w:rPr>
        <w:t>11</w:t>
      </w:r>
    </w:p>
    <w:p w14:paraId="4979202A" w14:textId="77777777" w:rsidR="00CF5A2C"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requirements.txt / </w:t>
      </w:r>
      <w:proofErr w:type="spellStart"/>
      <w:proofErr w:type="gramStart"/>
      <w:r>
        <w:rPr>
          <w:rFonts w:ascii="Google Sans" w:eastAsia="Google Sans" w:hAnsi="Google Sans" w:cs="Google Sans"/>
          <w:color w:val="1F1F1F"/>
        </w:rPr>
        <w:t>pyproject.toml</w:t>
      </w:r>
      <w:proofErr w:type="spellEnd"/>
      <w:proofErr w:type="gramEnd"/>
      <w:r>
        <w:rPr>
          <w:rFonts w:ascii="Google Sans" w:eastAsia="Google Sans" w:hAnsi="Google Sans" w:cs="Google Sans"/>
          <w:color w:val="1F1F1F"/>
        </w:rPr>
        <w:t>: Centralizes all package dependencies, ensuring consistent environment replication across deployment targets.</w:t>
      </w:r>
      <w:r>
        <w:rPr>
          <w:rFonts w:ascii="Google Sans" w:eastAsia="Google Sans" w:hAnsi="Google Sans" w:cs="Google Sans"/>
          <w:color w:val="444746"/>
          <w:sz w:val="24"/>
          <w:szCs w:val="24"/>
          <w:vertAlign w:val="superscript"/>
        </w:rPr>
        <w:t>11</w:t>
      </w:r>
    </w:p>
    <w:p w14:paraId="46D3C5EC" w14:textId="77777777" w:rsidR="00CF5A2C" w:rsidRDefault="00000000">
      <w:pPr>
        <w:numPr>
          <w:ilvl w:val="0"/>
          <w:numId w:val="2"/>
        </w:numPr>
        <w:pBdr>
          <w:top w:val="nil"/>
          <w:left w:val="nil"/>
          <w:bottom w:val="nil"/>
          <w:right w:val="nil"/>
          <w:between w:val="nil"/>
        </w:pBdr>
        <w:spacing w:line="275" w:lineRule="auto"/>
      </w:pPr>
      <w:proofErr w:type="gramStart"/>
      <w:r>
        <w:rPr>
          <w:rFonts w:ascii="Google Sans" w:eastAsia="Google Sans" w:hAnsi="Google Sans" w:cs="Google Sans"/>
          <w:color w:val="1F1F1F"/>
        </w:rPr>
        <w:t>.env</w:t>
      </w:r>
      <w:proofErr w:type="gramEnd"/>
      <w:r>
        <w:rPr>
          <w:rFonts w:ascii="Google Sans" w:eastAsia="Google Sans" w:hAnsi="Google Sans" w:cs="Google Sans"/>
          <w:color w:val="1F1F1F"/>
        </w:rPr>
        <w:t xml:space="preserve">.example: Provides a secure template for the </w:t>
      </w:r>
      <w:proofErr w:type="gramStart"/>
      <w:r>
        <w:rPr>
          <w:rFonts w:ascii="Google Sans" w:eastAsia="Google Sans" w:hAnsi="Google Sans" w:cs="Google Sans"/>
          <w:color w:val="1F1F1F"/>
        </w:rPr>
        <w:t>myriad</w:t>
      </w:r>
      <w:proofErr w:type="gramEnd"/>
      <w:r>
        <w:rPr>
          <w:rFonts w:ascii="Google Sans" w:eastAsia="Google Sans" w:hAnsi="Google Sans" w:cs="Google Sans"/>
          <w:color w:val="1F1F1F"/>
        </w:rPr>
        <w:t xml:space="preserve"> of required API keys and local LLM connection strings, ensuring secrets are never hardcoded into the repository.</w:t>
      </w:r>
    </w:p>
    <w:p w14:paraId="455CC055" w14:textId="77777777" w:rsidR="00CF5A2C" w:rsidRDefault="00000000">
      <w:pPr>
        <w:numPr>
          <w:ilvl w:val="0"/>
          <w:numId w:val="2"/>
        </w:numPr>
        <w:pBdr>
          <w:top w:val="nil"/>
          <w:left w:val="nil"/>
          <w:bottom w:val="nil"/>
          <w:right w:val="nil"/>
          <w:between w:val="nil"/>
        </w:pBdr>
        <w:spacing w:after="120" w:line="275" w:lineRule="auto"/>
      </w:pPr>
      <w:proofErr w:type="gramStart"/>
      <w:r>
        <w:rPr>
          <w:rFonts w:ascii="Google Sans" w:eastAsia="Google Sans" w:hAnsi="Google Sans" w:cs="Google Sans"/>
          <w:color w:val="1F1F1F"/>
        </w:rPr>
        <w:t>.</w:t>
      </w:r>
      <w:proofErr w:type="spellStart"/>
      <w:r>
        <w:rPr>
          <w:rFonts w:ascii="Google Sans" w:eastAsia="Google Sans" w:hAnsi="Google Sans" w:cs="Google Sans"/>
          <w:color w:val="1F1F1F"/>
        </w:rPr>
        <w:t>cursorrules</w:t>
      </w:r>
      <w:proofErr w:type="spellEnd"/>
      <w:proofErr w:type="gramEnd"/>
      <w:r>
        <w:rPr>
          <w:rFonts w:ascii="Google Sans" w:eastAsia="Google Sans" w:hAnsi="Google Sans" w:cs="Google Sans"/>
          <w:color w:val="1F1F1F"/>
        </w:rPr>
        <w:t xml:space="preserve"> or agents.md: Contains comprehensive, system-level prompts that provide the AI coding assistant with explicit operational boundaries, strict naming conventions, and highly detailed technical stack definitions.</w:t>
      </w:r>
      <w:r>
        <w:rPr>
          <w:rFonts w:ascii="Google Sans" w:eastAsia="Google Sans" w:hAnsi="Google Sans" w:cs="Google Sans"/>
          <w:color w:val="444746"/>
          <w:sz w:val="24"/>
          <w:szCs w:val="24"/>
          <w:vertAlign w:val="superscript"/>
        </w:rPr>
        <w:t>14</w:t>
      </w:r>
    </w:p>
    <w:p w14:paraId="124B4F4E" w14:textId="77777777" w:rsidR="00CF5A2C" w:rsidRDefault="00000000">
      <w:pPr>
        <w:pBdr>
          <w:top w:val="nil"/>
          <w:left w:val="nil"/>
          <w:bottom w:val="nil"/>
          <w:right w:val="nil"/>
          <w:between w:val="nil"/>
        </w:pBdr>
        <w:spacing w:before="24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2. The Source Code Core (/src)</w:t>
      </w:r>
      <w:r>
        <w:rPr>
          <w:rFonts w:ascii="Google Sans" w:eastAsia="Google Sans" w:hAnsi="Google Sans" w:cs="Google Sans"/>
          <w:color w:val="1F1F1F"/>
        </w:rPr>
        <w:t xml:space="preserve"> This directory consolidates all functional code, organized strictly by operational domain to prevent the recurrence of dual implementations.</w:t>
      </w:r>
      <w:r>
        <w:rPr>
          <w:rFonts w:ascii="Google Sans" w:eastAsia="Google Sans" w:hAnsi="Google Sans" w:cs="Google Sans"/>
          <w:color w:val="444746"/>
          <w:sz w:val="24"/>
          <w:szCs w:val="24"/>
          <w:vertAlign w:val="superscript"/>
        </w:rPr>
        <w:t>10</w:t>
      </w:r>
    </w:p>
    <w:p w14:paraId="6E2E0F51" w14:textId="77777777" w:rsidR="00CF5A2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/src/agents: The absolute locus of LLM orchestration.</w:t>
      </w:r>
    </w:p>
    <w:p w14:paraId="780E882A" w14:textId="77777777" w:rsidR="00CF5A2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core</w:t>
      </w:r>
      <w:proofErr w:type="gramEnd"/>
      <w:r>
        <w:rPr>
          <w:rFonts w:ascii="Google Sans" w:eastAsia="Google Sans" w:hAnsi="Google Sans" w:cs="Google Sans"/>
          <w:color w:val="1F1F1F"/>
        </w:rPr>
        <w:t>: Houses the foundational cognitive modules, including the master agent, memory manager, and the critical verification agent.</w:t>
      </w:r>
    </w:p>
    <w:p w14:paraId="608AA945" w14:textId="77777777" w:rsidR="00CF5A2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specialized</w:t>
      </w:r>
      <w:proofErr w:type="gramEnd"/>
      <w:r>
        <w:rPr>
          <w:rFonts w:ascii="Google Sans" w:eastAsia="Google Sans" w:hAnsi="Google Sans" w:cs="Google Sans"/>
          <w:color w:val="1F1F1F"/>
        </w:rPr>
        <w:t>: Contains distinct, focused modules for handling communications and specific intelligence tasks, such as the email agent, calendar agent, and the highly specialized weather intelligence agent.</w:t>
      </w:r>
    </w:p>
    <w:p w14:paraId="428C9934" w14:textId="77777777" w:rsidR="00CF5A2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 xml:space="preserve">/src/pipeline: Completely replaces the fragmented legacy pipeline and dispatcher </w:t>
      </w:r>
      <w:r>
        <w:rPr>
          <w:rFonts w:ascii="Google Sans" w:eastAsia="Google Sans" w:hAnsi="Google Sans" w:cs="Google Sans"/>
          <w:color w:val="1F1F1F"/>
        </w:rPr>
        <w:lastRenderedPageBreak/>
        <w:t>directories, unifying the data engineering flow.</w:t>
      </w:r>
    </w:p>
    <w:p w14:paraId="26DE3144" w14:textId="77777777" w:rsidR="00CF5A2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collectors</w:t>
      </w:r>
      <w:proofErr w:type="gramEnd"/>
      <w:r>
        <w:rPr>
          <w:rFonts w:ascii="Google Sans" w:eastAsia="Google Sans" w:hAnsi="Google Sans" w:cs="Google Sans"/>
          <w:color w:val="1F1F1F"/>
        </w:rPr>
        <w:t xml:space="preserve">: A unified directory containing all data fetching logic. This is subdivided logically by region or agency to neatly house the </w:t>
      </w:r>
      <w:proofErr w:type="gramStart"/>
      <w:r>
        <w:rPr>
          <w:rFonts w:ascii="Google Sans" w:eastAsia="Google Sans" w:hAnsi="Google Sans" w:cs="Google Sans"/>
          <w:color w:val="1F1F1F"/>
        </w:rPr>
        <w:t>myriad</w:t>
      </w:r>
      <w:proofErr w:type="gramEnd"/>
      <w:r>
        <w:rPr>
          <w:rFonts w:ascii="Google Sans" w:eastAsia="Google Sans" w:hAnsi="Google Sans" w:cs="Google Sans"/>
          <w:color w:val="1F1F1F"/>
        </w:rPr>
        <w:t xml:space="preserve"> of global and domestic scripts. Crucially, every collector herein must inherit its foundational networking and error-handling logic from a standardized base collector class.</w:t>
      </w:r>
    </w:p>
    <w:p w14:paraId="3514BB38" w14:textId="77777777" w:rsidR="00CF5A2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transformers</w:t>
      </w:r>
      <w:proofErr w:type="gramEnd"/>
      <w:r>
        <w:rPr>
          <w:rFonts w:ascii="Google Sans" w:eastAsia="Google Sans" w:hAnsi="Google Sans" w:cs="Google Sans"/>
          <w:color w:val="1F1F1F"/>
        </w:rPr>
        <w:t xml:space="preserve">: Houses the specific mathematical logic for processing data through the Medallion architecture, moving data from the </w:t>
      </w:r>
      <w:proofErr w:type="gramStart"/>
      <w:r>
        <w:rPr>
          <w:rFonts w:ascii="Google Sans" w:eastAsia="Google Sans" w:hAnsi="Google Sans" w:cs="Google Sans"/>
          <w:color w:val="1F1F1F"/>
        </w:rPr>
        <w:t>Bronze</w:t>
      </w:r>
      <w:proofErr w:type="gramEnd"/>
      <w:r>
        <w:rPr>
          <w:rFonts w:ascii="Google Sans" w:eastAsia="Google Sans" w:hAnsi="Google Sans" w:cs="Google Sans"/>
          <w:color w:val="1F1F1F"/>
        </w:rPr>
        <w:t xml:space="preserve"> tier to the </w:t>
      </w:r>
      <w:proofErr w:type="gramStart"/>
      <w:r>
        <w:rPr>
          <w:rFonts w:ascii="Google Sans" w:eastAsia="Google Sans" w:hAnsi="Google Sans" w:cs="Google Sans"/>
          <w:color w:val="1F1F1F"/>
        </w:rPr>
        <w:t>Silver</w:t>
      </w:r>
      <w:proofErr w:type="gramEnd"/>
      <w:r>
        <w:rPr>
          <w:rFonts w:ascii="Google Sans" w:eastAsia="Google Sans" w:hAnsi="Google Sans" w:cs="Google Sans"/>
          <w:color w:val="1F1F1F"/>
        </w:rPr>
        <w:t xml:space="preserve"> tier by calculating essential economic ratios.</w:t>
      </w:r>
    </w:p>
    <w:p w14:paraId="775F320D" w14:textId="77777777" w:rsidR="00CF5A2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loaders</w:t>
      </w:r>
      <w:proofErr w:type="gramEnd"/>
      <w:r>
        <w:rPr>
          <w:rFonts w:ascii="Google Sans" w:eastAsia="Google Sans" w:hAnsi="Google Sans" w:cs="Google Sans"/>
          <w:color w:val="1F1F1F"/>
        </w:rPr>
        <w:t>: Contains the scripts responsible for managing the secure insertion of validated data into the database architecture, enforcing the SQL schemas.</w:t>
      </w:r>
    </w:p>
    <w:p w14:paraId="1A100D58" w14:textId="77777777" w:rsidR="00CF5A2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/src/econometrics: The dedicated repository for all quantitative and theoretical mathematical models, completely isolated from data fetching logic.</w:t>
      </w:r>
      <w:r>
        <w:rPr>
          <w:rFonts w:ascii="Google Sans" w:eastAsia="Google Sans" w:hAnsi="Google Sans" w:cs="Google Sans"/>
          <w:color w:val="444746"/>
          <w:sz w:val="24"/>
          <w:szCs w:val="24"/>
          <w:vertAlign w:val="superscript"/>
        </w:rPr>
        <w:t>3</w:t>
      </w:r>
    </w:p>
    <w:p w14:paraId="74DC9CBE" w14:textId="77777777" w:rsidR="00CF5A2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classical</w:t>
      </w:r>
      <w:proofErr w:type="gramEnd"/>
      <w:r>
        <w:rPr>
          <w:rFonts w:ascii="Google Sans" w:eastAsia="Google Sans" w:hAnsi="Google Sans" w:cs="Google Sans"/>
          <w:color w:val="1F1F1F"/>
        </w:rPr>
        <w:t>: Implementations of Partial Equilibrium systems, General Equilibrium matrices, and Value-at-Risk portfolio models.</w:t>
      </w:r>
      <w:r>
        <w:rPr>
          <w:rFonts w:ascii="Google Sans" w:eastAsia="Google Sans" w:hAnsi="Google Sans" w:cs="Google Sans"/>
          <w:color w:val="444746"/>
          <w:sz w:val="24"/>
          <w:szCs w:val="24"/>
          <w:vertAlign w:val="superscript"/>
        </w:rPr>
        <w:t>1</w:t>
      </w:r>
    </w:p>
    <w:p w14:paraId="4E761291" w14:textId="77777777" w:rsidR="00CF5A2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w:t>
      </w:r>
      <w:proofErr w:type="spellStart"/>
      <w:proofErr w:type="gramStart"/>
      <w:r>
        <w:rPr>
          <w:rFonts w:ascii="Google Sans" w:eastAsia="Google Sans" w:hAnsi="Google Sans" w:cs="Google Sans"/>
          <w:color w:val="1F1F1F"/>
        </w:rPr>
        <w:t>machine</w:t>
      </w:r>
      <w:proofErr w:type="gramEnd"/>
      <w:r>
        <w:rPr>
          <w:rFonts w:ascii="Google Sans" w:eastAsia="Google Sans" w:hAnsi="Google Sans" w:cs="Google Sans"/>
          <w:color w:val="1F1F1F"/>
        </w:rPr>
        <w:t>_learning</w:t>
      </w:r>
      <w:proofErr w:type="spellEnd"/>
      <w:r>
        <w:rPr>
          <w:rFonts w:ascii="Google Sans" w:eastAsia="Google Sans" w:hAnsi="Google Sans" w:cs="Google Sans"/>
          <w:color w:val="1F1F1F"/>
        </w:rPr>
        <w:t>: Scripts supporting advanced statistical approaches, including Random Forest execution, SHAP analysis, and complex weather ensemble probabilistic modeling.</w:t>
      </w:r>
    </w:p>
    <w:p w14:paraId="22B33419" w14:textId="77777777" w:rsidR="00CF5A2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/src/scheduler: A fully unified scheduling module. This single directory combines the fractured logic of the various legacy dispatchers and task schedulers into one coherent, conflict-free application instance.</w:t>
      </w:r>
    </w:p>
    <w:p w14:paraId="4FE25A61" w14:textId="77777777" w:rsidR="00CF5A2C"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color w:val="1F1F1F"/>
        </w:rPr>
        <w:t>/src/tools: A repository of standardized tools that allow the autonomous agents to interact with the local file system, update Notion databases, and execute structured SQL queries securely.</w:t>
      </w:r>
    </w:p>
    <w:p w14:paraId="39B21707" w14:textId="77777777" w:rsidR="00CF5A2C" w:rsidRDefault="00000000">
      <w:pPr>
        <w:pBdr>
          <w:top w:val="nil"/>
          <w:left w:val="nil"/>
          <w:bottom w:val="nil"/>
          <w:right w:val="nil"/>
          <w:between w:val="nil"/>
        </w:pBdr>
        <w:spacing w:before="240"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b/>
          <w:bCs/>
          <w:color w:val="1F1F1F"/>
        </w:rPr>
        <w:t>3. State and Artifact Isolation (/data)</w:t>
      </w:r>
      <w:r>
        <w:rPr>
          <w:rFonts w:ascii="Google Sans" w:eastAsia="Google Sans" w:hAnsi="Google Sans" w:cs="Google Sans"/>
          <w:color w:val="1F1F1F"/>
        </w:rPr>
        <w:t xml:space="preserve"> This directory ensures a strict separation of state from logic, guaranteeing that raw datasets do not pollute the version control history.</w:t>
      </w:r>
      <w:r>
        <w:rPr>
          <w:rFonts w:ascii="Google Sans" w:eastAsia="Google Sans" w:hAnsi="Google Sans" w:cs="Google Sans"/>
          <w:color w:val="444746"/>
          <w:sz w:val="24"/>
          <w:szCs w:val="24"/>
          <w:vertAlign w:val="superscript"/>
        </w:rPr>
        <w:t>12</w:t>
      </w:r>
    </w:p>
    <w:p w14:paraId="002A2E94" w14:textId="77777777" w:rsidR="00CF5A2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/data/raw: The staging ground for unprocessed inputs downloaded directly from APIs or manual CSV drops, such as the complex EPA transaction logs.</w:t>
      </w:r>
    </w:p>
    <w:p w14:paraId="6D499EBB" w14:textId="77777777" w:rsidR="00CF5A2C"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color w:val="1F1F1F"/>
        </w:rPr>
        <w:t>/data/processed: The holding area for cleaned, transformed outputs that are fully ready for database insertion or direct economic analysis.</w:t>
      </w:r>
      <w:r>
        <w:rPr>
          <w:rFonts w:ascii="Google Sans" w:eastAsia="Google Sans" w:hAnsi="Google Sans" w:cs="Google Sans"/>
          <w:color w:val="444746"/>
          <w:sz w:val="24"/>
          <w:szCs w:val="24"/>
          <w:vertAlign w:val="superscript"/>
        </w:rPr>
        <w:t>13</w:t>
      </w:r>
    </w:p>
    <w:p w14:paraId="3C5B6A44" w14:textId="77777777" w:rsidR="00CF5A2C"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color w:val="1F1F1F"/>
        </w:rPr>
        <w:t>/data/cache: Highly temporary storage for recent API responses, utilized aggressively by the internal agents to minimize redundant network calls and accelerate processing speed.</w:t>
      </w:r>
      <w:r>
        <w:rPr>
          <w:rFonts w:ascii="Google Sans" w:eastAsia="Google Sans" w:hAnsi="Google Sans" w:cs="Google Sans"/>
          <w:color w:val="444746"/>
          <w:sz w:val="24"/>
          <w:szCs w:val="24"/>
          <w:vertAlign w:val="superscript"/>
        </w:rPr>
        <w:t>7</w:t>
      </w:r>
    </w:p>
    <w:p w14:paraId="1A087E02" w14:textId="77777777" w:rsidR="00CF5A2C" w:rsidRDefault="00000000">
      <w:pPr>
        <w:pBdr>
          <w:top w:val="nil"/>
          <w:left w:val="nil"/>
          <w:bottom w:val="nil"/>
          <w:right w:val="nil"/>
          <w:between w:val="nil"/>
        </w:pBdr>
        <w:spacing w:before="240" w:after="120" w:line="275" w:lineRule="auto"/>
        <w:rPr>
          <w:rFonts w:ascii="Google Sans" w:eastAsia="Google Sans" w:hAnsi="Google Sans" w:cs="Google Sans"/>
          <w:b/>
          <w:bCs/>
          <w:color w:val="1F1F1F"/>
        </w:rPr>
      </w:pPr>
      <w:r>
        <w:rPr>
          <w:rFonts w:ascii="Google Sans" w:eastAsia="Google Sans" w:hAnsi="Google Sans" w:cs="Google Sans"/>
          <w:b/>
          <w:bCs/>
          <w:color w:val="1F1F1F"/>
        </w:rPr>
        <w:t>4. Quality Assurance and Documentation (/tests and /docs)</w:t>
      </w:r>
    </w:p>
    <w:p w14:paraId="52D6DB42" w14:textId="77777777" w:rsidR="00CF5A2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tests</w:t>
      </w:r>
      <w:proofErr w:type="gramEnd"/>
      <w:r>
        <w:rPr>
          <w:rFonts w:ascii="Google Sans" w:eastAsia="Google Sans" w:hAnsi="Google Sans" w:cs="Google Sans"/>
          <w:color w:val="1F1F1F"/>
        </w:rPr>
        <w:t>: Contains comprehensive automated unit and integration tests. LLM agents must be designed for absolute testability, with predictable inputs and outputs mathematically verified in continuous integration pipelines to prevent logic degradation.</w:t>
      </w:r>
      <w:r>
        <w:rPr>
          <w:rFonts w:ascii="Google Sans" w:eastAsia="Google Sans" w:hAnsi="Google Sans" w:cs="Google Sans"/>
          <w:color w:val="444746"/>
          <w:sz w:val="24"/>
          <w:szCs w:val="24"/>
          <w:vertAlign w:val="superscript"/>
        </w:rPr>
        <w:t>6</w:t>
      </w:r>
    </w:p>
    <w:p w14:paraId="17A6463A" w14:textId="77777777" w:rsidR="00CF5A2C"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color w:val="1F1F1F"/>
        </w:rPr>
        <w:t>/</w:t>
      </w:r>
      <w:proofErr w:type="gramStart"/>
      <w:r>
        <w:rPr>
          <w:rFonts w:ascii="Google Sans" w:eastAsia="Google Sans" w:hAnsi="Google Sans" w:cs="Google Sans"/>
          <w:color w:val="1F1F1F"/>
        </w:rPr>
        <w:t>docs</w:t>
      </w:r>
      <w:proofErr w:type="gramEnd"/>
      <w:r>
        <w:rPr>
          <w:rFonts w:ascii="Google Sans" w:eastAsia="Google Sans" w:hAnsi="Google Sans" w:cs="Google Sans"/>
          <w:color w:val="1F1F1F"/>
        </w:rPr>
        <w:t xml:space="preserve">: Houses internal system documentation, detailed architecture decision records, operational runbooks, and visual SQL schema diagrams. This directory is designed to </w:t>
      </w:r>
      <w:r>
        <w:rPr>
          <w:rFonts w:ascii="Google Sans" w:eastAsia="Google Sans" w:hAnsi="Google Sans" w:cs="Google Sans"/>
          <w:color w:val="1F1F1F"/>
        </w:rPr>
        <w:lastRenderedPageBreak/>
        <w:t>eventually synchronize dynamically with the external Notion workspace, finally aligning the documentation with the physical reality of the codebase.</w:t>
      </w:r>
    </w:p>
    <w:p w14:paraId="60E0CAFA" w14:textId="77777777" w:rsidR="00CF5A2C"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Migration Plan and Consolidation Strategy</w:t>
      </w:r>
    </w:p>
    <w:p w14:paraId="2AD7C398" w14:textId="77777777" w:rsidR="00CF5A2C"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Migrating from the highly active, sprawling local directory to the proposed stringent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framework must be executed systematically and carefully to prevent catastrophic disruption to ongoing daily reporting cycles and data collection efforts. The transition process is segmented into four distinct, highly controlled phases.</w:t>
      </w:r>
    </w:p>
    <w:p w14:paraId="327771D7" w14:textId="77777777" w:rsidR="00CF5A2C"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Phase 1: Exhaustive Audit, Inventory, and Deprecation</w:t>
      </w:r>
    </w:p>
    <w:p w14:paraId="2B5713DB" w14:textId="77777777" w:rsidR="00CF5A2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immediate, paramount priority is neutralizing the dual implementation problem and halting operational drift. The system must be frozen, and its active state mapped.</w:t>
      </w:r>
    </w:p>
    <w:p w14:paraId="46A18EBA" w14:textId="77777777" w:rsidR="00CF5A2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Identify Active Code Paths:</w:t>
      </w:r>
      <w:r>
        <w:rPr>
          <w:rFonts w:ascii="Google Sans" w:eastAsia="Google Sans" w:hAnsi="Google Sans" w:cs="Google Sans"/>
          <w:color w:val="1F1F1F"/>
        </w:rPr>
        <w:t xml:space="preserve"> Analysts must review operational execution logs and the current Notion data export to definitively determine which version of each duplicated script is currently executing in the production environment.</w:t>
      </w:r>
    </w:p>
    <w:p w14:paraId="3EED4B10" w14:textId="77777777" w:rsidR="00CF5A2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Isolate Redundancies:</w:t>
      </w:r>
      <w:r>
        <w:rPr>
          <w:rFonts w:ascii="Google Sans" w:eastAsia="Google Sans" w:hAnsi="Google Sans" w:cs="Google Sans"/>
          <w:color w:val="1F1F1F"/>
        </w:rPr>
        <w:t xml:space="preserve"> The team must physically flag the 126 redundant files specifically identified in the preliminary restructuring proposal.</w:t>
      </w:r>
      <w:r>
        <w:rPr>
          <w:rFonts w:ascii="Google Sans" w:eastAsia="Google Sans" w:hAnsi="Google Sans" w:cs="Google Sans"/>
          <w:color w:val="444746"/>
          <w:sz w:val="24"/>
          <w:szCs w:val="24"/>
          <w:vertAlign w:val="superscript"/>
        </w:rPr>
        <w:t>1</w:t>
      </w:r>
    </w:p>
    <w:p w14:paraId="30658852" w14:textId="77777777" w:rsidR="00CF5A2C"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Aggressive Deprecation:</w:t>
      </w:r>
      <w:r>
        <w:rPr>
          <w:rFonts w:ascii="Google Sans" w:eastAsia="Google Sans" w:hAnsi="Google Sans" w:cs="Google Sans"/>
          <w:color w:val="1F1F1F"/>
        </w:rPr>
        <w:t xml:space="preserve"> All inactive, duplicated, and explicitly deprecated scripts must be immediately moved into a segregated, highly visible archive folder located entirely outside of the primary execution path. This action instantly clarifies the system's true state and prevents agents from accidentally invoking dead code.</w:t>
      </w:r>
    </w:p>
    <w:p w14:paraId="422B6DA8" w14:textId="77777777" w:rsidR="00CF5A2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2: Core Module Relocation and Strict Encapsulation</w:t>
      </w:r>
    </w:p>
    <w:p w14:paraId="171AA4E5" w14:textId="77777777" w:rsidR="00CF5A2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With the lethal redundancies removed, the remaining, verified active codebase must be relocated into the new architectural structure. This phase establishes the new physical reality of the platform.</w:t>
      </w:r>
    </w:p>
    <w:p w14:paraId="74349704" w14:textId="77777777" w:rsidR="00CF5A2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Standardize the Data Layer:</w:t>
      </w:r>
      <w:r>
        <w:rPr>
          <w:rFonts w:ascii="Google Sans" w:eastAsia="Google Sans" w:hAnsi="Google Sans" w:cs="Google Sans"/>
          <w:color w:val="1F1F1F"/>
        </w:rPr>
        <w:t xml:space="preserve"> All raw data files, legacy spreadsheets, and temporary cache files must be moved out of the root directory and into their designated, isolated subdirectories.</w:t>
      </w:r>
      <w:r>
        <w:rPr>
          <w:rFonts w:ascii="Google Sans" w:eastAsia="Google Sans" w:hAnsi="Google Sans" w:cs="Google Sans"/>
          <w:color w:val="444746"/>
          <w:sz w:val="24"/>
          <w:szCs w:val="24"/>
          <w:vertAlign w:val="superscript"/>
        </w:rPr>
        <w:t>13</w:t>
      </w:r>
    </w:p>
    <w:p w14:paraId="20926CA4" w14:textId="77777777" w:rsidR="00CF5A2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Establish the Cognitive Agents:</w:t>
      </w:r>
      <w:r>
        <w:rPr>
          <w:rFonts w:ascii="Google Sans" w:eastAsia="Google Sans" w:hAnsi="Google Sans" w:cs="Google Sans"/>
          <w:color w:val="1F1F1F"/>
        </w:rPr>
        <w:t xml:space="preserve"> The core orchestration modules, including the master agent and the specialized communication agents, must be relocated into their secure core directory.</w:t>
      </w:r>
    </w:p>
    <w:p w14:paraId="2C5E908B" w14:textId="77777777" w:rsidR="00CF5A2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Consolidate the Data Pipeline:</w:t>
      </w:r>
      <w:r>
        <w:rPr>
          <w:rFonts w:ascii="Google Sans" w:eastAsia="Google Sans" w:hAnsi="Google Sans" w:cs="Google Sans"/>
          <w:color w:val="1F1F1F"/>
        </w:rPr>
        <w:t xml:space="preserve"> All active collector scripts must be migrated from their scattered regional folders into the unified pipeline directory. During this move, developers must ensure that every single collector accurately inherits its foundational logic from the standardized base class, enforcing uniformity.</w:t>
      </w:r>
    </w:p>
    <w:p w14:paraId="42DBEA7B" w14:textId="77777777" w:rsidR="00CF5A2C"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Secure the Econometrics:</w:t>
      </w:r>
      <w:r>
        <w:rPr>
          <w:rFonts w:ascii="Google Sans" w:eastAsia="Google Sans" w:hAnsi="Google Sans" w:cs="Google Sans"/>
          <w:color w:val="1F1F1F"/>
        </w:rPr>
        <w:t xml:space="preserve"> The complex Value-at-Risk models, the partial equilibrium equations, and the machine learning components must be carefully extracted from </w:t>
      </w:r>
      <w:r>
        <w:rPr>
          <w:rFonts w:ascii="Google Sans" w:eastAsia="Google Sans" w:hAnsi="Google Sans" w:cs="Google Sans"/>
          <w:color w:val="1F1F1F"/>
        </w:rPr>
        <w:lastRenderedPageBreak/>
        <w:t>general script folders and secured within the dedicated econometrics module.</w:t>
      </w:r>
      <w:r>
        <w:rPr>
          <w:rFonts w:ascii="Google Sans" w:eastAsia="Google Sans" w:hAnsi="Google Sans" w:cs="Google Sans"/>
          <w:color w:val="444746"/>
          <w:sz w:val="24"/>
          <w:szCs w:val="24"/>
          <w:vertAlign w:val="superscript"/>
        </w:rPr>
        <w:t>1</w:t>
      </w:r>
    </w:p>
    <w:p w14:paraId="09BF3D30" w14:textId="77777777" w:rsidR="00CF5A2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3: Unification of Scheduling and Dispatch Operations</w:t>
      </w:r>
    </w:p>
    <w:p w14:paraId="089B1F60" w14:textId="77777777" w:rsidR="00CF5A2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highly fragmented execution triggers must be forcibly consolidated to prevent resource conflicts, database locking, and severe API rate-limiting issues.</w:t>
      </w:r>
    </w:p>
    <w:p w14:paraId="420F5D8C" w14:textId="77777777" w:rsidR="00CF5A2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Audit Execution Schedules:</w:t>
      </w:r>
      <w:r>
        <w:rPr>
          <w:rFonts w:ascii="Google Sans" w:eastAsia="Google Sans" w:hAnsi="Google Sans" w:cs="Google Sans"/>
          <w:color w:val="1F1F1F"/>
        </w:rPr>
        <w:t xml:space="preserve"> Analysts must map every single existing execution trigger currently located across the daemon, the regional schedulers, and the operating system task scheduler.</w:t>
      </w:r>
    </w:p>
    <w:p w14:paraId="62849C20" w14:textId="77777777" w:rsidR="00CF5A2C"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Centralize Timing Logic:</w:t>
      </w:r>
      <w:r>
        <w:rPr>
          <w:rFonts w:ascii="Google Sans" w:eastAsia="Google Sans" w:hAnsi="Google Sans" w:cs="Google Sans"/>
          <w:color w:val="1F1F1F"/>
        </w:rPr>
        <w:t xml:space="preserve"> The team must select a single, robust scheduling paradigm. All timing logic must be transferred into a single, centralized master daemon module, ensuring that no two scripts can inadvertently fire simultaneously and cause a race condition.</w:t>
      </w:r>
    </w:p>
    <w:p w14:paraId="1466506B" w14:textId="77777777" w:rsidR="00CF5A2C"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Decommission Legacy Triggers:</w:t>
      </w:r>
      <w:r>
        <w:rPr>
          <w:rFonts w:ascii="Google Sans" w:eastAsia="Google Sans" w:hAnsi="Google Sans" w:cs="Google Sans"/>
          <w:color w:val="1F1F1F"/>
        </w:rPr>
        <w:t xml:space="preserve"> Once the central </w:t>
      </w:r>
      <w:proofErr w:type="gramStart"/>
      <w:r>
        <w:rPr>
          <w:rFonts w:ascii="Google Sans" w:eastAsia="Google Sans" w:hAnsi="Google Sans" w:cs="Google Sans"/>
          <w:color w:val="1F1F1F"/>
        </w:rPr>
        <w:t>daemon</w:t>
      </w:r>
      <w:proofErr w:type="gramEnd"/>
      <w:r>
        <w:rPr>
          <w:rFonts w:ascii="Google Sans" w:eastAsia="Google Sans" w:hAnsi="Google Sans" w:cs="Google Sans"/>
          <w:color w:val="1F1F1F"/>
        </w:rPr>
        <w:t xml:space="preserve"> is verified, the redundant Windows Task Scheduler configurations must be deactivated, and the localized scheduling files must be permanently deleted.</w:t>
      </w:r>
    </w:p>
    <w:p w14:paraId="3427D5B7" w14:textId="77777777" w:rsidR="00CF5A2C"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Phase 4: Database Finalization and Documentation Synchronization</w:t>
      </w:r>
    </w:p>
    <w:p w14:paraId="773E93D6" w14:textId="77777777" w:rsidR="00CF5A2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final phase solidifies the data engineering backend and aligns the system's documentation with its new physical architecture.</w:t>
      </w:r>
    </w:p>
    <w:p w14:paraId="36BA6816" w14:textId="77777777" w:rsidR="00CF5A2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Schema Unification:</w:t>
      </w:r>
      <w:r>
        <w:rPr>
          <w:rFonts w:ascii="Google Sans" w:eastAsia="Google Sans" w:hAnsi="Google Sans" w:cs="Google Sans"/>
          <w:color w:val="1F1F1F"/>
        </w:rPr>
        <w:t xml:space="preserve"> The various fragmented SQL creation scripts must be combined into a single, coherent database migration tool. This ensures that the eventual transition from the local prototyping environment to the cloud-based production environment is managed via strict, version-controlled migrations.</w:t>
      </w:r>
    </w:p>
    <w:p w14:paraId="2837EAD6" w14:textId="77777777" w:rsidR="00CF5A2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Comprehensive Security Audit:</w:t>
      </w:r>
      <w:r>
        <w:rPr>
          <w:rFonts w:ascii="Google Sans" w:eastAsia="Google Sans" w:hAnsi="Google Sans" w:cs="Google Sans"/>
          <w:color w:val="1F1F1F"/>
        </w:rPr>
        <w:t xml:space="preserve"> Developers must ensure that all API keys, database credentials, and LLM connection strings have been completely removed from hardcoded scripts and are securely managed exclusively via </w:t>
      </w:r>
      <w:proofErr w:type="gramStart"/>
      <w:r>
        <w:rPr>
          <w:rFonts w:ascii="Google Sans" w:eastAsia="Google Sans" w:hAnsi="Google Sans" w:cs="Google Sans"/>
          <w:color w:val="1F1F1F"/>
        </w:rPr>
        <w:t>environment</w:t>
      </w:r>
      <w:proofErr w:type="gramEnd"/>
      <w:r>
        <w:rPr>
          <w:rFonts w:ascii="Google Sans" w:eastAsia="Google Sans" w:hAnsi="Google Sans" w:cs="Google Sans"/>
          <w:color w:val="1F1F1F"/>
        </w:rPr>
        <w:t xml:space="preserve"> variables.</w:t>
      </w:r>
    </w:p>
    <w:p w14:paraId="0438DB3A" w14:textId="77777777" w:rsidR="00CF5A2C"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Notion Alignment:</w:t>
      </w:r>
      <w:r>
        <w:rPr>
          <w:rFonts w:ascii="Google Sans" w:eastAsia="Google Sans" w:hAnsi="Google Sans" w:cs="Google Sans"/>
          <w:color w:val="1F1F1F"/>
        </w:rPr>
        <w:t xml:space="preserve"> A final, comprehensive synchronization must be executed between the new, physical repository structure and the external Notion databases. Because the new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possesses a singular, unified pathing structure, this action will permanently resolve the location tracking and documentation desynchronization issues that plagued the previous architecture.</w:t>
      </w:r>
    </w:p>
    <w:p w14:paraId="143EFE7D" w14:textId="77777777" w:rsidR="00CF5A2C" w:rsidRDefault="00000000">
      <w:pPr>
        <w:pBdr>
          <w:top w:val="nil"/>
          <w:left w:val="nil"/>
          <w:bottom w:val="nil"/>
          <w:right w:val="nil"/>
          <w:between w:val="nil"/>
        </w:pBdr>
        <w:spacing w:before="240" w:after="255" w:line="275" w:lineRule="auto"/>
        <w:rPr>
          <w:rFonts w:ascii="Google Sans" w:eastAsia="Google Sans" w:hAnsi="Google Sans" w:cs="Google Sans"/>
          <w:color w:val="1F1F1F"/>
        </w:rPr>
      </w:pPr>
      <w:r>
        <w:rPr>
          <w:rFonts w:ascii="Google Sans" w:eastAsia="Google Sans" w:hAnsi="Google Sans" w:cs="Google Sans"/>
          <w:color w:val="1F1F1F"/>
        </w:rPr>
        <w:t xml:space="preserve">By executing this rigorous, disciplined migration to a modular, domain-driven </w:t>
      </w:r>
      <w:proofErr w:type="spellStart"/>
      <w:r>
        <w:rPr>
          <w:rFonts w:ascii="Google Sans" w:eastAsia="Google Sans" w:hAnsi="Google Sans" w:cs="Google Sans"/>
          <w:color w:val="1F1F1F"/>
        </w:rPr>
        <w:t>monorepo</w:t>
      </w:r>
      <w:proofErr w:type="spellEnd"/>
      <w:r>
        <w:rPr>
          <w:rFonts w:ascii="Google Sans" w:eastAsia="Google Sans" w:hAnsi="Google Sans" w:cs="Google Sans"/>
          <w:color w:val="1F1F1F"/>
        </w:rPr>
        <w:t xml:space="preserve"> architecture, the platform will </w:t>
      </w:r>
      <w:proofErr w:type="gramStart"/>
      <w:r>
        <w:rPr>
          <w:rFonts w:ascii="Google Sans" w:eastAsia="Google Sans" w:hAnsi="Google Sans" w:cs="Google Sans"/>
          <w:color w:val="1F1F1F"/>
        </w:rPr>
        <w:t>completely eliminate</w:t>
      </w:r>
      <w:proofErr w:type="gramEnd"/>
      <w:r>
        <w:rPr>
          <w:rFonts w:ascii="Google Sans" w:eastAsia="Google Sans" w:hAnsi="Google Sans" w:cs="Google Sans"/>
          <w:color w:val="1F1F1F"/>
        </w:rPr>
        <w:t xml:space="preserve"> the inefficiencies and hazards of its current state. Establishing a unified, deterministic codebase with distinct, impenetrable boundaries for data engineering pipelines, mathematical econometric frameworks, and generative AI orchestration will provide the unshakeable structural integrity required to support highly autonomous, secure, and impeccably accurate agricultural market analysis.</w:t>
      </w:r>
    </w:p>
    <w:p w14:paraId="4FB5C0A6" w14:textId="77777777" w:rsidR="00CF5A2C" w:rsidRDefault="00000000">
      <w:pPr>
        <w:pStyle w:val="Heading4"/>
        <w:spacing w:before="0"/>
        <w:rPr>
          <w:rFonts w:ascii="Google Sans" w:eastAsia="Google Sans" w:hAnsi="Google Sans" w:cs="Google Sans"/>
        </w:rPr>
      </w:pPr>
      <w:r>
        <w:rPr>
          <w:rFonts w:ascii="Google Sans" w:eastAsia="Google Sans" w:hAnsi="Google Sans" w:cs="Google Sans"/>
        </w:rPr>
        <w:lastRenderedPageBreak/>
        <w:t>Works cited</w:t>
      </w:r>
    </w:p>
    <w:p w14:paraId="0AAC85D6"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Designing a Commodity Data Database and Agent Integration.docx, </w:t>
      </w:r>
      <w:hyperlink r:id="rId5">
        <w:r>
          <w:rPr>
            <w:rFonts w:ascii="Google Sans" w:eastAsia="Google Sans" w:hAnsi="Google Sans" w:cs="Google Sans"/>
            <w:color w:val="0000EE"/>
            <w:sz w:val="24"/>
            <w:szCs w:val="24"/>
            <w:u w:val="single"/>
          </w:rPr>
          <w:t>https://drive.google.com/open?id=1uNQNhdP4o5t2xelskrq9GHqxeqTu4Cvy</w:t>
        </w:r>
      </w:hyperlink>
    </w:p>
    <w:p w14:paraId="17971AF1" w14:textId="77777777" w:rsidR="00CF5A2C" w:rsidRDefault="00000000">
      <w:pPr>
        <w:numPr>
          <w:ilvl w:val="0"/>
          <w:numId w:val="13"/>
        </w:numPr>
        <w:pBdr>
          <w:top w:val="nil"/>
          <w:left w:val="nil"/>
          <w:bottom w:val="nil"/>
          <w:right w:val="nil"/>
          <w:between w:val="nil"/>
        </w:pBdr>
      </w:pPr>
      <w:proofErr w:type="spellStart"/>
      <w:r>
        <w:rPr>
          <w:rFonts w:ascii="Google Sans" w:eastAsia="Google Sans" w:hAnsi="Google Sans" w:cs="Google Sans"/>
          <w:sz w:val="24"/>
          <w:szCs w:val="24"/>
        </w:rPr>
        <w:t>Monorepo</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Polyrepo</w:t>
      </w:r>
      <w:proofErr w:type="spellEnd"/>
      <w:r>
        <w:rPr>
          <w:rFonts w:ascii="Google Sans" w:eastAsia="Google Sans" w:hAnsi="Google Sans" w:cs="Google Sans"/>
          <w:sz w:val="24"/>
          <w:szCs w:val="24"/>
        </w:rPr>
        <w:t xml:space="preserve">: What the Benchmark Data Actually Shows | Faros AI, accessed March 10, 2026, </w:t>
      </w:r>
      <w:hyperlink r:id="rId6">
        <w:r>
          <w:rPr>
            <w:rFonts w:ascii="Google Sans" w:eastAsia="Google Sans" w:hAnsi="Google Sans" w:cs="Google Sans"/>
            <w:color w:val="0000EE"/>
            <w:sz w:val="24"/>
            <w:szCs w:val="24"/>
            <w:u w:val="single"/>
          </w:rPr>
          <w:t>https://www.faros.ai/blog/monorepo-vs-polyrepo-benchmark-data</w:t>
        </w:r>
      </w:hyperlink>
    </w:p>
    <w:p w14:paraId="1AF14BDF" w14:textId="77777777" w:rsidR="00CF5A2C" w:rsidRPr="00FB17EC" w:rsidRDefault="00000000">
      <w:pPr>
        <w:numPr>
          <w:ilvl w:val="0"/>
          <w:numId w:val="13"/>
        </w:numPr>
        <w:pBdr>
          <w:top w:val="nil"/>
          <w:left w:val="nil"/>
          <w:bottom w:val="nil"/>
          <w:right w:val="nil"/>
          <w:between w:val="nil"/>
        </w:pBdr>
        <w:rPr>
          <w:lang w:val="de-DE"/>
        </w:rPr>
      </w:pPr>
      <w:r w:rsidRPr="00FB17EC">
        <w:rPr>
          <w:rFonts w:ascii="Google Sans" w:eastAsia="Google Sans" w:hAnsi="Google Sans" w:cs="Google Sans"/>
          <w:sz w:val="24"/>
          <w:szCs w:val="24"/>
          <w:lang w:val="de-DE"/>
        </w:rPr>
        <w:t xml:space="preserve">ag_econ_models_reference_v2.docx, </w:t>
      </w:r>
      <w:hyperlink r:id="rId7">
        <w:r w:rsidRPr="00FB17EC">
          <w:rPr>
            <w:rFonts w:ascii="Google Sans" w:eastAsia="Google Sans" w:hAnsi="Google Sans" w:cs="Google Sans"/>
            <w:color w:val="0000EE"/>
            <w:sz w:val="24"/>
            <w:szCs w:val="24"/>
            <w:u w:val="single"/>
            <w:lang w:val="de-DE"/>
          </w:rPr>
          <w:t>https://drive.google.com/open?id=13-MV74CpROxSy6BCH5PMz2lmYJbztlj3</w:t>
        </w:r>
      </w:hyperlink>
    </w:p>
    <w:p w14:paraId="35F865F5"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Exploring the complementarity between traditional econometric methods and machine learning - Iowa State University Digital Repository, accessed March 10, 2026, </w:t>
      </w:r>
      <w:hyperlink r:id="rId8">
        <w:r>
          <w:rPr>
            <w:rFonts w:ascii="Google Sans" w:eastAsia="Google Sans" w:hAnsi="Google Sans" w:cs="Google Sans"/>
            <w:color w:val="0000EE"/>
            <w:sz w:val="24"/>
            <w:szCs w:val="24"/>
            <w:u w:val="single"/>
          </w:rPr>
          <w:t>https://dr.lib.iastate.edu/bitstreams/b51d442a-7b19-4376-95c9-e6f031f95948/download</w:t>
        </w:r>
      </w:hyperlink>
    </w:p>
    <w:p w14:paraId="156C2779"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Probabilistic programming for embedding theory and quantifying uncertainty in econometric analysis | European Review of Agricultural Economics | Oxford Academic, accessed March 10, 2026, </w:t>
      </w:r>
      <w:hyperlink r:id="rId9">
        <w:r>
          <w:rPr>
            <w:rFonts w:ascii="Google Sans" w:eastAsia="Google Sans" w:hAnsi="Google Sans" w:cs="Google Sans"/>
            <w:color w:val="0000EE"/>
            <w:sz w:val="24"/>
            <w:szCs w:val="24"/>
            <w:u w:val="single"/>
          </w:rPr>
          <w:t>https://academic.oup.com/erae/article/51/3/589/7704545</w:t>
        </w:r>
      </w:hyperlink>
    </w:p>
    <w:p w14:paraId="7132FAA9"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doctor-of-engineering/1-foundations/exercises/best_practices/llm-agent-best-practices.md at main - GitHub, accessed March 10, 2026, </w:t>
      </w:r>
      <w:hyperlink r:id="rId10">
        <w:r>
          <w:rPr>
            <w:rFonts w:ascii="Google Sans" w:eastAsia="Google Sans" w:hAnsi="Google Sans" w:cs="Google Sans"/>
            <w:color w:val="0000EE"/>
            <w:sz w:val="24"/>
            <w:szCs w:val="24"/>
            <w:u w:val="single"/>
          </w:rPr>
          <w:t>https://github.com/matthewrenze/doctor-of-engineering/blob/main/1-foundations/exercises/best_practices/llm-agent-best-practices.md</w:t>
        </w:r>
      </w:hyperlink>
    </w:p>
    <w:p w14:paraId="4BC71DF4"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Designing a Commodity Data Database and Agent Integration.docx, </w:t>
      </w:r>
      <w:hyperlink r:id="rId11">
        <w:r>
          <w:rPr>
            <w:rFonts w:ascii="Google Sans" w:eastAsia="Google Sans" w:hAnsi="Google Sans" w:cs="Google Sans"/>
            <w:color w:val="0000EE"/>
            <w:sz w:val="24"/>
            <w:szCs w:val="24"/>
            <w:u w:val="single"/>
          </w:rPr>
          <w:t>https://drive.google.com/open?id=1xYuZC1jHin7SfiiqiJNXey2NGgxO1yfB</w:t>
        </w:r>
      </w:hyperlink>
    </w:p>
    <w:p w14:paraId="30D4FD85"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Monorepo</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Polyrepo</w:t>
      </w:r>
      <w:proofErr w:type="spellEnd"/>
      <w:r>
        <w:rPr>
          <w:rFonts w:ascii="Google Sans" w:eastAsia="Google Sans" w:hAnsi="Google Sans" w:cs="Google Sans"/>
          <w:sz w:val="24"/>
          <w:szCs w:val="24"/>
        </w:rPr>
        <w:t xml:space="preserve">: Choosing the Right Strategy for Your Projects - DEV Community, accessed March 10, 2026, </w:t>
      </w:r>
      <w:hyperlink r:id="rId12">
        <w:r>
          <w:rPr>
            <w:rFonts w:ascii="Google Sans" w:eastAsia="Google Sans" w:hAnsi="Google Sans" w:cs="Google Sans"/>
            <w:color w:val="0000EE"/>
            <w:sz w:val="24"/>
            <w:szCs w:val="24"/>
            <w:u w:val="single"/>
          </w:rPr>
          <w:t>https://dev.to/hamzakhan/monorepo-vs-polyrepo-choosing-the-right-strategy-for-your-projects-5eb3</w:t>
        </w:r>
      </w:hyperlink>
    </w:p>
    <w:p w14:paraId="760EB606"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Main reasons to go </w:t>
      </w:r>
      <w:proofErr w:type="spellStart"/>
      <w:r>
        <w:rPr>
          <w:rFonts w:ascii="Google Sans" w:eastAsia="Google Sans" w:hAnsi="Google Sans" w:cs="Google Sans"/>
          <w:sz w:val="24"/>
          <w:szCs w:val="24"/>
        </w:rPr>
        <w:t>monorepo</w:t>
      </w:r>
      <w:proofErr w:type="spellEnd"/>
      <w:r>
        <w:rPr>
          <w:rFonts w:ascii="Google Sans" w:eastAsia="Google Sans" w:hAnsi="Google Sans" w:cs="Google Sans"/>
          <w:sz w:val="24"/>
          <w:szCs w:val="24"/>
        </w:rPr>
        <w:t xml:space="preserve"> vs </w:t>
      </w:r>
      <w:proofErr w:type="spellStart"/>
      <w:r>
        <w:rPr>
          <w:rFonts w:ascii="Google Sans" w:eastAsia="Google Sans" w:hAnsi="Google Sans" w:cs="Google Sans"/>
          <w:sz w:val="24"/>
          <w:szCs w:val="24"/>
        </w:rPr>
        <w:t>polyrepo</w:t>
      </w:r>
      <w:proofErr w:type="spellEnd"/>
      <w:r>
        <w:rPr>
          <w:rFonts w:ascii="Google Sans" w:eastAsia="Google Sans" w:hAnsi="Google Sans" w:cs="Google Sans"/>
          <w:sz w:val="24"/>
          <w:szCs w:val="24"/>
        </w:rPr>
        <w:t xml:space="preserve"> and vice versa? : r/</w:t>
      </w:r>
      <w:proofErr w:type="spellStart"/>
      <w:r>
        <w:rPr>
          <w:rFonts w:ascii="Google Sans" w:eastAsia="Google Sans" w:hAnsi="Google Sans" w:cs="Google Sans"/>
          <w:sz w:val="24"/>
          <w:szCs w:val="24"/>
        </w:rPr>
        <w:t>ExperiencedDevs</w:t>
      </w:r>
      <w:proofErr w:type="spellEnd"/>
      <w:r>
        <w:rPr>
          <w:rFonts w:ascii="Google Sans" w:eastAsia="Google Sans" w:hAnsi="Google Sans" w:cs="Google Sans"/>
          <w:sz w:val="24"/>
          <w:szCs w:val="24"/>
        </w:rPr>
        <w:t xml:space="preserve"> - Reddit, accessed March 10, 2026, </w:t>
      </w:r>
      <w:hyperlink r:id="rId13">
        <w:r>
          <w:rPr>
            <w:rFonts w:ascii="Google Sans" w:eastAsia="Google Sans" w:hAnsi="Google Sans" w:cs="Google Sans"/>
            <w:color w:val="0000EE"/>
            <w:sz w:val="24"/>
            <w:szCs w:val="24"/>
            <w:u w:val="single"/>
          </w:rPr>
          <w:t>https://www.reddit.com/r/ExperiencedDevs/comments/1qvkv01/main_reasons_to_go_monorepo_vs_polyrepo_and_vice/</w:t>
        </w:r>
      </w:hyperlink>
    </w:p>
    <w:p w14:paraId="2D69F4CC"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project layout | Python Best Practices, accessed March 10, 2026, </w:t>
      </w:r>
      <w:hyperlink r:id="rId14">
        <w:r>
          <w:rPr>
            <w:rFonts w:ascii="Google Sans" w:eastAsia="Google Sans" w:hAnsi="Google Sans" w:cs="Google Sans"/>
            <w:color w:val="0000EE"/>
            <w:sz w:val="24"/>
            <w:szCs w:val="24"/>
            <w:u w:val="single"/>
          </w:rPr>
          <w:t>https://realpython.com/ref/best-practices/project-layout/</w:t>
        </w:r>
      </w:hyperlink>
    </w:p>
    <w:p w14:paraId="54E1103F"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Structuring Your Project - The Hitchhiker's Guide to Python, accessed March 10, 2026, </w:t>
      </w:r>
      <w:hyperlink r:id="rId15">
        <w:r>
          <w:rPr>
            <w:rFonts w:ascii="Google Sans" w:eastAsia="Google Sans" w:hAnsi="Google Sans" w:cs="Google Sans"/>
            <w:color w:val="0000EE"/>
            <w:sz w:val="24"/>
            <w:szCs w:val="24"/>
            <w:u w:val="single"/>
          </w:rPr>
          <w:t>https://docs.python-guide.org/writing/structure/</w:t>
        </w:r>
      </w:hyperlink>
    </w:p>
    <w:p w14:paraId="59392E6E"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Reproducible Data Creation Pipeline — Climate CAFE SOP, accessed March 10, 2026, </w:t>
      </w:r>
      <w:hyperlink r:id="rId16">
        <w:r>
          <w:rPr>
            <w:rFonts w:ascii="Google Sans" w:eastAsia="Google Sans" w:hAnsi="Google Sans" w:cs="Google Sans"/>
            <w:color w:val="0000EE"/>
            <w:sz w:val="24"/>
            <w:szCs w:val="24"/>
            <w:u w:val="single"/>
          </w:rPr>
          <w:t>https://climate-cafe.github.io/template.html</w:t>
        </w:r>
      </w:hyperlink>
    </w:p>
    <w:p w14:paraId="01B7213C"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Organizing Your Data Engineering Project for Success - Acta Laurel, accessed March 10, 2026, </w:t>
      </w:r>
      <w:hyperlink r:id="rId17">
        <w:r>
          <w:rPr>
            <w:rFonts w:ascii="Google Sans" w:eastAsia="Google Sans" w:hAnsi="Google Sans" w:cs="Google Sans"/>
            <w:color w:val="0000EE"/>
            <w:sz w:val="24"/>
            <w:szCs w:val="24"/>
            <w:u w:val="single"/>
          </w:rPr>
          <w:t>https://actalaurel.com/analytics/f/organizing-your-data-engineering-project-for-success</w:t>
        </w:r>
      </w:hyperlink>
    </w:p>
    <w:p w14:paraId="6982A428" w14:textId="77777777" w:rsidR="00CF5A2C" w:rsidRDefault="00000000">
      <w:pPr>
        <w:numPr>
          <w:ilvl w:val="0"/>
          <w:numId w:val="13"/>
        </w:numPr>
        <w:pBdr>
          <w:top w:val="nil"/>
          <w:left w:val="nil"/>
          <w:bottom w:val="nil"/>
          <w:right w:val="nil"/>
          <w:between w:val="nil"/>
        </w:pBdr>
      </w:pPr>
      <w:proofErr w:type="spellStart"/>
      <w:r>
        <w:rPr>
          <w:rFonts w:ascii="Google Sans" w:eastAsia="Google Sans" w:hAnsi="Google Sans" w:cs="Google Sans"/>
          <w:sz w:val="24"/>
          <w:szCs w:val="24"/>
        </w:rPr>
        <w:t>saabi</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llm</w:t>
      </w:r>
      <w:proofErr w:type="spellEnd"/>
      <w:r>
        <w:rPr>
          <w:rFonts w:ascii="Google Sans" w:eastAsia="Google Sans" w:hAnsi="Google Sans" w:cs="Google Sans"/>
          <w:sz w:val="24"/>
          <w:szCs w:val="24"/>
        </w:rPr>
        <w:t xml:space="preserve">-agent-project-setup - GitHub, accessed March 10, 2026, </w:t>
      </w:r>
      <w:hyperlink r:id="rId18">
        <w:r>
          <w:rPr>
            <w:rFonts w:ascii="Google Sans" w:eastAsia="Google Sans" w:hAnsi="Google Sans" w:cs="Google Sans"/>
            <w:color w:val="0000EE"/>
            <w:sz w:val="24"/>
            <w:szCs w:val="24"/>
            <w:u w:val="single"/>
          </w:rPr>
          <w:t>https://github.com/saabi/llm-agent-project-setup</w:t>
        </w:r>
      </w:hyperlink>
    </w:p>
    <w:p w14:paraId="53E07690"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How to write a great agents.md: Lessons from over 2,500 repositories - The GitHub Blog, accessed March 10, 2026, </w:t>
      </w:r>
      <w:hyperlink r:id="rId19">
        <w:r>
          <w:rPr>
            <w:rFonts w:ascii="Google Sans" w:eastAsia="Google Sans" w:hAnsi="Google Sans" w:cs="Google Sans"/>
            <w:color w:val="0000EE"/>
            <w:sz w:val="24"/>
            <w:szCs w:val="24"/>
            <w:u w:val="single"/>
          </w:rPr>
          <w:t>https://github.blog/ai-and-ml/github-</w:t>
        </w:r>
        <w:r>
          <w:rPr>
            <w:rFonts w:ascii="Google Sans" w:eastAsia="Google Sans" w:hAnsi="Google Sans" w:cs="Google Sans"/>
            <w:color w:val="0000EE"/>
            <w:sz w:val="24"/>
            <w:szCs w:val="24"/>
            <w:u w:val="single"/>
          </w:rPr>
          <w:lastRenderedPageBreak/>
          <w:t>copilot/how-to-write-a-great-agents-md-lessons-from-over-2500-repositories/</w:t>
        </w:r>
      </w:hyperlink>
    </w:p>
    <w:p w14:paraId="65314F99" w14:textId="77777777" w:rsidR="00CF5A2C" w:rsidRDefault="00000000">
      <w:pPr>
        <w:numPr>
          <w:ilvl w:val="0"/>
          <w:numId w:val="13"/>
        </w:numPr>
        <w:pBdr>
          <w:top w:val="nil"/>
          <w:left w:val="nil"/>
          <w:bottom w:val="nil"/>
          <w:right w:val="nil"/>
          <w:between w:val="nil"/>
        </w:pBdr>
      </w:pPr>
      <w:r>
        <w:rPr>
          <w:rFonts w:ascii="Google Sans" w:eastAsia="Google Sans" w:hAnsi="Google Sans" w:cs="Google Sans"/>
          <w:sz w:val="24"/>
          <w:szCs w:val="24"/>
        </w:rPr>
        <w:t xml:space="preserve">What's your approach to organizing Python projects for readability and scalability? - Reddit, accessed March 10, 2026, </w:t>
      </w:r>
      <w:hyperlink r:id="rId20">
        <w:r>
          <w:rPr>
            <w:rFonts w:ascii="Google Sans" w:eastAsia="Google Sans" w:hAnsi="Google Sans" w:cs="Google Sans"/>
            <w:color w:val="0000EE"/>
            <w:sz w:val="24"/>
            <w:szCs w:val="24"/>
            <w:u w:val="single"/>
          </w:rPr>
          <w:t>https://www.reddit.com/r/Python/comments/1lotna6/whats_your_approach_to_organizing_python_projects/</w:t>
        </w:r>
      </w:hyperlink>
    </w:p>
    <w:sectPr w:rsidR="00CF5A2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14D033-34E9-438E-AF83-481DE1CF4614}"/>
  </w:font>
  <w:font w:name="Google Sans">
    <w:charset w:val="00"/>
    <w:family w:val="auto"/>
    <w:pitch w:val="default"/>
    <w:embedRegular r:id="rId2" w:fontKey="{9F041CDB-D6F2-483B-ABF8-0BB6640701CF}"/>
    <w:embedBold r:id="rId3" w:fontKey="{A2F4A831-CF6A-4B86-B114-7A006E6343C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6636CF6-1BF0-47B1-8F52-BC001D5E6B5D}"/>
  </w:font>
  <w:font w:name="Cambria">
    <w:panose1 w:val="02040503050406030204"/>
    <w:charset w:val="00"/>
    <w:family w:val="roman"/>
    <w:pitch w:val="variable"/>
    <w:sig w:usb0="E00006FF" w:usb1="420024FF" w:usb2="02000000" w:usb3="00000000" w:csb0="0000019F" w:csb1="00000000"/>
    <w:embedRegular r:id="rId5" w:fontKey="{6D24C3BB-9D55-4E7C-BE69-382EA4D7BA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760CC"/>
    <w:multiLevelType w:val="multilevel"/>
    <w:tmpl w:val="7F7058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D0B7E72"/>
    <w:multiLevelType w:val="multilevel"/>
    <w:tmpl w:val="82AECDD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E173891"/>
    <w:multiLevelType w:val="multilevel"/>
    <w:tmpl w:val="9806A9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77B7E67"/>
    <w:multiLevelType w:val="multilevel"/>
    <w:tmpl w:val="325675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AE32595"/>
    <w:multiLevelType w:val="multilevel"/>
    <w:tmpl w:val="1662F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FCB5C6E"/>
    <w:multiLevelType w:val="multilevel"/>
    <w:tmpl w:val="6BA887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B71D53"/>
    <w:multiLevelType w:val="multilevel"/>
    <w:tmpl w:val="7FCC1F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9621692"/>
    <w:multiLevelType w:val="multilevel"/>
    <w:tmpl w:val="4BB84F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B033328"/>
    <w:multiLevelType w:val="multilevel"/>
    <w:tmpl w:val="85F200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CEB391B"/>
    <w:multiLevelType w:val="multilevel"/>
    <w:tmpl w:val="080E82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42171C5"/>
    <w:multiLevelType w:val="multilevel"/>
    <w:tmpl w:val="D97C04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B0D7528"/>
    <w:multiLevelType w:val="multilevel"/>
    <w:tmpl w:val="B82C1B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D7D6E4E"/>
    <w:multiLevelType w:val="multilevel"/>
    <w:tmpl w:val="F72AA4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1185620">
    <w:abstractNumId w:val="2"/>
  </w:num>
  <w:num w:numId="2" w16cid:durableId="161237186">
    <w:abstractNumId w:val="12"/>
  </w:num>
  <w:num w:numId="3" w16cid:durableId="1668904393">
    <w:abstractNumId w:val="7"/>
  </w:num>
  <w:num w:numId="4" w16cid:durableId="1656687741">
    <w:abstractNumId w:val="4"/>
  </w:num>
  <w:num w:numId="5" w16cid:durableId="137118457">
    <w:abstractNumId w:val="9"/>
  </w:num>
  <w:num w:numId="6" w16cid:durableId="2113089418">
    <w:abstractNumId w:val="6"/>
  </w:num>
  <w:num w:numId="7" w16cid:durableId="922105251">
    <w:abstractNumId w:val="5"/>
  </w:num>
  <w:num w:numId="8" w16cid:durableId="1239822604">
    <w:abstractNumId w:val="3"/>
  </w:num>
  <w:num w:numId="9" w16cid:durableId="190536053">
    <w:abstractNumId w:val="11"/>
  </w:num>
  <w:num w:numId="10" w16cid:durableId="1095325339">
    <w:abstractNumId w:val="10"/>
  </w:num>
  <w:num w:numId="11" w16cid:durableId="759330290">
    <w:abstractNumId w:val="8"/>
  </w:num>
  <w:num w:numId="12" w16cid:durableId="625281969">
    <w:abstractNumId w:val="0"/>
  </w:num>
  <w:num w:numId="13" w16cid:durableId="131806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A2C"/>
    <w:rsid w:val="00CF5A2C"/>
    <w:rsid w:val="00DE1007"/>
    <w:rsid w:val="00FB1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DE84"/>
  <w15:docId w15:val="{08522F9E-3BD0-416B-AEF1-BE2CB45D0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lib.iastate.edu/bitstreams/b51d442a-7b19-4376-95c9-e6f031f95948/download" TargetMode="External"/><Relationship Id="rId13" Type="http://schemas.openxmlformats.org/officeDocument/2006/relationships/hyperlink" Target="https://www.reddit.com/r/ExperiencedDevs/comments/1qvkv01/main_reasons_to_go_monorepo_vs_polyrepo_and_vice/" TargetMode="External"/><Relationship Id="rId18" Type="http://schemas.openxmlformats.org/officeDocument/2006/relationships/hyperlink" Target="https://github.com/saabi/llm-agent-project-setu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rive.google.com/open?id=13-MV74CpROxSy6BCH5PMz2lmYJbztlj3" TargetMode="External"/><Relationship Id="rId12" Type="http://schemas.openxmlformats.org/officeDocument/2006/relationships/hyperlink" Target="https://dev.to/hamzakhan/monorepo-vs-polyrepo-choosing-the-right-strategy-for-your-projects-5eb3" TargetMode="External"/><Relationship Id="rId17" Type="http://schemas.openxmlformats.org/officeDocument/2006/relationships/hyperlink" Target="https://actalaurel.com/analytics/f/organizing-your-data-engineering-project-for-success" TargetMode="External"/><Relationship Id="rId2" Type="http://schemas.openxmlformats.org/officeDocument/2006/relationships/styles" Target="styles.xml"/><Relationship Id="rId16" Type="http://schemas.openxmlformats.org/officeDocument/2006/relationships/hyperlink" Target="https://climate-cafe.github.io/template.html" TargetMode="External"/><Relationship Id="rId20" Type="http://schemas.openxmlformats.org/officeDocument/2006/relationships/hyperlink" Target="https://www.reddit.com/r/Python/comments/1lotna6/whats_your_approach_to_organizing_python_projects/" TargetMode="External"/><Relationship Id="rId1" Type="http://schemas.openxmlformats.org/officeDocument/2006/relationships/numbering" Target="numbering.xml"/><Relationship Id="rId6" Type="http://schemas.openxmlformats.org/officeDocument/2006/relationships/hyperlink" Target="https://www.faros.ai/blog/monorepo-vs-polyrepo-benchmark-data" TargetMode="External"/><Relationship Id="rId11" Type="http://schemas.openxmlformats.org/officeDocument/2006/relationships/hyperlink" Target="https://drive.google.com/open?id=1xYuZC1jHin7SfiiqiJNXey2NGgxO1yfB" TargetMode="External"/><Relationship Id="rId5" Type="http://schemas.openxmlformats.org/officeDocument/2006/relationships/hyperlink" Target="https://drive.google.com/open?id=1uNQNhdP4o5t2xelskrq9GHqxeqTu4Cvy" TargetMode="External"/><Relationship Id="rId15" Type="http://schemas.openxmlformats.org/officeDocument/2006/relationships/hyperlink" Target="https://docs.python-guide.org/writing/structure/" TargetMode="External"/><Relationship Id="rId10" Type="http://schemas.openxmlformats.org/officeDocument/2006/relationships/hyperlink" Target="https://github.com/matthewrenze/doctor-of-engineering/blob/main/1-foundations/exercises/best_practices/llm-agent-best-practices.md" TargetMode="External"/><Relationship Id="rId19" Type="http://schemas.openxmlformats.org/officeDocument/2006/relationships/hyperlink" Target="https://github.blog/ai-and-ml/github-copilot/how-to-write-a-great-agents-md-lessons-from-over-2500-repositories/" TargetMode="External"/><Relationship Id="rId4" Type="http://schemas.openxmlformats.org/officeDocument/2006/relationships/webSettings" Target="webSettings.xml"/><Relationship Id="rId9" Type="http://schemas.openxmlformats.org/officeDocument/2006/relationships/hyperlink" Target="https://academic.oup.com/erae/article/51/3/589/7704545" TargetMode="External"/><Relationship Id="rId14" Type="http://schemas.openxmlformats.org/officeDocument/2006/relationships/hyperlink" Target="https://realpython.com/ref/best-practices/project-layout/"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6336</Words>
  <Characters>38402</Characters>
  <Application>Microsoft Office Word</Application>
  <DocSecurity>0</DocSecurity>
  <Lines>738</Lines>
  <Paragraphs>254</Paragraphs>
  <ScaleCrop>false</ScaleCrop>
  <Company/>
  <LinksUpToDate>false</LinksUpToDate>
  <CharactersWithSpaces>44484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rlc-admin</dc:creator>
  <cp:lastModifiedBy>Tore Alden</cp:lastModifiedBy>
  <cp:revision>2</cp:revision>
  <dcterms:created xsi:type="dcterms:W3CDTF">2026-03-10T20:07:00Z</dcterms:created>
  <dcterms:modified xsi:type="dcterms:W3CDTF">2026-03-10T20:07:00Z</dcterms:modified>
</cp:coreProperties>
</file>