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57E2F" w14:textId="77777777" w:rsidR="00883BB8" w:rsidRDefault="00000000">
      <w:pPr>
        <w:pStyle w:val="Heading1"/>
      </w:pPr>
      <w:bookmarkStart w:id="0" w:name="header"/>
      <w:bookmarkStart w:id="1" w:name="X2f3f8a123bb69196e80db19498dfd6e565ed198"/>
      <w:bookmarkStart w:id="2" w:name="content"/>
      <w:bookmarkEnd w:id="0"/>
      <w:r>
        <w:t>Version 2 — Sovereign Intelligence Architecture</w:t>
      </w:r>
    </w:p>
    <w:p w14:paraId="25D6BFF8" w14:textId="77777777" w:rsidR="00883BB8" w:rsidRDefault="00000000">
      <w:pPr>
        <w:pStyle w:val="Heading2"/>
      </w:pPr>
      <w:bookmarkStart w:id="3" w:name="executive-summary"/>
      <w:r>
        <w:t>Executive summary</w:t>
      </w:r>
    </w:p>
    <w:p w14:paraId="3A8F6057" w14:textId="77777777" w:rsidR="00883BB8" w:rsidRDefault="00000000">
      <w:pPr>
        <w:pStyle w:val="FirstParagraph"/>
      </w:pPr>
      <w:r>
        <w:t>This document proposes a rigorous rewrite of the RLC guide into a formal “Version 2 — Sovereign Intelligence Architecture” for Round Lakes Commodities</w:t>
      </w:r>
      <w:hyperlink r:id="rId5">
        <w:r>
          <w:rPr>
            <w:rStyle w:val="Hyperlink"/>
          </w:rPr>
          <w:t>[1]</w:t>
        </w:r>
      </w:hyperlink>
      <w:r>
        <w:t xml:space="preserve"> and Round Lakes Companies</w:t>
      </w:r>
      <w:hyperlink r:id="rId6">
        <w:r>
          <w:rPr>
            <w:rStyle w:val="Hyperlink"/>
          </w:rPr>
          <w:t>[2]</w:t>
        </w:r>
      </w:hyperlink>
      <w:r>
        <w:t xml:space="preserve">. The core shift in V2 is to treat “sovereignty” as an enforceable </w:t>
      </w:r>
      <w:r>
        <w:rPr>
          <w:i/>
          <w:iCs/>
        </w:rPr>
        <w:t>architecture property</w:t>
      </w:r>
      <w:r>
        <w:t xml:space="preserve">—implemented through a </w:t>
      </w:r>
      <w:r>
        <w:rPr>
          <w:b/>
          <w:bCs/>
        </w:rPr>
        <w:t>control plane</w:t>
      </w:r>
      <w:r>
        <w:t xml:space="preserve"> that governs routing, permissions, redaction, and auditability—rather than as an informal preference for “local models.” This aligns with modern agent systems, where tool access, orchestration, and data movement are often the real risk boundary (not just model weights). </w:t>
      </w:r>
      <w:hyperlink r:id="rId7">
        <w:r>
          <w:rPr>
            <w:rStyle w:val="Hyperlink"/>
          </w:rPr>
          <w:t>[3]</w:t>
        </w:r>
      </w:hyperlink>
    </w:p>
    <w:p w14:paraId="296FBBE1" w14:textId="77777777" w:rsidR="00883BB8" w:rsidRDefault="00000000">
      <w:pPr>
        <w:pStyle w:val="BodyText"/>
      </w:pPr>
      <w:r>
        <w:t>Three-tier architecture (data plane) plus a control plane:</w:t>
      </w:r>
    </w:p>
    <w:p w14:paraId="3E876B26" w14:textId="77777777" w:rsidR="00883BB8" w:rsidRDefault="00000000">
      <w:pPr>
        <w:pStyle w:val="Compact"/>
        <w:numPr>
          <w:ilvl w:val="0"/>
          <w:numId w:val="2"/>
        </w:numPr>
      </w:pPr>
      <w:r>
        <w:rPr>
          <w:b/>
          <w:bCs/>
        </w:rPr>
        <w:t>Tier Sovereign Local (Tier S):</w:t>
      </w:r>
      <w:r>
        <w:t xml:space="preserve"> Offline/egress-denied inference and tools for the highest-sensitivity work, with strict containment, explicit approvals, and “metadata-only” logging.</w:t>
      </w:r>
    </w:p>
    <w:p w14:paraId="6C26646C" w14:textId="77777777" w:rsidR="00883BB8" w:rsidRDefault="00000000">
      <w:pPr>
        <w:pStyle w:val="Compact"/>
        <w:numPr>
          <w:ilvl w:val="0"/>
          <w:numId w:val="2"/>
        </w:numPr>
      </w:pPr>
      <w:r>
        <w:rPr>
          <w:b/>
          <w:bCs/>
        </w:rPr>
        <w:t>Tier Hybrid Local (Tier H):</w:t>
      </w:r>
      <w:r>
        <w:t xml:space="preserve"> Local inference + self-hosted services (search, graph, databases) with constrained egress and policy-validated external calls.</w:t>
      </w:r>
    </w:p>
    <w:p w14:paraId="17E7785A" w14:textId="77777777" w:rsidR="00883BB8" w:rsidRDefault="00000000">
      <w:pPr>
        <w:pStyle w:val="Compact"/>
        <w:numPr>
          <w:ilvl w:val="0"/>
          <w:numId w:val="2"/>
        </w:numPr>
      </w:pPr>
      <w:r>
        <w:rPr>
          <w:b/>
          <w:bCs/>
        </w:rPr>
        <w:t>Tier Cloud Extended (Tier C):</w:t>
      </w:r>
      <w:r>
        <w:t xml:space="preserve"> External model calls and SaaS tools permitted only when inputs are low-sensitivity or redacted; designed primarily for throughput, convenience, and peaks.</w:t>
      </w:r>
    </w:p>
    <w:p w14:paraId="2600C494" w14:textId="77777777" w:rsidR="00883BB8" w:rsidRDefault="00000000">
      <w:pPr>
        <w:pStyle w:val="FirstParagraph"/>
      </w:pPr>
      <w:r>
        <w:t xml:space="preserve">This structure is designed to be implementable with </w:t>
      </w:r>
      <w:r>
        <w:rPr>
          <w:b/>
          <w:bCs/>
        </w:rPr>
        <w:t>standardized tool interfaces</w:t>
      </w:r>
      <w:r>
        <w:t xml:space="preserve"> (notably MCP) and </w:t>
      </w:r>
      <w:r>
        <w:rPr>
          <w:b/>
          <w:bCs/>
        </w:rPr>
        <w:t>portable model endpoints</w:t>
      </w:r>
      <w:r>
        <w:t xml:space="preserve"> (OpenAI-compatible APIs for local runtimes), enabling a router to treat providers interchangeably while still enforcing policy. </w:t>
      </w:r>
      <w:hyperlink r:id="rId8">
        <w:r>
          <w:rPr>
            <w:rStyle w:val="Hyperlink"/>
          </w:rPr>
          <w:t>[4]</w:t>
        </w:r>
      </w:hyperlink>
    </w:p>
    <w:p w14:paraId="068217DE" w14:textId="77777777" w:rsidR="00883BB8" w:rsidRDefault="00000000">
      <w:pPr>
        <w:pStyle w:val="BodyText"/>
      </w:pPr>
      <w:r>
        <w:t>Key V2 upgrades relative to the “gaps” you flagged:</w:t>
      </w:r>
    </w:p>
    <w:p w14:paraId="47DA58AB" w14:textId="77777777" w:rsidR="00883BB8" w:rsidRDefault="00000000">
      <w:pPr>
        <w:pStyle w:val="Compact"/>
        <w:numPr>
          <w:ilvl w:val="0"/>
          <w:numId w:val="3"/>
        </w:numPr>
      </w:pPr>
      <w:r>
        <w:rPr>
          <w:b/>
          <w:bCs/>
        </w:rPr>
        <w:t>Formal sensitivity classification (Levels 0–4)</w:t>
      </w:r>
      <w:r>
        <w:t xml:space="preserve"> mapped to allowed tiers, explicit approval gates, and mandatory redaction rules, anchored to established security categorization concepts (CIA impact focus). </w:t>
      </w:r>
      <w:hyperlink r:id="rId9">
        <w:r>
          <w:rPr>
            <w:rStyle w:val="Hyperlink"/>
          </w:rPr>
          <w:t>[5]</w:t>
        </w:r>
      </w:hyperlink>
    </w:p>
    <w:p w14:paraId="1E887ABB" w14:textId="77777777" w:rsidR="00883BB8" w:rsidRDefault="00000000">
      <w:pPr>
        <w:pStyle w:val="Compact"/>
        <w:numPr>
          <w:ilvl w:val="0"/>
          <w:numId w:val="3"/>
        </w:numPr>
      </w:pPr>
      <w:r>
        <w:rPr>
          <w:b/>
          <w:bCs/>
        </w:rPr>
        <w:t>Audit logging schema</w:t>
      </w:r>
      <w:r>
        <w:t xml:space="preserve"> that is tamper-evident (hash chaining + signing), policy-aware (never store raw prompts at high sensitivity), and trace-correlatable via W3C/OTel identifiers. </w:t>
      </w:r>
      <w:hyperlink r:id="rId10">
        <w:r>
          <w:rPr>
            <w:rStyle w:val="Hyperlink"/>
          </w:rPr>
          <w:t>[6]</w:t>
        </w:r>
      </w:hyperlink>
    </w:p>
    <w:p w14:paraId="74D90CE8" w14:textId="77777777" w:rsidR="00883BB8" w:rsidRDefault="00000000">
      <w:pPr>
        <w:pStyle w:val="Compact"/>
        <w:numPr>
          <w:ilvl w:val="0"/>
          <w:numId w:val="3"/>
        </w:numPr>
      </w:pPr>
      <w:r>
        <w:rPr>
          <w:b/>
          <w:bCs/>
        </w:rPr>
        <w:t>Containerization + least privilege</w:t>
      </w:r>
      <w:r>
        <w:t xml:space="preserve"> as a first-class local threat model mitigation, using user namespaces and read-only root filesystems by default. </w:t>
      </w:r>
      <w:hyperlink r:id="rId11">
        <w:r>
          <w:rPr>
            <w:rStyle w:val="Hyperlink"/>
          </w:rPr>
          <w:t>[7]</w:t>
        </w:r>
      </w:hyperlink>
    </w:p>
    <w:p w14:paraId="45D10A3B" w14:textId="77777777" w:rsidR="00883BB8" w:rsidRDefault="00000000">
      <w:pPr>
        <w:pStyle w:val="Compact"/>
        <w:numPr>
          <w:ilvl w:val="0"/>
          <w:numId w:val="3"/>
        </w:numPr>
      </w:pPr>
      <w:r>
        <w:rPr>
          <w:b/>
          <w:bCs/>
        </w:rPr>
        <w:t>Failover-by-design</w:t>
      </w:r>
      <w:r>
        <w:t>: local → hybrid → cloud escalation with deterministic redaction and policy checks for volatile commodity intel spikes.</w:t>
      </w:r>
    </w:p>
    <w:p w14:paraId="7F824D46" w14:textId="77777777" w:rsidR="00883BB8" w:rsidRDefault="00000000">
      <w:pPr>
        <w:pStyle w:val="Compact"/>
        <w:numPr>
          <w:ilvl w:val="0"/>
          <w:numId w:val="3"/>
        </w:numPr>
      </w:pPr>
      <w:r>
        <w:rPr>
          <w:b/>
          <w:bCs/>
        </w:rPr>
        <w:t>Quantified cost/energy</w:t>
      </w:r>
      <w:r>
        <w:t xml:space="preserve"> baseline for always-on GPU inference (RTX 5080 class) using official TGP plus state electricity price references. </w:t>
      </w:r>
      <w:hyperlink r:id="rId12">
        <w:r>
          <w:rPr>
            <w:rStyle w:val="Hyperlink"/>
          </w:rPr>
          <w:t>[8]</w:t>
        </w:r>
      </w:hyperlink>
    </w:p>
    <w:p w14:paraId="44DB8073" w14:textId="77777777" w:rsidR="00883BB8" w:rsidRDefault="00000000">
      <w:pPr>
        <w:pStyle w:val="Compact"/>
        <w:numPr>
          <w:ilvl w:val="0"/>
          <w:numId w:val="3"/>
        </w:numPr>
      </w:pPr>
      <w:r>
        <w:rPr>
          <w:b/>
          <w:bCs/>
        </w:rPr>
        <w:t>Benchmarks methodology</w:t>
      </w:r>
      <w:r>
        <w:t xml:space="preserve"> using native runtime telemetry fields (durations, eval counts) to compute tokens/sec and end-to-end latency per agent chain. </w:t>
      </w:r>
      <w:hyperlink r:id="rId13">
        <w:r>
          <w:rPr>
            <w:rStyle w:val="Hyperlink"/>
          </w:rPr>
          <w:t>[9]</w:t>
        </w:r>
      </w:hyperlink>
    </w:p>
    <w:p w14:paraId="33DB85BC" w14:textId="77777777" w:rsidR="00883BB8" w:rsidRDefault="00000000">
      <w:pPr>
        <w:pStyle w:val="Compact"/>
        <w:numPr>
          <w:ilvl w:val="0"/>
          <w:numId w:val="3"/>
        </w:numPr>
      </w:pPr>
      <w:r>
        <w:rPr>
          <w:b/>
          <w:bCs/>
        </w:rPr>
        <w:lastRenderedPageBreak/>
        <w:t>Governance cadence + 12‑month roadmap</w:t>
      </w:r>
      <w:r>
        <w:t xml:space="preserve"> tied to continuous risk management expectations (model drift, tooling vulnerabilities, process audits). </w:t>
      </w:r>
      <w:hyperlink r:id="rId14">
        <w:r>
          <w:rPr>
            <w:rStyle w:val="Hyperlink"/>
          </w:rPr>
          <w:t>[10]</w:t>
        </w:r>
      </w:hyperlink>
    </w:p>
    <w:p w14:paraId="07A63B7E" w14:textId="77777777" w:rsidR="00883BB8" w:rsidRDefault="00000000">
      <w:pPr>
        <w:pStyle w:val="FirstParagraph"/>
      </w:pPr>
      <w:r>
        <w:t>Connector coverage note (required): Research began with your enabled connectors: GitHub</w:t>
      </w:r>
      <w:hyperlink r:id="rId15">
        <w:r>
          <w:rPr>
            <w:rStyle w:val="Hyperlink"/>
          </w:rPr>
          <w:t>[11]</w:t>
        </w:r>
      </w:hyperlink>
      <w:r>
        <w:t xml:space="preserve"> (prioritized: </w:t>
      </w:r>
      <w:r>
        <w:rPr>
          <w:rStyle w:val="VerbatimChar"/>
        </w:rPr>
        <w:t>torealden/RLC-Agent</w:t>
      </w:r>
      <w:r>
        <w:t>), Dropbox</w:t>
      </w:r>
      <w:hyperlink r:id="rId16">
        <w:r>
          <w:rPr>
            <w:rStyle w:val="Hyperlink"/>
          </w:rPr>
          <w:t>[12]</w:t>
        </w:r>
      </w:hyperlink>
      <w:r>
        <w:t xml:space="preserve"> (multiple internal planning docs located, e.g., “Master-Agent System Architecture.docx”). Attempted access to Notion</w:t>
      </w:r>
      <w:hyperlink r:id="rId17">
        <w:r>
          <w:rPr>
            <w:rStyle w:val="Hyperlink"/>
          </w:rPr>
          <w:t>[13]</w:t>
        </w:r>
      </w:hyperlink>
      <w:r>
        <w:t xml:space="preserve"> returned authentication failure in this session (token invalid), so V2 treats Notion integration as “supported but environment-dependent.”</w:t>
      </w:r>
    </w:p>
    <w:p w14:paraId="0F44FB1C" w14:textId="77777777" w:rsidR="00883BB8" w:rsidRDefault="00000000">
      <w:pPr>
        <w:pStyle w:val="Heading2"/>
      </w:pPr>
      <w:bookmarkStart w:id="4" w:name="architecture-and-control-plane"/>
      <w:bookmarkEnd w:id="3"/>
      <w:r>
        <w:t>Architecture and control plane</w:t>
      </w:r>
    </w:p>
    <w:p w14:paraId="64622CB3" w14:textId="77777777" w:rsidR="00883BB8" w:rsidRDefault="00000000">
      <w:pPr>
        <w:pStyle w:val="Heading3"/>
      </w:pPr>
      <w:bookmarkStart w:id="5" w:name="design-principles"/>
      <w:r>
        <w:t>Design principles</w:t>
      </w:r>
    </w:p>
    <w:p w14:paraId="2559AC77" w14:textId="77777777" w:rsidR="00883BB8" w:rsidRDefault="00000000">
      <w:pPr>
        <w:pStyle w:val="FirstParagraph"/>
      </w:pPr>
      <w:r>
        <w:t>V2 formalizes four design principles:</w:t>
      </w:r>
    </w:p>
    <w:p w14:paraId="7C3A181C" w14:textId="77777777" w:rsidR="00883BB8" w:rsidRDefault="00000000">
      <w:pPr>
        <w:pStyle w:val="Compact"/>
        <w:numPr>
          <w:ilvl w:val="0"/>
          <w:numId w:val="4"/>
        </w:numPr>
      </w:pPr>
      <w:r>
        <w:rPr>
          <w:b/>
          <w:bCs/>
        </w:rPr>
        <w:t>Policy precedes capability:</w:t>
      </w:r>
      <w:r>
        <w:t xml:space="preserve"> Tool/model ability exists only where policy permits it (strong default-deny). This responds directly to OWASP agent risks like prompt injection, insecure plugin design, and excessive agency. </w:t>
      </w:r>
      <w:hyperlink r:id="rId18">
        <w:r>
          <w:rPr>
            <w:rStyle w:val="Hyperlink"/>
          </w:rPr>
          <w:t>[14]</w:t>
        </w:r>
      </w:hyperlink>
    </w:p>
    <w:p w14:paraId="5BBBE3EE" w14:textId="77777777" w:rsidR="00883BB8" w:rsidRDefault="00000000">
      <w:pPr>
        <w:pStyle w:val="Compact"/>
        <w:numPr>
          <w:ilvl w:val="0"/>
          <w:numId w:val="4"/>
        </w:numPr>
      </w:pPr>
      <w:r>
        <w:rPr>
          <w:b/>
          <w:bCs/>
        </w:rPr>
        <w:t>Portable execution surfaces:</w:t>
      </w:r>
      <w:r>
        <w:t xml:space="preserve"> Anything that can be routed must present a stable API surface; local inference should match “standard clients” where possible (OpenAI-compatible endpoints), reducing coupling and enabling controlled failover. </w:t>
      </w:r>
      <w:hyperlink r:id="rId19">
        <w:r>
          <w:rPr>
            <w:rStyle w:val="Hyperlink"/>
          </w:rPr>
          <w:t>[15]</w:t>
        </w:r>
      </w:hyperlink>
    </w:p>
    <w:p w14:paraId="522401BE" w14:textId="77777777" w:rsidR="00883BB8" w:rsidRDefault="00000000">
      <w:pPr>
        <w:pStyle w:val="Compact"/>
        <w:numPr>
          <w:ilvl w:val="0"/>
          <w:numId w:val="4"/>
        </w:numPr>
      </w:pPr>
      <w:r>
        <w:rPr>
          <w:b/>
          <w:bCs/>
        </w:rPr>
        <w:t>Auditability as a product requirement:</w:t>
      </w:r>
      <w:r>
        <w:t xml:space="preserve"> Logs must support post-incident reconstruction without leaking sensitive payloads; integrity protections are mandatory. </w:t>
      </w:r>
      <w:hyperlink r:id="rId20">
        <w:r>
          <w:rPr>
            <w:rStyle w:val="Hyperlink"/>
          </w:rPr>
          <w:t>[16]</w:t>
        </w:r>
      </w:hyperlink>
    </w:p>
    <w:p w14:paraId="4A63BF86" w14:textId="77777777" w:rsidR="00883BB8" w:rsidRDefault="00000000">
      <w:pPr>
        <w:pStyle w:val="Compact"/>
        <w:numPr>
          <w:ilvl w:val="0"/>
          <w:numId w:val="4"/>
        </w:numPr>
      </w:pPr>
      <w:r>
        <w:rPr>
          <w:b/>
          <w:bCs/>
        </w:rPr>
        <w:t>Containment over trust:</w:t>
      </w:r>
      <w:r>
        <w:t xml:space="preserve"> Local systems are not “safe by default.” They must assume local prompt injection, malicious content, and tool misuse, and enforce least privilege at OS and runtime levels. </w:t>
      </w:r>
      <w:hyperlink r:id="rId21">
        <w:r>
          <w:rPr>
            <w:rStyle w:val="Hyperlink"/>
          </w:rPr>
          <w:t>[17]</w:t>
        </w:r>
      </w:hyperlink>
    </w:p>
    <w:p w14:paraId="6FB747ED" w14:textId="77777777" w:rsidR="00883BB8" w:rsidRDefault="00000000">
      <w:pPr>
        <w:pStyle w:val="Heading3"/>
      </w:pPr>
      <w:bookmarkStart w:id="6" w:name="three-tier-data-plane"/>
      <w:bookmarkEnd w:id="5"/>
      <w:r>
        <w:t>Three-tier data plane</w:t>
      </w:r>
    </w:p>
    <w:p w14:paraId="654F3D8A" w14:textId="77777777" w:rsidR="00883BB8" w:rsidRDefault="00000000">
      <w:pPr>
        <w:pStyle w:val="FirstParagraph"/>
      </w:pPr>
      <w:r>
        <w:rPr>
          <w:b/>
          <w:bCs/>
        </w:rPr>
        <w:t>Tier S — Sovereign Local (no egress)</w:t>
      </w:r>
      <w:r>
        <w:br/>
        <w:t>Purpose: Highest-sensitivity reasoning, DB work, and report drafting where data must not leave the workstation/server. Typical stack: local model runtime + local storage + local-only tools. Redaction is not relied upon—containment is.</w:t>
      </w:r>
    </w:p>
    <w:p w14:paraId="2BF8CD72" w14:textId="77777777" w:rsidR="00883BB8" w:rsidRDefault="00000000">
      <w:pPr>
        <w:pStyle w:val="BodyText"/>
      </w:pPr>
      <w:r>
        <w:rPr>
          <w:b/>
          <w:bCs/>
        </w:rPr>
        <w:t>Tier H — Hybrid Local (constrained egress)</w:t>
      </w:r>
      <w:r>
        <w:br/>
        <w:t xml:space="preserve">Purpose: Commodity intelligence requires live inputs. Tier H adds self-hosted search and graph, plus optional outward calls </w:t>
      </w:r>
      <w:r>
        <w:rPr>
          <w:i/>
          <w:iCs/>
        </w:rPr>
        <w:t>only</w:t>
      </w:r>
      <w:r>
        <w:t xml:space="preserve"> through policy-controlled gateways. SearxNG acts as a self-host web meta-search layer. </w:t>
      </w:r>
      <w:hyperlink r:id="rId22">
        <w:r>
          <w:rPr>
            <w:rStyle w:val="Hyperlink"/>
          </w:rPr>
          <w:t>[18]</w:t>
        </w:r>
      </w:hyperlink>
    </w:p>
    <w:p w14:paraId="02EE60FD" w14:textId="77777777" w:rsidR="00883BB8" w:rsidRDefault="00000000">
      <w:pPr>
        <w:pStyle w:val="BodyText"/>
      </w:pPr>
      <w:r>
        <w:rPr>
          <w:b/>
          <w:bCs/>
        </w:rPr>
        <w:t>Tier C — Cloud Extended</w:t>
      </w:r>
      <w:r>
        <w:br/>
        <w:t>Purpose: Low-sensitivity throughput, augmentation, and “burst” capacity when local resources saturate. Tier C is still governed by the control plane, but it allows external models/tools for Level 0–1 (and sometimes Level 2 with redaction + approval).</w:t>
      </w:r>
    </w:p>
    <w:p w14:paraId="0E0B83D5" w14:textId="77777777" w:rsidR="00883BB8" w:rsidRDefault="00000000">
      <w:pPr>
        <w:pStyle w:val="Heading3"/>
      </w:pPr>
      <w:bookmarkStart w:id="7" w:name="control-plane-responsibilities"/>
      <w:bookmarkEnd w:id="6"/>
      <w:r>
        <w:lastRenderedPageBreak/>
        <w:t>Control plane responsibilities</w:t>
      </w:r>
    </w:p>
    <w:p w14:paraId="6ACD4584" w14:textId="77777777" w:rsidR="00883BB8" w:rsidRDefault="00000000">
      <w:pPr>
        <w:pStyle w:val="FirstParagraph"/>
      </w:pPr>
      <w:r>
        <w:t>The control plane is not a single service—it’s a set of enforced functions:</w:t>
      </w:r>
    </w:p>
    <w:p w14:paraId="5FF0C034" w14:textId="77777777" w:rsidR="00883BB8" w:rsidRDefault="00000000">
      <w:pPr>
        <w:pStyle w:val="Compact"/>
        <w:numPr>
          <w:ilvl w:val="0"/>
          <w:numId w:val="5"/>
        </w:numPr>
      </w:pPr>
      <w:r>
        <w:rPr>
          <w:b/>
          <w:bCs/>
        </w:rPr>
        <w:t>Classifier:</w:t>
      </w:r>
      <w:r>
        <w:t xml:space="preserve"> Assign sensitivity level (0–4) and task type. (Human override supported.)</w:t>
      </w:r>
    </w:p>
    <w:p w14:paraId="320A706B" w14:textId="77777777" w:rsidR="00883BB8" w:rsidRDefault="00000000">
      <w:pPr>
        <w:pStyle w:val="Compact"/>
        <w:numPr>
          <w:ilvl w:val="0"/>
          <w:numId w:val="5"/>
        </w:numPr>
      </w:pPr>
      <w:r>
        <w:rPr>
          <w:b/>
          <w:bCs/>
        </w:rPr>
        <w:t>Policy engine:</w:t>
      </w:r>
      <w:r>
        <w:t xml:space="preserve"> Converts (sensitivity, task, user role, environment) into permissions: route/tier, allowed tools, required redaction, approval gates, logging rules.</w:t>
      </w:r>
    </w:p>
    <w:p w14:paraId="5587976E" w14:textId="77777777" w:rsidR="00883BB8" w:rsidRDefault="00000000">
      <w:pPr>
        <w:pStyle w:val="Compact"/>
        <w:numPr>
          <w:ilvl w:val="0"/>
          <w:numId w:val="5"/>
        </w:numPr>
      </w:pPr>
      <w:r>
        <w:rPr>
          <w:b/>
          <w:bCs/>
        </w:rPr>
        <w:t>Model router:</w:t>
      </w:r>
      <w:r>
        <w:t xml:space="preserve"> Sends inference/embedding calls to local or cloud endpoints behind a single interface. Local endpoints should support common client patterns (OpenAI-compatible) for portability. </w:t>
      </w:r>
      <w:hyperlink r:id="rId23">
        <w:r>
          <w:rPr>
            <w:rStyle w:val="Hyperlink"/>
          </w:rPr>
          <w:t>[15]</w:t>
        </w:r>
      </w:hyperlink>
    </w:p>
    <w:p w14:paraId="4DC939A4" w14:textId="77777777" w:rsidR="00883BB8" w:rsidRDefault="00000000">
      <w:pPr>
        <w:pStyle w:val="Compact"/>
        <w:numPr>
          <w:ilvl w:val="0"/>
          <w:numId w:val="5"/>
        </w:numPr>
      </w:pPr>
      <w:r>
        <w:rPr>
          <w:b/>
          <w:bCs/>
        </w:rPr>
        <w:t>Tool gateway:</w:t>
      </w:r>
      <w:r>
        <w:t xml:space="preserve"> Standardizes tool access via MCP and/or explicit tool adapters, enforcing scopes and environment-variable hygiene. </w:t>
      </w:r>
      <w:hyperlink r:id="rId24">
        <w:r>
          <w:rPr>
            <w:rStyle w:val="Hyperlink"/>
          </w:rPr>
          <w:t>[19]</w:t>
        </w:r>
      </w:hyperlink>
    </w:p>
    <w:p w14:paraId="3BB52AE2" w14:textId="77777777" w:rsidR="00883BB8" w:rsidRDefault="00000000">
      <w:pPr>
        <w:pStyle w:val="Compact"/>
        <w:numPr>
          <w:ilvl w:val="0"/>
          <w:numId w:val="5"/>
        </w:numPr>
      </w:pPr>
      <w:r>
        <w:rPr>
          <w:b/>
          <w:bCs/>
        </w:rPr>
        <w:t>Auditor + telemetry:</w:t>
      </w:r>
      <w:r>
        <w:t xml:space="preserve"> Generates tamper-evident logs and trace spans for every routed step. </w:t>
      </w:r>
      <w:hyperlink r:id="rId25">
        <w:r>
          <w:rPr>
            <w:rStyle w:val="Hyperlink"/>
          </w:rPr>
          <w:t>[6]</w:t>
        </w:r>
      </w:hyperlink>
    </w:p>
    <w:p w14:paraId="303B05EE" w14:textId="77777777" w:rsidR="00883BB8" w:rsidRDefault="00000000">
      <w:pPr>
        <w:pStyle w:val="Compact"/>
        <w:numPr>
          <w:ilvl w:val="0"/>
          <w:numId w:val="5"/>
        </w:numPr>
      </w:pPr>
      <w:r>
        <w:rPr>
          <w:b/>
          <w:bCs/>
        </w:rPr>
        <w:t>Failover controller:</w:t>
      </w:r>
      <w:r>
        <w:t xml:space="preserve"> Detects saturation/failure and shifts tiers when allowed, applying mandatory redaction rules.</w:t>
      </w:r>
    </w:p>
    <w:p w14:paraId="635F4F87" w14:textId="77777777" w:rsidR="00883BB8" w:rsidRDefault="00000000">
      <w:pPr>
        <w:pStyle w:val="Heading3"/>
      </w:pPr>
      <w:bookmarkStart w:id="8" w:name="system-architecture-diagram"/>
      <w:bookmarkEnd w:id="7"/>
      <w:r>
        <w:t>System architecture diagram</w:t>
      </w:r>
    </w:p>
    <w:p w14:paraId="5A7AE69A" w14:textId="77777777" w:rsidR="00883BB8" w:rsidRDefault="00000000">
      <w:pPr>
        <w:pStyle w:val="SourceCode"/>
      </w:pPr>
      <w:r>
        <w:rPr>
          <w:rStyle w:val="VerbatimChar"/>
        </w:rPr>
        <w:t>flowchart TB</w:t>
      </w:r>
      <w:r>
        <w:br/>
      </w:r>
      <w:r>
        <w:rPr>
          <w:rStyle w:val="VerbatimChar"/>
        </w:rPr>
        <w:t xml:space="preserve">  U[User / Analyst] --&gt; CP[Control Plane]</w:t>
      </w:r>
      <w:r>
        <w:br/>
      </w:r>
      <w:r>
        <w:br/>
      </w:r>
      <w:r>
        <w:rPr>
          <w:rStyle w:val="VerbatimChar"/>
        </w:rPr>
        <w:t xml:space="preserve">  subgraph CPX[Control Plane]</w:t>
      </w:r>
      <w:r>
        <w:br/>
      </w:r>
      <w:r>
        <w:rPr>
          <w:rStyle w:val="VerbatimChar"/>
        </w:rPr>
        <w:t xml:space="preserve">    C1[Classifier\nSensitivity 0-4 + task type]</w:t>
      </w:r>
      <w:r>
        <w:br/>
      </w:r>
      <w:r>
        <w:rPr>
          <w:rStyle w:val="VerbatimChar"/>
        </w:rPr>
        <w:t xml:space="preserve">    C2[Policy Engine\nallow/ask/deny + redaction rules]</w:t>
      </w:r>
      <w:r>
        <w:br/>
      </w:r>
      <w:r>
        <w:rPr>
          <w:rStyle w:val="VerbatimChar"/>
        </w:rPr>
        <w:t xml:space="preserve">    C3[Model Router\nprovider abstraction]</w:t>
      </w:r>
      <w:r>
        <w:br/>
      </w:r>
      <w:r>
        <w:rPr>
          <w:rStyle w:val="VerbatimChar"/>
        </w:rPr>
        <w:t xml:space="preserve">    C4[Tool Gateway\nMCP + tool adapters]</w:t>
      </w:r>
      <w:r>
        <w:br/>
      </w:r>
      <w:r>
        <w:rPr>
          <w:rStyle w:val="VerbatimChar"/>
        </w:rPr>
        <w:t xml:space="preserve">    C5[Audit + Telemetry\nhashes + traces + metrics]</w:t>
      </w:r>
      <w:r>
        <w:br/>
      </w:r>
      <w:r>
        <w:rPr>
          <w:rStyle w:val="VerbatimChar"/>
        </w:rPr>
        <w:t xml:space="preserve">    C6[Failover Controller\nlocal-&gt;hybrid-&gt;cloud]</w:t>
      </w:r>
      <w:r>
        <w:br/>
      </w:r>
      <w:r>
        <w:rPr>
          <w:rStyle w:val="VerbatimChar"/>
        </w:rPr>
        <w:t xml:space="preserve">  end</w:t>
      </w:r>
      <w:r>
        <w:br/>
      </w:r>
      <w:r>
        <w:br/>
      </w:r>
      <w:r>
        <w:rPr>
          <w:rStyle w:val="VerbatimChar"/>
        </w:rPr>
        <w:t xml:space="preserve">  CP --&gt; C1 --&gt; C2 --&gt; C3</w:t>
      </w:r>
      <w:r>
        <w:br/>
      </w:r>
      <w:r>
        <w:rPr>
          <w:rStyle w:val="VerbatimChar"/>
        </w:rPr>
        <w:t xml:space="preserve">  C2 --&gt; C4</w:t>
      </w:r>
      <w:r>
        <w:br/>
      </w:r>
      <w:r>
        <w:rPr>
          <w:rStyle w:val="VerbatimChar"/>
        </w:rPr>
        <w:t xml:space="preserve">  C3 --&gt; C6</w:t>
      </w:r>
      <w:r>
        <w:br/>
      </w:r>
      <w:r>
        <w:rPr>
          <w:rStyle w:val="VerbatimChar"/>
        </w:rPr>
        <w:t xml:space="preserve">  C4 --&gt; C6</w:t>
      </w:r>
      <w:r>
        <w:br/>
      </w:r>
      <w:r>
        <w:rPr>
          <w:rStyle w:val="VerbatimChar"/>
        </w:rPr>
        <w:t xml:space="preserve">  C6 --&gt; C5</w:t>
      </w:r>
      <w:r>
        <w:br/>
      </w:r>
      <w:r>
        <w:br/>
      </w:r>
      <w:r>
        <w:rPr>
          <w:rStyle w:val="VerbatimChar"/>
        </w:rPr>
        <w:t xml:space="preserve">  subgraph TS[Tier S: Sovereign Local]</w:t>
      </w:r>
      <w:r>
        <w:br/>
      </w:r>
      <w:r>
        <w:rPr>
          <w:rStyle w:val="VerbatimChar"/>
        </w:rPr>
        <w:t xml:space="preserve">    LS[Local LLM Runtime\n(Ollama/LM Studio)]</w:t>
      </w:r>
      <w:r>
        <w:br/>
      </w:r>
      <w:r>
        <w:rPr>
          <w:rStyle w:val="VerbatimChar"/>
        </w:rPr>
        <w:t xml:space="preserve">    LDB[Local DB / Files]</w:t>
      </w:r>
      <w:r>
        <w:br/>
      </w:r>
      <w:r>
        <w:rPr>
          <w:rStyle w:val="VerbatimChar"/>
        </w:rPr>
        <w:t xml:space="preserve">    LKG[Local Graph (optional)]</w:t>
      </w:r>
      <w:r>
        <w:br/>
      </w:r>
      <w:r>
        <w:rPr>
          <w:rStyle w:val="VerbatimChar"/>
        </w:rPr>
        <w:t xml:space="preserve">  end</w:t>
      </w:r>
      <w:r>
        <w:br/>
      </w:r>
      <w:r>
        <w:br/>
      </w:r>
      <w:r>
        <w:rPr>
          <w:rStyle w:val="VerbatimChar"/>
        </w:rPr>
        <w:t xml:space="preserve">  subgraph TH[Tier H: Hybrid Local]</w:t>
      </w:r>
      <w:r>
        <w:br/>
      </w:r>
      <w:r>
        <w:rPr>
          <w:rStyle w:val="VerbatimChar"/>
        </w:rPr>
        <w:t xml:space="preserve">    HS[Self-host Search\n(SearxNG)]</w:t>
      </w:r>
      <w:r>
        <w:br/>
      </w:r>
      <w:r>
        <w:rPr>
          <w:rStyle w:val="VerbatimChar"/>
        </w:rPr>
        <w:t xml:space="preserve">    HKG[Graph DB\n(Neo4j)]</w:t>
      </w:r>
      <w:r>
        <w:br/>
      </w:r>
      <w:r>
        <w:rPr>
          <w:rStyle w:val="VerbatimChar"/>
        </w:rPr>
        <w:t xml:space="preserve">    HDB[Postgres / Warehouse]</w:t>
      </w:r>
      <w:r>
        <w:br/>
      </w:r>
      <w:r>
        <w:rPr>
          <w:rStyle w:val="VerbatimChar"/>
        </w:rPr>
        <w:lastRenderedPageBreak/>
        <w:t xml:space="preserve">  end</w:t>
      </w:r>
      <w:r>
        <w:br/>
      </w:r>
      <w:r>
        <w:br/>
      </w:r>
      <w:r>
        <w:rPr>
          <w:rStyle w:val="VerbatimChar"/>
        </w:rPr>
        <w:t xml:space="preserve">  subgraph TC[Tier C: Cloud Extended]</w:t>
      </w:r>
      <w:r>
        <w:br/>
      </w:r>
      <w:r>
        <w:rPr>
          <w:rStyle w:val="VerbatimChar"/>
        </w:rPr>
        <w:t xml:space="preserve">    CM[Cloud LLM APIs]</w:t>
      </w:r>
      <w:r>
        <w:br/>
      </w:r>
      <w:r>
        <w:rPr>
          <w:rStyle w:val="VerbatimChar"/>
        </w:rPr>
        <w:t xml:space="preserve">    CA[Cloud Tools/APIs]</w:t>
      </w:r>
      <w:r>
        <w:br/>
      </w:r>
      <w:r>
        <w:rPr>
          <w:rStyle w:val="VerbatimChar"/>
        </w:rPr>
        <w:t xml:space="preserve">  end</w:t>
      </w:r>
      <w:r>
        <w:br/>
      </w:r>
      <w:r>
        <w:br/>
      </w:r>
      <w:r>
        <w:rPr>
          <w:rStyle w:val="VerbatimChar"/>
        </w:rPr>
        <w:t xml:space="preserve">  C6 --&gt; LS</w:t>
      </w:r>
      <w:r>
        <w:br/>
      </w:r>
      <w:r>
        <w:rPr>
          <w:rStyle w:val="VerbatimChar"/>
        </w:rPr>
        <w:t xml:space="preserve">  C6 --&gt; LDB</w:t>
      </w:r>
      <w:r>
        <w:br/>
      </w:r>
      <w:r>
        <w:rPr>
          <w:rStyle w:val="VerbatimChar"/>
        </w:rPr>
        <w:t xml:space="preserve">  C6 --&gt; LKG</w:t>
      </w:r>
      <w:r>
        <w:br/>
      </w:r>
      <w:r>
        <w:rPr>
          <w:rStyle w:val="VerbatimChar"/>
        </w:rPr>
        <w:t xml:space="preserve">  C6 --&gt; HS</w:t>
      </w:r>
      <w:r>
        <w:br/>
      </w:r>
      <w:r>
        <w:rPr>
          <w:rStyle w:val="VerbatimChar"/>
        </w:rPr>
        <w:t xml:space="preserve">  C6 --&gt; HKG</w:t>
      </w:r>
      <w:r>
        <w:br/>
      </w:r>
      <w:r>
        <w:rPr>
          <w:rStyle w:val="VerbatimChar"/>
        </w:rPr>
        <w:t xml:space="preserve">  C6 --&gt; HDB</w:t>
      </w:r>
      <w:r>
        <w:br/>
      </w:r>
      <w:r>
        <w:rPr>
          <w:rStyle w:val="VerbatimChar"/>
        </w:rPr>
        <w:t xml:space="preserve">  C6 --&gt; CM</w:t>
      </w:r>
      <w:r>
        <w:br/>
      </w:r>
      <w:r>
        <w:rPr>
          <w:rStyle w:val="VerbatimChar"/>
        </w:rPr>
        <w:t xml:space="preserve">  C6 --&gt; CA</w:t>
      </w:r>
    </w:p>
    <w:p w14:paraId="37ED85C0" w14:textId="77777777" w:rsidR="00883BB8" w:rsidRDefault="00000000">
      <w:pPr>
        <w:pStyle w:val="Heading2"/>
      </w:pPr>
      <w:bookmarkStart w:id="9" w:name="Xd66c1bafe64a5ddb28ba029df4f7feb2bf5e6f6"/>
      <w:bookmarkEnd w:id="4"/>
      <w:bookmarkEnd w:id="8"/>
      <w:r>
        <w:t>Sensitivity classification and routing policy</w:t>
      </w:r>
    </w:p>
    <w:p w14:paraId="2E30EE7E" w14:textId="77777777" w:rsidR="00883BB8" w:rsidRDefault="00000000">
      <w:pPr>
        <w:pStyle w:val="Heading3"/>
      </w:pPr>
      <w:bookmarkStart w:id="10" w:name="sensitivity-levels-04"/>
      <w:r>
        <w:t>Sensitivity levels 0–4</w:t>
      </w:r>
    </w:p>
    <w:p w14:paraId="263A2626" w14:textId="77777777" w:rsidR="00883BB8" w:rsidRDefault="00000000">
      <w:pPr>
        <w:pStyle w:val="FirstParagraph"/>
      </w:pPr>
      <w:r>
        <w:t xml:space="preserve">V2 uses a five-level schema that is </w:t>
      </w:r>
      <w:r>
        <w:rPr>
          <w:i/>
          <w:iCs/>
        </w:rPr>
        <w:t>operational</w:t>
      </w:r>
      <w:r>
        <w:t xml:space="preserve"> (drives routing) rather than merely descriptive. It is conceptually aligned with the idea that systems must be categorized by confidentiality, integrity, and availability impact even when operating outside formal government frameworks. </w:t>
      </w:r>
      <w:hyperlink r:id="rId26">
        <w:r>
          <w:rPr>
            <w:rStyle w:val="Hyperlink"/>
          </w:rPr>
          <w:t>[20]</w:t>
        </w:r>
      </w:hyperlink>
    </w:p>
    <w:p w14:paraId="1FD6597F" w14:textId="77777777" w:rsidR="00883BB8" w:rsidRDefault="00000000">
      <w:pPr>
        <w:pStyle w:val="Compact"/>
        <w:numPr>
          <w:ilvl w:val="0"/>
          <w:numId w:val="6"/>
        </w:numPr>
      </w:pPr>
      <w:r>
        <w:rPr>
          <w:b/>
          <w:bCs/>
        </w:rPr>
        <w:t>Level 0 — Public:</w:t>
      </w:r>
      <w:r>
        <w:t xml:space="preserve"> Public data; safe to transmit externally. Example: USDA published tables, public weather, generic writing.</w:t>
      </w:r>
    </w:p>
    <w:p w14:paraId="7D3420DE" w14:textId="77777777" w:rsidR="00883BB8" w:rsidRDefault="00000000">
      <w:pPr>
        <w:pStyle w:val="Compact"/>
        <w:numPr>
          <w:ilvl w:val="0"/>
          <w:numId w:val="6"/>
        </w:numPr>
      </w:pPr>
      <w:r>
        <w:rPr>
          <w:b/>
          <w:bCs/>
        </w:rPr>
        <w:t>Level 1 — Internal:</w:t>
      </w:r>
      <w:r>
        <w:t xml:space="preserve"> Non-public but low impact if disclosed. Example: internal meeting notes without sensitive details.</w:t>
      </w:r>
    </w:p>
    <w:p w14:paraId="53DDECA4" w14:textId="77777777" w:rsidR="00883BB8" w:rsidRDefault="00000000">
      <w:pPr>
        <w:pStyle w:val="Compact"/>
        <w:numPr>
          <w:ilvl w:val="0"/>
          <w:numId w:val="6"/>
        </w:numPr>
      </w:pPr>
      <w:r>
        <w:rPr>
          <w:b/>
          <w:bCs/>
        </w:rPr>
        <w:t>Level 2 — Confidential:</w:t>
      </w:r>
      <w:r>
        <w:t xml:space="preserve"> Business-sensitive (strategy, counterparties, non-public analyses). Cloud allowed only with redaction + explicit approval.</w:t>
      </w:r>
    </w:p>
    <w:p w14:paraId="03CC437F" w14:textId="77777777" w:rsidR="00883BB8" w:rsidRDefault="00000000">
      <w:pPr>
        <w:pStyle w:val="Compact"/>
        <w:numPr>
          <w:ilvl w:val="0"/>
          <w:numId w:val="6"/>
        </w:numPr>
      </w:pPr>
      <w:r>
        <w:rPr>
          <w:b/>
          <w:bCs/>
        </w:rPr>
        <w:t>Level 3 — Restricted:</w:t>
      </w:r>
      <w:r>
        <w:t xml:space="preserve"> Trade secrets, deal terms, proprietary models/alphas, internal credentials, individualized counterparty exposure. No cloud; Tier S/H only.</w:t>
      </w:r>
    </w:p>
    <w:p w14:paraId="4E461289" w14:textId="77777777" w:rsidR="00883BB8" w:rsidRDefault="00000000">
      <w:pPr>
        <w:pStyle w:val="Compact"/>
        <w:numPr>
          <w:ilvl w:val="0"/>
          <w:numId w:val="6"/>
        </w:numPr>
      </w:pPr>
      <w:r>
        <w:rPr>
          <w:b/>
          <w:bCs/>
        </w:rPr>
        <w:t>Level 4 — Regulated/Critical:</w:t>
      </w:r>
      <w:r>
        <w:t xml:space="preserve"> PII, regulated records, authentication secrets, or data whose compromise is catastrophic. Tier S only; offline-by-design where feasible.</w:t>
      </w:r>
    </w:p>
    <w:p w14:paraId="714202D5" w14:textId="77777777" w:rsidR="00883BB8" w:rsidRDefault="00000000">
      <w:pPr>
        <w:pStyle w:val="Heading3"/>
      </w:pPr>
      <w:bookmarkStart w:id="11" w:name="sensitivity-to-routing-mapping-table"/>
      <w:bookmarkEnd w:id="10"/>
      <w:r>
        <w:t>Sensitivity-to-routing mapping table</w:t>
      </w:r>
    </w:p>
    <w:tbl>
      <w:tblPr>
        <w:tblStyle w:val="Table"/>
        <w:tblW w:w="0" w:type="auto"/>
        <w:tblLook w:val="0020" w:firstRow="1" w:lastRow="0" w:firstColumn="0" w:lastColumn="0" w:noHBand="0" w:noVBand="0"/>
      </w:tblPr>
      <w:tblGrid>
        <w:gridCol w:w="1272"/>
        <w:gridCol w:w="1568"/>
        <w:gridCol w:w="1402"/>
        <w:gridCol w:w="3450"/>
        <w:gridCol w:w="1668"/>
      </w:tblGrid>
      <w:tr w:rsidR="00883BB8" w14:paraId="0DDE7A5D" w14:textId="77777777" w:rsidTr="00883BB8">
        <w:trPr>
          <w:cnfStyle w:val="100000000000" w:firstRow="1" w:lastRow="0" w:firstColumn="0" w:lastColumn="0" w:oddVBand="0" w:evenVBand="0" w:oddHBand="0" w:evenHBand="0" w:firstRowFirstColumn="0" w:firstRowLastColumn="0" w:lastRowFirstColumn="0" w:lastRowLastColumn="0"/>
          <w:tblHeader/>
        </w:trPr>
        <w:tc>
          <w:tcPr>
            <w:tcW w:w="0" w:type="auto"/>
          </w:tcPr>
          <w:p w14:paraId="0C73A942" w14:textId="77777777" w:rsidR="00883BB8" w:rsidRDefault="00000000">
            <w:pPr>
              <w:pStyle w:val="Compact"/>
            </w:pPr>
            <w:r>
              <w:t>Sensitivity</w:t>
            </w:r>
          </w:p>
        </w:tc>
        <w:tc>
          <w:tcPr>
            <w:tcW w:w="0" w:type="auto"/>
          </w:tcPr>
          <w:p w14:paraId="4C30F077" w14:textId="77777777" w:rsidR="00883BB8" w:rsidRDefault="00000000">
            <w:pPr>
              <w:pStyle w:val="Compact"/>
            </w:pPr>
            <w:r>
              <w:t>Default allowed tiers</w:t>
            </w:r>
          </w:p>
        </w:tc>
        <w:tc>
          <w:tcPr>
            <w:tcW w:w="0" w:type="auto"/>
          </w:tcPr>
          <w:p w14:paraId="0C85D482" w14:textId="77777777" w:rsidR="00883BB8" w:rsidRDefault="00000000">
            <w:pPr>
              <w:pStyle w:val="Compact"/>
            </w:pPr>
            <w:r>
              <w:t>Cloud allowed?</w:t>
            </w:r>
          </w:p>
        </w:tc>
        <w:tc>
          <w:tcPr>
            <w:tcW w:w="0" w:type="auto"/>
          </w:tcPr>
          <w:p w14:paraId="05363973" w14:textId="77777777" w:rsidR="00883BB8" w:rsidRDefault="00000000">
            <w:pPr>
              <w:pStyle w:val="Compact"/>
            </w:pPr>
            <w:r>
              <w:t>Default logging rule</w:t>
            </w:r>
          </w:p>
        </w:tc>
        <w:tc>
          <w:tcPr>
            <w:tcW w:w="0" w:type="auto"/>
          </w:tcPr>
          <w:p w14:paraId="0C46A96D" w14:textId="77777777" w:rsidR="00883BB8" w:rsidRDefault="00000000">
            <w:pPr>
              <w:pStyle w:val="Compact"/>
            </w:pPr>
            <w:r>
              <w:t>Approval gate</w:t>
            </w:r>
          </w:p>
        </w:tc>
      </w:tr>
      <w:tr w:rsidR="00883BB8" w14:paraId="6D25516E" w14:textId="77777777">
        <w:tc>
          <w:tcPr>
            <w:tcW w:w="0" w:type="auto"/>
          </w:tcPr>
          <w:p w14:paraId="2B090B5E" w14:textId="77777777" w:rsidR="00883BB8" w:rsidRDefault="00000000">
            <w:pPr>
              <w:pStyle w:val="Compact"/>
            </w:pPr>
            <w:r>
              <w:t>Level 0</w:t>
            </w:r>
          </w:p>
        </w:tc>
        <w:tc>
          <w:tcPr>
            <w:tcW w:w="0" w:type="auto"/>
          </w:tcPr>
          <w:p w14:paraId="1505D6DD" w14:textId="77777777" w:rsidR="00883BB8" w:rsidRDefault="00000000">
            <w:pPr>
              <w:pStyle w:val="Compact"/>
            </w:pPr>
            <w:r>
              <w:t>S / H / C</w:t>
            </w:r>
          </w:p>
        </w:tc>
        <w:tc>
          <w:tcPr>
            <w:tcW w:w="0" w:type="auto"/>
          </w:tcPr>
          <w:p w14:paraId="1C109B3A" w14:textId="77777777" w:rsidR="00883BB8" w:rsidRDefault="00000000">
            <w:pPr>
              <w:pStyle w:val="Compact"/>
            </w:pPr>
            <w:r>
              <w:t>Yes</w:t>
            </w:r>
          </w:p>
        </w:tc>
        <w:tc>
          <w:tcPr>
            <w:tcW w:w="0" w:type="auto"/>
          </w:tcPr>
          <w:p w14:paraId="441FC9BA" w14:textId="77777777" w:rsidR="00883BB8" w:rsidRDefault="00000000">
            <w:pPr>
              <w:pStyle w:val="Compact"/>
            </w:pPr>
            <w:r>
              <w:t>Full structured logs permitted (still avoid secrets)</w:t>
            </w:r>
          </w:p>
        </w:tc>
        <w:tc>
          <w:tcPr>
            <w:tcW w:w="0" w:type="auto"/>
          </w:tcPr>
          <w:p w14:paraId="128AAD41" w14:textId="77777777" w:rsidR="00883BB8" w:rsidRDefault="00000000">
            <w:pPr>
              <w:pStyle w:val="Compact"/>
            </w:pPr>
            <w:r>
              <w:t>No</w:t>
            </w:r>
          </w:p>
        </w:tc>
      </w:tr>
      <w:tr w:rsidR="00883BB8" w14:paraId="1247A8D1" w14:textId="77777777">
        <w:tc>
          <w:tcPr>
            <w:tcW w:w="0" w:type="auto"/>
          </w:tcPr>
          <w:p w14:paraId="4BB1D95A" w14:textId="77777777" w:rsidR="00883BB8" w:rsidRDefault="00000000">
            <w:pPr>
              <w:pStyle w:val="Compact"/>
            </w:pPr>
            <w:r>
              <w:t>Level 1</w:t>
            </w:r>
          </w:p>
        </w:tc>
        <w:tc>
          <w:tcPr>
            <w:tcW w:w="0" w:type="auto"/>
          </w:tcPr>
          <w:p w14:paraId="00EC3D39" w14:textId="77777777" w:rsidR="00883BB8" w:rsidRDefault="00000000">
            <w:pPr>
              <w:pStyle w:val="Compact"/>
            </w:pPr>
            <w:r>
              <w:t>H / C (S optional)</w:t>
            </w:r>
          </w:p>
        </w:tc>
        <w:tc>
          <w:tcPr>
            <w:tcW w:w="0" w:type="auto"/>
          </w:tcPr>
          <w:p w14:paraId="01F559ED" w14:textId="77777777" w:rsidR="00883BB8" w:rsidRDefault="00000000">
            <w:pPr>
              <w:pStyle w:val="Compact"/>
            </w:pPr>
            <w:r>
              <w:t>Yes</w:t>
            </w:r>
          </w:p>
        </w:tc>
        <w:tc>
          <w:tcPr>
            <w:tcW w:w="0" w:type="auto"/>
          </w:tcPr>
          <w:p w14:paraId="3C877EA3" w14:textId="77777777" w:rsidR="00883BB8" w:rsidRDefault="00000000">
            <w:pPr>
              <w:pStyle w:val="Compact"/>
            </w:pPr>
            <w:r>
              <w:t>Payload logging allowed only if policy permits</w:t>
            </w:r>
          </w:p>
        </w:tc>
        <w:tc>
          <w:tcPr>
            <w:tcW w:w="0" w:type="auto"/>
          </w:tcPr>
          <w:p w14:paraId="351218A1" w14:textId="77777777" w:rsidR="00883BB8" w:rsidRDefault="00000000">
            <w:pPr>
              <w:pStyle w:val="Compact"/>
            </w:pPr>
            <w:r>
              <w:t>Optional (team policy)</w:t>
            </w:r>
          </w:p>
        </w:tc>
      </w:tr>
      <w:tr w:rsidR="00883BB8" w14:paraId="3C105EE8" w14:textId="77777777">
        <w:tc>
          <w:tcPr>
            <w:tcW w:w="0" w:type="auto"/>
          </w:tcPr>
          <w:p w14:paraId="6224029C" w14:textId="77777777" w:rsidR="00883BB8" w:rsidRDefault="00000000">
            <w:pPr>
              <w:pStyle w:val="Compact"/>
            </w:pPr>
            <w:r>
              <w:t>Level 2</w:t>
            </w:r>
          </w:p>
        </w:tc>
        <w:tc>
          <w:tcPr>
            <w:tcW w:w="0" w:type="auto"/>
          </w:tcPr>
          <w:p w14:paraId="1A850CB7" w14:textId="77777777" w:rsidR="00883BB8" w:rsidRDefault="00000000">
            <w:pPr>
              <w:pStyle w:val="Compact"/>
            </w:pPr>
            <w:r>
              <w:t>S / H</w:t>
            </w:r>
          </w:p>
        </w:tc>
        <w:tc>
          <w:tcPr>
            <w:tcW w:w="0" w:type="auto"/>
          </w:tcPr>
          <w:p w14:paraId="7D458D7C" w14:textId="77777777" w:rsidR="00883BB8" w:rsidRDefault="00000000">
            <w:pPr>
              <w:pStyle w:val="Compact"/>
            </w:pPr>
            <w:r>
              <w:t xml:space="preserve">Only if </w:t>
            </w:r>
            <w:r>
              <w:lastRenderedPageBreak/>
              <w:t>redacted</w:t>
            </w:r>
          </w:p>
        </w:tc>
        <w:tc>
          <w:tcPr>
            <w:tcW w:w="0" w:type="auto"/>
          </w:tcPr>
          <w:p w14:paraId="7051D969" w14:textId="77777777" w:rsidR="00883BB8" w:rsidRDefault="00000000">
            <w:pPr>
              <w:pStyle w:val="Compact"/>
            </w:pPr>
            <w:r>
              <w:lastRenderedPageBreak/>
              <w:t xml:space="preserve">Store hashes + metadata; no </w:t>
            </w:r>
            <w:r>
              <w:lastRenderedPageBreak/>
              <w:t>raw prompts by default</w:t>
            </w:r>
          </w:p>
        </w:tc>
        <w:tc>
          <w:tcPr>
            <w:tcW w:w="0" w:type="auto"/>
          </w:tcPr>
          <w:p w14:paraId="0F0E8BA8" w14:textId="77777777" w:rsidR="00883BB8" w:rsidRDefault="00000000">
            <w:pPr>
              <w:pStyle w:val="Compact"/>
            </w:pPr>
            <w:r>
              <w:lastRenderedPageBreak/>
              <w:t xml:space="preserve">Yes (per </w:t>
            </w:r>
            <w:r>
              <w:lastRenderedPageBreak/>
              <w:t>request)</w:t>
            </w:r>
          </w:p>
        </w:tc>
      </w:tr>
      <w:tr w:rsidR="00883BB8" w14:paraId="34EA11C9" w14:textId="77777777">
        <w:tc>
          <w:tcPr>
            <w:tcW w:w="0" w:type="auto"/>
          </w:tcPr>
          <w:p w14:paraId="5B15D0EF" w14:textId="77777777" w:rsidR="00883BB8" w:rsidRDefault="00000000">
            <w:pPr>
              <w:pStyle w:val="Compact"/>
            </w:pPr>
            <w:r>
              <w:lastRenderedPageBreak/>
              <w:t>Level 3</w:t>
            </w:r>
          </w:p>
        </w:tc>
        <w:tc>
          <w:tcPr>
            <w:tcW w:w="0" w:type="auto"/>
          </w:tcPr>
          <w:p w14:paraId="6EFD34D1" w14:textId="77777777" w:rsidR="00883BB8" w:rsidRDefault="00000000">
            <w:pPr>
              <w:pStyle w:val="Compact"/>
            </w:pPr>
            <w:r>
              <w:t>S / H</w:t>
            </w:r>
          </w:p>
        </w:tc>
        <w:tc>
          <w:tcPr>
            <w:tcW w:w="0" w:type="auto"/>
          </w:tcPr>
          <w:p w14:paraId="02E02785" w14:textId="77777777" w:rsidR="00883BB8" w:rsidRDefault="00000000">
            <w:pPr>
              <w:pStyle w:val="Compact"/>
            </w:pPr>
            <w:r>
              <w:t>No</w:t>
            </w:r>
          </w:p>
        </w:tc>
        <w:tc>
          <w:tcPr>
            <w:tcW w:w="0" w:type="auto"/>
          </w:tcPr>
          <w:p w14:paraId="6C58DAE0" w14:textId="77777777" w:rsidR="00883BB8" w:rsidRDefault="00000000">
            <w:pPr>
              <w:pStyle w:val="Compact"/>
            </w:pPr>
            <w:r>
              <w:t>Metadata-only + cryptographic integrity</w:t>
            </w:r>
          </w:p>
        </w:tc>
        <w:tc>
          <w:tcPr>
            <w:tcW w:w="0" w:type="auto"/>
          </w:tcPr>
          <w:p w14:paraId="27D1C11C" w14:textId="77777777" w:rsidR="00883BB8" w:rsidRDefault="00000000">
            <w:pPr>
              <w:pStyle w:val="Compact"/>
            </w:pPr>
            <w:r>
              <w:t>Yes (high-risk actions)</w:t>
            </w:r>
          </w:p>
        </w:tc>
      </w:tr>
      <w:tr w:rsidR="00883BB8" w14:paraId="3F71C9A8" w14:textId="77777777">
        <w:tc>
          <w:tcPr>
            <w:tcW w:w="0" w:type="auto"/>
          </w:tcPr>
          <w:p w14:paraId="12B911DB" w14:textId="77777777" w:rsidR="00883BB8" w:rsidRDefault="00000000">
            <w:pPr>
              <w:pStyle w:val="Compact"/>
            </w:pPr>
            <w:r>
              <w:t>Level 4</w:t>
            </w:r>
          </w:p>
        </w:tc>
        <w:tc>
          <w:tcPr>
            <w:tcW w:w="0" w:type="auto"/>
          </w:tcPr>
          <w:p w14:paraId="60EEBD1F" w14:textId="77777777" w:rsidR="00883BB8" w:rsidRDefault="00000000">
            <w:pPr>
              <w:pStyle w:val="Compact"/>
            </w:pPr>
            <w:r>
              <w:t>S</w:t>
            </w:r>
          </w:p>
        </w:tc>
        <w:tc>
          <w:tcPr>
            <w:tcW w:w="0" w:type="auto"/>
          </w:tcPr>
          <w:p w14:paraId="41DA41CD" w14:textId="77777777" w:rsidR="00883BB8" w:rsidRDefault="00000000">
            <w:pPr>
              <w:pStyle w:val="Compact"/>
            </w:pPr>
            <w:r>
              <w:t>No</w:t>
            </w:r>
          </w:p>
        </w:tc>
        <w:tc>
          <w:tcPr>
            <w:tcW w:w="0" w:type="auto"/>
          </w:tcPr>
          <w:p w14:paraId="6D1B32C2" w14:textId="77777777" w:rsidR="00883BB8" w:rsidRDefault="00000000">
            <w:pPr>
              <w:pStyle w:val="Compact"/>
            </w:pPr>
            <w:r>
              <w:t>Metadata-only; strongest integrity + WORM/isolated storage</w:t>
            </w:r>
          </w:p>
        </w:tc>
        <w:tc>
          <w:tcPr>
            <w:tcW w:w="0" w:type="auto"/>
          </w:tcPr>
          <w:p w14:paraId="47771BC9" w14:textId="77777777" w:rsidR="00883BB8" w:rsidRDefault="00000000">
            <w:pPr>
              <w:pStyle w:val="Compact"/>
            </w:pPr>
            <w:r>
              <w:t>Yes (always for actions)</w:t>
            </w:r>
          </w:p>
        </w:tc>
      </w:tr>
    </w:tbl>
    <w:p w14:paraId="0B52117E" w14:textId="77777777" w:rsidR="00883BB8" w:rsidRDefault="00000000">
      <w:pPr>
        <w:pStyle w:val="BodyText"/>
      </w:pPr>
      <w:r>
        <w:t xml:space="preserve">This table operationalizes “data leaves the machine” as a tier-routing decision rather than a guideline. Log protection and cryptographic integrity requirements are rooted in audit protection expectations (prevent unauthorized modification/deletion; cryptographic integrity mechanisms). </w:t>
      </w:r>
      <w:hyperlink r:id="rId27">
        <w:r>
          <w:rPr>
            <w:rStyle w:val="Hyperlink"/>
          </w:rPr>
          <w:t>[21]</w:t>
        </w:r>
      </w:hyperlink>
    </w:p>
    <w:p w14:paraId="6675D1FB" w14:textId="77777777" w:rsidR="00883BB8" w:rsidRDefault="00000000">
      <w:pPr>
        <w:pStyle w:val="Heading3"/>
      </w:pPr>
      <w:bookmarkStart w:id="12" w:name="redaction-rules-and-failover-tiers"/>
      <w:bookmarkEnd w:id="11"/>
      <w:r>
        <w:t>Redaction rules and failover tiers</w:t>
      </w:r>
    </w:p>
    <w:p w14:paraId="510587C3" w14:textId="77777777" w:rsidR="00883BB8" w:rsidRDefault="00000000">
      <w:pPr>
        <w:pStyle w:val="FirstParagraph"/>
      </w:pPr>
      <w:r>
        <w:t xml:space="preserve">Failover is justified mainly by commodity intelligence volatility: during spikes, local inference or collectors may stall, and you still need an answer pipeline. V2 recommends </w:t>
      </w:r>
      <w:r>
        <w:rPr>
          <w:b/>
          <w:bCs/>
        </w:rPr>
        <w:t>policy-defined failover</w:t>
      </w:r>
      <w:r>
        <w:t>:</w:t>
      </w:r>
    </w:p>
    <w:p w14:paraId="5C362E29" w14:textId="77777777" w:rsidR="00883BB8" w:rsidRDefault="00000000">
      <w:pPr>
        <w:pStyle w:val="Compact"/>
        <w:numPr>
          <w:ilvl w:val="0"/>
          <w:numId w:val="7"/>
        </w:numPr>
      </w:pPr>
      <w:r>
        <w:rPr>
          <w:b/>
          <w:bCs/>
        </w:rPr>
        <w:t>Tier S → Tier H:</w:t>
      </w:r>
      <w:r>
        <w:t xml:space="preserve"> Preferred failover (stays sovereign; adds resources/services).</w:t>
      </w:r>
    </w:p>
    <w:p w14:paraId="2595D16F" w14:textId="77777777" w:rsidR="00883BB8" w:rsidRDefault="00000000">
      <w:pPr>
        <w:pStyle w:val="Compact"/>
        <w:numPr>
          <w:ilvl w:val="0"/>
          <w:numId w:val="7"/>
        </w:numPr>
      </w:pPr>
      <w:r>
        <w:rPr>
          <w:b/>
          <w:bCs/>
        </w:rPr>
        <w:t>Tier H → Tier C:</w:t>
      </w:r>
      <w:r>
        <w:t xml:space="preserve"> Only for Level 0–1 by default; Level 2 requires redaction + approval.</w:t>
      </w:r>
    </w:p>
    <w:p w14:paraId="7F90506F" w14:textId="77777777" w:rsidR="00883BB8" w:rsidRDefault="00000000">
      <w:pPr>
        <w:pStyle w:val="FirstParagraph"/>
      </w:pPr>
      <w:r>
        <w:rPr>
          <w:b/>
          <w:bCs/>
        </w:rPr>
        <w:t>Redaction must be deterministic and logged as a transformation</w:t>
      </w:r>
      <w:r>
        <w:t xml:space="preserve">, not a “best effort.” OWASP explicitly flags prompt injection and insecure output handling as top risks; redaction + strict tool gating reduces blast radius when adversarial content is present (e.g., web pages attempting to exfiltrate secrets). </w:t>
      </w:r>
      <w:hyperlink r:id="rId28">
        <w:r>
          <w:rPr>
            <w:rStyle w:val="Hyperlink"/>
          </w:rPr>
          <w:t>[14]</w:t>
        </w:r>
      </w:hyperlink>
    </w:p>
    <w:p w14:paraId="5E6AAC9B" w14:textId="77777777" w:rsidR="00883BB8" w:rsidRDefault="00000000">
      <w:pPr>
        <w:pStyle w:val="BodyText"/>
      </w:pPr>
      <w:r>
        <w:t>Recommended redaction rule categories (minimum):</w:t>
      </w:r>
    </w:p>
    <w:p w14:paraId="3D6CA0EF" w14:textId="77777777" w:rsidR="00883BB8" w:rsidRDefault="00000000">
      <w:pPr>
        <w:pStyle w:val="Compact"/>
        <w:numPr>
          <w:ilvl w:val="0"/>
          <w:numId w:val="8"/>
        </w:numPr>
      </w:pPr>
      <w:r>
        <w:t>Secrets: API keys, tokens, private URLs, OAuth headers.</w:t>
      </w:r>
    </w:p>
    <w:p w14:paraId="0B66B683" w14:textId="77777777" w:rsidR="00883BB8" w:rsidRDefault="00000000">
      <w:pPr>
        <w:pStyle w:val="Compact"/>
        <w:numPr>
          <w:ilvl w:val="0"/>
          <w:numId w:val="8"/>
        </w:numPr>
      </w:pPr>
      <w:r>
        <w:t>PII: names + contact info when tied to individuals; identifiers; addresses.</w:t>
      </w:r>
    </w:p>
    <w:p w14:paraId="7E747037" w14:textId="77777777" w:rsidR="00883BB8" w:rsidRDefault="00000000">
      <w:pPr>
        <w:pStyle w:val="Compact"/>
        <w:numPr>
          <w:ilvl w:val="0"/>
          <w:numId w:val="8"/>
        </w:numPr>
      </w:pPr>
      <w:r>
        <w:t xml:space="preserve">Deal identifiers: contract IDs, shipment references, counterparty names (replace with stable placeholders like </w:t>
      </w:r>
      <w:r>
        <w:rPr>
          <w:rStyle w:val="VerbatimChar"/>
        </w:rPr>
        <w:t>COUNTERPARTY_A</w:t>
      </w:r>
      <w:r>
        <w:t>).</w:t>
      </w:r>
    </w:p>
    <w:p w14:paraId="5401E9C3" w14:textId="77777777" w:rsidR="00883BB8" w:rsidRDefault="00000000">
      <w:pPr>
        <w:pStyle w:val="Compact"/>
        <w:numPr>
          <w:ilvl w:val="0"/>
          <w:numId w:val="8"/>
        </w:numPr>
      </w:pPr>
      <w:r>
        <w:t xml:space="preserve">Numeric masking: for highly sensitive pricing/positions, preserve </w:t>
      </w:r>
      <w:r>
        <w:rPr>
          <w:i/>
          <w:iCs/>
        </w:rPr>
        <w:t>relative changes</w:t>
      </w:r>
      <w:r>
        <w:t xml:space="preserve"> but mask absolute values unless explicitly allowed.</w:t>
      </w:r>
    </w:p>
    <w:p w14:paraId="6871BA60" w14:textId="77777777" w:rsidR="00883BB8" w:rsidRDefault="00000000">
      <w:pPr>
        <w:pStyle w:val="Compact"/>
        <w:numPr>
          <w:ilvl w:val="0"/>
          <w:numId w:val="8"/>
        </w:numPr>
      </w:pPr>
      <w:r>
        <w:t>Retrieval quarantine: if content is web-sourced, remove embedded instructions (prompt-injection patterns) before it enters any “system prompt” path.</w:t>
      </w:r>
    </w:p>
    <w:p w14:paraId="6E07DB39" w14:textId="77777777" w:rsidR="00883BB8" w:rsidRDefault="00000000">
      <w:pPr>
        <w:pStyle w:val="Heading3"/>
      </w:pPr>
      <w:bookmarkStart w:id="13" w:name="model-router-decision-table"/>
      <w:bookmarkEnd w:id="12"/>
      <w:r>
        <w:t>Model-router decision table</w:t>
      </w:r>
    </w:p>
    <w:tbl>
      <w:tblPr>
        <w:tblStyle w:val="Table"/>
        <w:tblW w:w="0" w:type="auto"/>
        <w:tblLook w:val="0020" w:firstRow="1" w:lastRow="0" w:firstColumn="0" w:lastColumn="0" w:noHBand="0" w:noVBand="0"/>
      </w:tblPr>
      <w:tblGrid>
        <w:gridCol w:w="2803"/>
        <w:gridCol w:w="2839"/>
        <w:gridCol w:w="3718"/>
      </w:tblGrid>
      <w:tr w:rsidR="00883BB8" w14:paraId="34729B9D" w14:textId="77777777" w:rsidTr="00883BB8">
        <w:trPr>
          <w:cnfStyle w:val="100000000000" w:firstRow="1" w:lastRow="0" w:firstColumn="0" w:lastColumn="0" w:oddVBand="0" w:evenVBand="0" w:oddHBand="0" w:evenHBand="0" w:firstRowFirstColumn="0" w:firstRowLastColumn="0" w:lastRowFirstColumn="0" w:lastRowLastColumn="0"/>
          <w:tblHeader/>
        </w:trPr>
        <w:tc>
          <w:tcPr>
            <w:tcW w:w="0" w:type="auto"/>
          </w:tcPr>
          <w:p w14:paraId="3E721E8E" w14:textId="77777777" w:rsidR="00883BB8" w:rsidRDefault="00000000">
            <w:pPr>
              <w:pStyle w:val="Compact"/>
            </w:pPr>
            <w:r>
              <w:t>Condition (inputs)</w:t>
            </w:r>
          </w:p>
        </w:tc>
        <w:tc>
          <w:tcPr>
            <w:tcW w:w="0" w:type="auto"/>
          </w:tcPr>
          <w:p w14:paraId="3B0B0960" w14:textId="77777777" w:rsidR="00883BB8" w:rsidRDefault="00000000">
            <w:pPr>
              <w:pStyle w:val="Compact"/>
            </w:pPr>
            <w:r>
              <w:t>Router decision (outputs)</w:t>
            </w:r>
          </w:p>
        </w:tc>
        <w:tc>
          <w:tcPr>
            <w:tcW w:w="0" w:type="auto"/>
          </w:tcPr>
          <w:p w14:paraId="31736EE9" w14:textId="77777777" w:rsidR="00883BB8" w:rsidRDefault="00000000">
            <w:pPr>
              <w:pStyle w:val="Compact"/>
            </w:pPr>
            <w:r>
              <w:t>Rationale</w:t>
            </w:r>
          </w:p>
        </w:tc>
      </w:tr>
      <w:tr w:rsidR="00883BB8" w14:paraId="1DABD5E9" w14:textId="77777777">
        <w:tc>
          <w:tcPr>
            <w:tcW w:w="0" w:type="auto"/>
          </w:tcPr>
          <w:p w14:paraId="2BC8AE01" w14:textId="77777777" w:rsidR="00883BB8" w:rsidRDefault="00000000">
            <w:pPr>
              <w:pStyle w:val="Compact"/>
            </w:pPr>
            <w:r>
              <w:t>Sensitivity ≥ 3</w:t>
            </w:r>
          </w:p>
        </w:tc>
        <w:tc>
          <w:tcPr>
            <w:tcW w:w="0" w:type="auto"/>
          </w:tcPr>
          <w:p w14:paraId="4CC81948" w14:textId="77777777" w:rsidR="00883BB8" w:rsidRDefault="00000000">
            <w:pPr>
              <w:pStyle w:val="Compact"/>
            </w:pPr>
            <w:r>
              <w:t>Tier S/H only; disable external tools</w:t>
            </w:r>
          </w:p>
        </w:tc>
        <w:tc>
          <w:tcPr>
            <w:tcW w:w="0" w:type="auto"/>
          </w:tcPr>
          <w:p w14:paraId="337EAC7C" w14:textId="77777777" w:rsidR="00883BB8" w:rsidRDefault="00000000">
            <w:pPr>
              <w:pStyle w:val="Compact"/>
            </w:pPr>
            <w:r>
              <w:t xml:space="preserve">Containment &gt; redaction; deny egress by policy. </w:t>
            </w:r>
            <w:hyperlink r:id="rId29">
              <w:r>
                <w:rPr>
                  <w:rStyle w:val="Hyperlink"/>
                </w:rPr>
                <w:t>[22]</w:t>
              </w:r>
            </w:hyperlink>
          </w:p>
        </w:tc>
      </w:tr>
      <w:tr w:rsidR="00883BB8" w14:paraId="5B24D7B4" w14:textId="77777777">
        <w:tc>
          <w:tcPr>
            <w:tcW w:w="0" w:type="auto"/>
          </w:tcPr>
          <w:p w14:paraId="6439FC59" w14:textId="77777777" w:rsidR="00883BB8" w:rsidRDefault="00000000">
            <w:pPr>
              <w:pStyle w:val="Compact"/>
            </w:pPr>
            <w:r>
              <w:t xml:space="preserve">Sensitivity = 2, user </w:t>
            </w:r>
            <w:r>
              <w:lastRenderedPageBreak/>
              <w:t>approves, redaction succeeds</w:t>
            </w:r>
          </w:p>
        </w:tc>
        <w:tc>
          <w:tcPr>
            <w:tcW w:w="0" w:type="auto"/>
          </w:tcPr>
          <w:p w14:paraId="1F92BEB9" w14:textId="77777777" w:rsidR="00883BB8" w:rsidRDefault="00000000">
            <w:pPr>
              <w:pStyle w:val="Compact"/>
            </w:pPr>
            <w:r>
              <w:lastRenderedPageBreak/>
              <w:t xml:space="preserve">Tier H preferred; Tier C </w:t>
            </w:r>
            <w:r>
              <w:lastRenderedPageBreak/>
              <w:t>allowed for “analysis only”</w:t>
            </w:r>
          </w:p>
        </w:tc>
        <w:tc>
          <w:tcPr>
            <w:tcW w:w="0" w:type="auto"/>
          </w:tcPr>
          <w:p w14:paraId="5BAB7142" w14:textId="77777777" w:rsidR="00883BB8" w:rsidRDefault="00000000">
            <w:pPr>
              <w:pStyle w:val="Compact"/>
            </w:pPr>
            <w:r>
              <w:lastRenderedPageBreak/>
              <w:t xml:space="preserve">Enables burst compute without </w:t>
            </w:r>
            <w:r>
              <w:lastRenderedPageBreak/>
              <w:t xml:space="preserve">leaking raw content. </w:t>
            </w:r>
            <w:hyperlink r:id="rId30">
              <w:r>
                <w:rPr>
                  <w:rStyle w:val="Hyperlink"/>
                </w:rPr>
                <w:t>[14]</w:t>
              </w:r>
            </w:hyperlink>
          </w:p>
        </w:tc>
      </w:tr>
      <w:tr w:rsidR="00883BB8" w14:paraId="25A8ADCC" w14:textId="77777777">
        <w:tc>
          <w:tcPr>
            <w:tcW w:w="0" w:type="auto"/>
          </w:tcPr>
          <w:p w14:paraId="2F73EF5B" w14:textId="77777777" w:rsidR="00883BB8" w:rsidRDefault="00000000">
            <w:pPr>
              <w:pStyle w:val="Compact"/>
            </w:pPr>
            <w:r>
              <w:lastRenderedPageBreak/>
              <w:t>Local runtime healthy, GPU queue &lt; threshold</w:t>
            </w:r>
          </w:p>
        </w:tc>
        <w:tc>
          <w:tcPr>
            <w:tcW w:w="0" w:type="auto"/>
          </w:tcPr>
          <w:p w14:paraId="0DB23D2B" w14:textId="77777777" w:rsidR="00883BB8" w:rsidRDefault="00000000">
            <w:pPr>
              <w:pStyle w:val="Compact"/>
            </w:pPr>
            <w:r>
              <w:t>Tier S/H local inference</w:t>
            </w:r>
          </w:p>
        </w:tc>
        <w:tc>
          <w:tcPr>
            <w:tcW w:w="0" w:type="auto"/>
          </w:tcPr>
          <w:p w14:paraId="09E15C90" w14:textId="77777777" w:rsidR="00883BB8" w:rsidRDefault="00000000">
            <w:pPr>
              <w:pStyle w:val="Compact"/>
            </w:pPr>
            <w:r>
              <w:t>Lowest latency + sovereignty.</w:t>
            </w:r>
          </w:p>
        </w:tc>
      </w:tr>
      <w:tr w:rsidR="00883BB8" w14:paraId="7B620F17" w14:textId="77777777">
        <w:tc>
          <w:tcPr>
            <w:tcW w:w="0" w:type="auto"/>
          </w:tcPr>
          <w:p w14:paraId="53202866" w14:textId="77777777" w:rsidR="00883BB8" w:rsidRDefault="00000000">
            <w:pPr>
              <w:pStyle w:val="Compact"/>
            </w:pPr>
            <w:r>
              <w:t>Local runtime error or GPU saturation</w:t>
            </w:r>
          </w:p>
        </w:tc>
        <w:tc>
          <w:tcPr>
            <w:tcW w:w="0" w:type="auto"/>
          </w:tcPr>
          <w:p w14:paraId="13BAC13A" w14:textId="77777777" w:rsidR="00883BB8" w:rsidRDefault="00000000">
            <w:pPr>
              <w:pStyle w:val="Compact"/>
            </w:pPr>
            <w:r>
              <w:t>Tier S → H (scale services), or C (if allowed)</w:t>
            </w:r>
          </w:p>
        </w:tc>
        <w:tc>
          <w:tcPr>
            <w:tcW w:w="0" w:type="auto"/>
          </w:tcPr>
          <w:p w14:paraId="7E937E52" w14:textId="77777777" w:rsidR="00883BB8" w:rsidRDefault="00000000">
            <w:pPr>
              <w:pStyle w:val="Compact"/>
            </w:pPr>
            <w:r>
              <w:t xml:space="preserve">Resilience for market spikes. </w:t>
            </w:r>
            <w:hyperlink r:id="rId31">
              <w:r>
                <w:rPr>
                  <w:rStyle w:val="Hyperlink"/>
                </w:rPr>
                <w:t>[23]</w:t>
              </w:r>
            </w:hyperlink>
          </w:p>
        </w:tc>
      </w:tr>
      <w:tr w:rsidR="00883BB8" w14:paraId="409E109A" w14:textId="77777777">
        <w:tc>
          <w:tcPr>
            <w:tcW w:w="0" w:type="auto"/>
          </w:tcPr>
          <w:p w14:paraId="7BE9D692" w14:textId="77777777" w:rsidR="00883BB8" w:rsidRDefault="00000000">
            <w:pPr>
              <w:pStyle w:val="Compact"/>
            </w:pPr>
            <w:r>
              <w:t>Task requires live web search</w:t>
            </w:r>
          </w:p>
        </w:tc>
        <w:tc>
          <w:tcPr>
            <w:tcW w:w="0" w:type="auto"/>
          </w:tcPr>
          <w:p w14:paraId="54D98A8F" w14:textId="77777777" w:rsidR="00883BB8" w:rsidRDefault="00000000">
            <w:pPr>
              <w:pStyle w:val="Compact"/>
            </w:pPr>
            <w:r>
              <w:t>Tier H via SearxNG</w:t>
            </w:r>
          </w:p>
        </w:tc>
        <w:tc>
          <w:tcPr>
            <w:tcW w:w="0" w:type="auto"/>
          </w:tcPr>
          <w:p w14:paraId="38A582F7" w14:textId="77777777" w:rsidR="00883BB8" w:rsidRDefault="00000000">
            <w:pPr>
              <w:pStyle w:val="Compact"/>
            </w:pPr>
            <w:r>
              <w:t xml:space="preserve">Keeps search layer self-hosted; avoids direct cloud dependency. </w:t>
            </w:r>
            <w:hyperlink r:id="rId32">
              <w:r>
                <w:rPr>
                  <w:rStyle w:val="Hyperlink"/>
                </w:rPr>
                <w:t>[18]</w:t>
              </w:r>
            </w:hyperlink>
          </w:p>
        </w:tc>
      </w:tr>
      <w:tr w:rsidR="00883BB8" w14:paraId="7FB30D93" w14:textId="77777777">
        <w:tc>
          <w:tcPr>
            <w:tcW w:w="0" w:type="auto"/>
          </w:tcPr>
          <w:p w14:paraId="0AEFB9BE" w14:textId="77777777" w:rsidR="00883BB8" w:rsidRDefault="00000000">
            <w:pPr>
              <w:pStyle w:val="Compact"/>
            </w:pPr>
            <w:r>
              <w:t>Task requires graph reasoning</w:t>
            </w:r>
          </w:p>
        </w:tc>
        <w:tc>
          <w:tcPr>
            <w:tcW w:w="0" w:type="auto"/>
          </w:tcPr>
          <w:p w14:paraId="29B560AD" w14:textId="77777777" w:rsidR="00883BB8" w:rsidRDefault="00000000">
            <w:pPr>
              <w:pStyle w:val="Compact"/>
            </w:pPr>
            <w:r>
              <w:t>Tier H with Neo4j</w:t>
            </w:r>
          </w:p>
        </w:tc>
        <w:tc>
          <w:tcPr>
            <w:tcW w:w="0" w:type="auto"/>
          </w:tcPr>
          <w:p w14:paraId="2E4A9E99" w14:textId="77777777" w:rsidR="00883BB8" w:rsidRDefault="00000000">
            <w:pPr>
              <w:pStyle w:val="Compact"/>
            </w:pPr>
            <w:r>
              <w:t xml:space="preserve">Graph persistence improves entity/event linkage and retrieval. </w:t>
            </w:r>
            <w:hyperlink r:id="rId33">
              <w:r>
                <w:rPr>
                  <w:rStyle w:val="Hyperlink"/>
                </w:rPr>
                <w:t>[24]</w:t>
              </w:r>
            </w:hyperlink>
          </w:p>
        </w:tc>
      </w:tr>
      <w:tr w:rsidR="00883BB8" w14:paraId="69A3B5EF" w14:textId="77777777">
        <w:tc>
          <w:tcPr>
            <w:tcW w:w="0" w:type="auto"/>
          </w:tcPr>
          <w:p w14:paraId="131CB0DF" w14:textId="77777777" w:rsidR="00883BB8" w:rsidRDefault="00000000">
            <w:pPr>
              <w:pStyle w:val="Compact"/>
            </w:pPr>
            <w:r>
              <w:t>Tool requires system access</w:t>
            </w:r>
          </w:p>
        </w:tc>
        <w:tc>
          <w:tcPr>
            <w:tcW w:w="0" w:type="auto"/>
          </w:tcPr>
          <w:p w14:paraId="4EBA2737" w14:textId="77777777" w:rsidR="00883BB8" w:rsidRDefault="00000000">
            <w:pPr>
              <w:pStyle w:val="Compact"/>
            </w:pPr>
            <w:r>
              <w:t>MCP local stdio only; sandboxed runtime</w:t>
            </w:r>
          </w:p>
        </w:tc>
        <w:tc>
          <w:tcPr>
            <w:tcW w:w="0" w:type="auto"/>
          </w:tcPr>
          <w:p w14:paraId="567F3867" w14:textId="77777777" w:rsidR="00883BB8" w:rsidRDefault="00000000">
            <w:pPr>
              <w:pStyle w:val="Compact"/>
            </w:pPr>
            <w:r>
              <w:t xml:space="preserve">MCP supports local stdio servers for direct system access. </w:t>
            </w:r>
            <w:hyperlink r:id="rId34">
              <w:r>
                <w:rPr>
                  <w:rStyle w:val="Hyperlink"/>
                </w:rPr>
                <w:t>[25]</w:t>
              </w:r>
            </w:hyperlink>
          </w:p>
        </w:tc>
      </w:tr>
    </w:tbl>
    <w:p w14:paraId="48878EF4" w14:textId="77777777" w:rsidR="00883BB8" w:rsidRDefault="00000000">
      <w:pPr>
        <w:pStyle w:val="Heading2"/>
      </w:pPr>
      <w:bookmarkStart w:id="14" w:name="security-containment-and-auditability"/>
      <w:bookmarkEnd w:id="9"/>
      <w:bookmarkEnd w:id="13"/>
      <w:r>
        <w:t>Security, containment, and auditability</w:t>
      </w:r>
    </w:p>
    <w:p w14:paraId="13840D85" w14:textId="77777777" w:rsidR="00883BB8" w:rsidRDefault="00000000">
      <w:pPr>
        <w:pStyle w:val="Heading3"/>
      </w:pPr>
      <w:bookmarkStart w:id="15" w:name="local-threat-model-expansion"/>
      <w:r>
        <w:t>Local threat model expansion</w:t>
      </w:r>
    </w:p>
    <w:p w14:paraId="4C0769DA" w14:textId="77777777" w:rsidR="00883BB8" w:rsidRDefault="00000000">
      <w:pPr>
        <w:pStyle w:val="FirstParagraph"/>
      </w:pPr>
      <w:r>
        <w:t xml:space="preserve">V2 explicitly expands the threat model beyond “data leaving the machine” to include </w:t>
      </w:r>
      <w:r>
        <w:rPr>
          <w:b/>
          <w:bCs/>
        </w:rPr>
        <w:t>local prompt injection, tool abuse, and supply chain vectors</w:t>
      </w:r>
      <w:r>
        <w:t xml:space="preserve">, consistent with OWASP’s LLM risk taxonomy (prompt injection, insecure plugin design, excessive agency). </w:t>
      </w:r>
      <w:hyperlink r:id="rId35">
        <w:r>
          <w:rPr>
            <w:rStyle w:val="Hyperlink"/>
          </w:rPr>
          <w:t>[14]</w:t>
        </w:r>
      </w:hyperlink>
    </w:p>
    <w:p w14:paraId="5374B56C" w14:textId="77777777" w:rsidR="00883BB8" w:rsidRDefault="00000000">
      <w:pPr>
        <w:pStyle w:val="BodyText"/>
      </w:pPr>
      <w:r>
        <w:t>Where feasible, treat every agent/tool boundary as a potential privilege escalation attempt.</w:t>
      </w:r>
    </w:p>
    <w:p w14:paraId="3F60D949" w14:textId="77777777" w:rsidR="00883BB8" w:rsidRDefault="00000000">
      <w:pPr>
        <w:pStyle w:val="Heading3"/>
      </w:pPr>
      <w:bookmarkStart w:id="16" w:name="Xada44798a3dddb73f387ac2dc20380cca8453a3"/>
      <w:bookmarkEnd w:id="15"/>
      <w:r>
        <w:t>Least-privilege and containerization patterns</w:t>
      </w:r>
    </w:p>
    <w:p w14:paraId="017C9253" w14:textId="77777777" w:rsidR="00883BB8" w:rsidRDefault="00000000">
      <w:pPr>
        <w:pStyle w:val="FirstParagraph"/>
      </w:pPr>
      <w:r>
        <w:t xml:space="preserve">Apply the principle of least privilege to both users and processes, including service accounts for agents. </w:t>
      </w:r>
      <w:hyperlink r:id="rId36">
        <w:r>
          <w:rPr>
            <w:rStyle w:val="Hyperlink"/>
          </w:rPr>
          <w:t>[26]</w:t>
        </w:r>
      </w:hyperlink>
    </w:p>
    <w:p w14:paraId="23063499" w14:textId="77777777" w:rsidR="00883BB8" w:rsidRDefault="00000000">
      <w:pPr>
        <w:pStyle w:val="BodyText"/>
      </w:pPr>
      <w:r>
        <w:t>Recommended baseline patterns using Docker</w:t>
      </w:r>
      <w:hyperlink r:id="rId37">
        <w:r>
          <w:rPr>
            <w:rStyle w:val="Hyperlink"/>
          </w:rPr>
          <w:t>[27]</w:t>
        </w:r>
      </w:hyperlink>
      <w:r>
        <w:t>:</w:t>
      </w:r>
    </w:p>
    <w:p w14:paraId="401C9F22" w14:textId="77777777" w:rsidR="00883BB8" w:rsidRDefault="00000000">
      <w:pPr>
        <w:pStyle w:val="Compact"/>
        <w:numPr>
          <w:ilvl w:val="0"/>
          <w:numId w:val="9"/>
        </w:numPr>
      </w:pPr>
      <w:r>
        <w:rPr>
          <w:b/>
          <w:bCs/>
        </w:rPr>
        <w:t>User namespaces / remapping:</w:t>
      </w:r>
      <w:r>
        <w:t xml:space="preserve"> Configure user namespace remapping so “root in container” is not root on the host, mitigating privilege escalation. </w:t>
      </w:r>
      <w:hyperlink r:id="rId38">
        <w:r>
          <w:rPr>
            <w:rStyle w:val="Hyperlink"/>
          </w:rPr>
          <w:t>[28]</w:t>
        </w:r>
      </w:hyperlink>
    </w:p>
    <w:p w14:paraId="2511C09E" w14:textId="77777777" w:rsidR="00883BB8" w:rsidRDefault="00000000">
      <w:pPr>
        <w:pStyle w:val="Compact"/>
        <w:numPr>
          <w:ilvl w:val="0"/>
          <w:numId w:val="9"/>
        </w:numPr>
      </w:pPr>
      <w:r>
        <w:rPr>
          <w:b/>
          <w:bCs/>
        </w:rPr>
        <w:t>Read-only root filesystem:</w:t>
      </w:r>
      <w:r>
        <w:t xml:space="preserve"> Run agents with </w:t>
      </w:r>
      <w:r>
        <w:rPr>
          <w:rStyle w:val="VerbatimChar"/>
        </w:rPr>
        <w:t>--read-only</w:t>
      </w:r>
      <w:r>
        <w:t xml:space="preserve"> and explicitly mount only required writable volumes; use tmpfs for ephemeral scratch where needed. </w:t>
      </w:r>
      <w:hyperlink r:id="rId39">
        <w:r>
          <w:rPr>
            <w:rStyle w:val="Hyperlink"/>
          </w:rPr>
          <w:t>[29]</w:t>
        </w:r>
      </w:hyperlink>
    </w:p>
    <w:p w14:paraId="351746B7" w14:textId="77777777" w:rsidR="00883BB8" w:rsidRDefault="00000000">
      <w:pPr>
        <w:pStyle w:val="Compact"/>
        <w:numPr>
          <w:ilvl w:val="0"/>
          <w:numId w:val="9"/>
        </w:numPr>
      </w:pPr>
      <w:r>
        <w:rPr>
          <w:b/>
          <w:bCs/>
        </w:rPr>
        <w:t>Tool-specific sandboxes:</w:t>
      </w:r>
      <w:r>
        <w:t xml:space="preserve"> Run “collector” agents, “report writer” agents, and “model router” in separate containers/VMs with distinct file mounts and network policies.</w:t>
      </w:r>
    </w:p>
    <w:p w14:paraId="5900A1BC" w14:textId="77777777" w:rsidR="00883BB8" w:rsidRDefault="00000000">
      <w:pPr>
        <w:pStyle w:val="Compact"/>
        <w:numPr>
          <w:ilvl w:val="0"/>
          <w:numId w:val="9"/>
        </w:numPr>
      </w:pPr>
      <w:r>
        <w:rPr>
          <w:b/>
          <w:bCs/>
        </w:rPr>
        <w:t>Network egress controls:</w:t>
      </w:r>
    </w:p>
    <w:p w14:paraId="08499F8A" w14:textId="77777777" w:rsidR="00883BB8" w:rsidRDefault="00000000">
      <w:pPr>
        <w:pStyle w:val="Compact"/>
        <w:numPr>
          <w:ilvl w:val="0"/>
          <w:numId w:val="9"/>
        </w:numPr>
      </w:pPr>
      <w:r>
        <w:t>Tier S: deny all outbound by default.</w:t>
      </w:r>
    </w:p>
    <w:p w14:paraId="0B7A1660" w14:textId="77777777" w:rsidR="00883BB8" w:rsidRDefault="00000000">
      <w:pPr>
        <w:pStyle w:val="Compact"/>
        <w:numPr>
          <w:ilvl w:val="0"/>
          <w:numId w:val="9"/>
        </w:numPr>
      </w:pPr>
      <w:r>
        <w:t>Tier H: allow only to explicit destinations (e.g., government data APIs, SearxNG engines via proxy) through a gateway.</w:t>
      </w:r>
    </w:p>
    <w:p w14:paraId="65B91EEA" w14:textId="77777777" w:rsidR="00883BB8" w:rsidRDefault="00000000">
      <w:pPr>
        <w:pStyle w:val="Compact"/>
        <w:numPr>
          <w:ilvl w:val="0"/>
          <w:numId w:val="9"/>
        </w:numPr>
      </w:pPr>
      <w:r>
        <w:rPr>
          <w:b/>
          <w:bCs/>
        </w:rPr>
        <w:lastRenderedPageBreak/>
        <w:t>Secrets discipline:</w:t>
      </w:r>
      <w:r>
        <w:t xml:space="preserve"> No secrets in prompts. Secrets injected as environment variables only within approved scopes (and not logged).</w:t>
      </w:r>
    </w:p>
    <w:p w14:paraId="09E3E023" w14:textId="77777777" w:rsidR="00883BB8" w:rsidRDefault="00000000">
      <w:pPr>
        <w:pStyle w:val="FirstParagraph"/>
      </w:pPr>
      <w:r>
        <w:t xml:space="preserve">This mirrors how modern agent tooling treats permissions as a first-class control surface. For example, Claude Code’s permission system distinguishes read-only actions and requires explicit approval for command execution and file modification, with configurable allow/ask/deny rules and modes. </w:t>
      </w:r>
      <w:hyperlink r:id="rId40">
        <w:r>
          <w:rPr>
            <w:rStyle w:val="Hyperlink"/>
          </w:rPr>
          <w:t>[30]</w:t>
        </w:r>
      </w:hyperlink>
    </w:p>
    <w:p w14:paraId="061A4C20" w14:textId="77777777" w:rsidR="00883BB8" w:rsidRDefault="00000000">
      <w:pPr>
        <w:pStyle w:val="Heading3"/>
      </w:pPr>
      <w:bookmarkStart w:id="17" w:name="tool-safety-and-mcp-governance"/>
      <w:bookmarkEnd w:id="16"/>
      <w:r>
        <w:t>Tool safety and MCP governance</w:t>
      </w:r>
    </w:p>
    <w:p w14:paraId="39E71DF3" w14:textId="77777777" w:rsidR="00883BB8" w:rsidRDefault="00000000">
      <w:pPr>
        <w:pStyle w:val="FirstParagraph"/>
      </w:pPr>
      <w:r>
        <w:t xml:space="preserve">MCP is positioned as the canonical tool interface because it standardizes how applications provide context/tools to LLMs. </w:t>
      </w:r>
      <w:hyperlink r:id="rId41">
        <w:r>
          <w:rPr>
            <w:rStyle w:val="Hyperlink"/>
          </w:rPr>
          <w:t>[31]</w:t>
        </w:r>
      </w:hyperlink>
      <w:r>
        <w:br/>
        <w:t>In V2, MCP usage is governed:</w:t>
      </w:r>
    </w:p>
    <w:p w14:paraId="7274C133" w14:textId="77777777" w:rsidR="00883BB8" w:rsidRDefault="00000000">
      <w:pPr>
        <w:pStyle w:val="Compact"/>
        <w:numPr>
          <w:ilvl w:val="0"/>
          <w:numId w:val="10"/>
        </w:numPr>
      </w:pPr>
      <w:r>
        <w:rPr>
          <w:b/>
          <w:bCs/>
        </w:rPr>
        <w:t>Local MCP servers (stdio) are preferred</w:t>
      </w:r>
      <w:r>
        <w:t xml:space="preserve"> for sensitive workflows requiring direct system access. Claude Code supports adding local stdio MCP servers and scoping them (local/project/user) with precedence rules. </w:t>
      </w:r>
      <w:hyperlink r:id="rId42">
        <w:r>
          <w:rPr>
            <w:rStyle w:val="Hyperlink"/>
          </w:rPr>
          <w:t>[32]</w:t>
        </w:r>
      </w:hyperlink>
    </w:p>
    <w:p w14:paraId="0424BE23" w14:textId="77777777" w:rsidR="00883BB8" w:rsidRDefault="00000000">
      <w:pPr>
        <w:pStyle w:val="Compact"/>
        <w:numPr>
          <w:ilvl w:val="0"/>
          <w:numId w:val="10"/>
        </w:numPr>
      </w:pPr>
      <w:r>
        <w:rPr>
          <w:b/>
          <w:bCs/>
        </w:rPr>
        <w:t>Remote MCP servers</w:t>
      </w:r>
      <w:r>
        <w:t xml:space="preserve"> are treated as Tier C resources unless explicitly approved; tool outputs are tainted and must be validated before being used to trigger actions.</w:t>
      </w:r>
    </w:p>
    <w:p w14:paraId="109EFAE4" w14:textId="77777777" w:rsidR="00883BB8" w:rsidRDefault="00000000">
      <w:pPr>
        <w:pStyle w:val="Heading3"/>
      </w:pPr>
      <w:bookmarkStart w:id="18" w:name="audit-logging-schema"/>
      <w:bookmarkEnd w:id="17"/>
      <w:r>
        <w:t>Audit logging schema</w:t>
      </w:r>
    </w:p>
    <w:p w14:paraId="3E0BBCD1" w14:textId="77777777" w:rsidR="00883BB8" w:rsidRDefault="00000000">
      <w:pPr>
        <w:pStyle w:val="FirstParagraph"/>
      </w:pPr>
      <w:r>
        <w:t>Audit logging is designed to satisfy two competing requirements:</w:t>
      </w:r>
    </w:p>
    <w:p w14:paraId="63577C69" w14:textId="77777777" w:rsidR="00883BB8" w:rsidRDefault="00000000">
      <w:pPr>
        <w:pStyle w:val="Compact"/>
        <w:numPr>
          <w:ilvl w:val="0"/>
          <w:numId w:val="11"/>
        </w:numPr>
      </w:pPr>
      <w:r>
        <w:t xml:space="preserve">Reconstruction and accountability (what happened, when, who approved it). </w:t>
      </w:r>
      <w:hyperlink r:id="rId43">
        <w:r>
          <w:rPr>
            <w:rStyle w:val="Hyperlink"/>
          </w:rPr>
          <w:t>[23]</w:t>
        </w:r>
      </w:hyperlink>
    </w:p>
    <w:p w14:paraId="2E4CA3DC" w14:textId="77777777" w:rsidR="00883BB8" w:rsidRDefault="00000000">
      <w:pPr>
        <w:pStyle w:val="Compact"/>
        <w:numPr>
          <w:ilvl w:val="0"/>
          <w:numId w:val="11"/>
        </w:numPr>
      </w:pPr>
      <w:r>
        <w:t xml:space="preserve">Protection of audit integrity and prevention of tampering/deletion. </w:t>
      </w:r>
      <w:hyperlink r:id="rId44">
        <w:r>
          <w:rPr>
            <w:rStyle w:val="Hyperlink"/>
          </w:rPr>
          <w:t>[33]</w:t>
        </w:r>
      </w:hyperlink>
    </w:p>
    <w:p w14:paraId="4D36EEFC" w14:textId="77777777" w:rsidR="00883BB8" w:rsidRDefault="00000000">
      <w:pPr>
        <w:pStyle w:val="Heading4"/>
      </w:pPr>
      <w:bookmarkStart w:id="19" w:name="required-log-record-fields"/>
      <w:r>
        <w:t>Required log record fields</w:t>
      </w:r>
    </w:p>
    <w:p w14:paraId="4F7B1F00" w14:textId="77777777" w:rsidR="00883BB8" w:rsidRDefault="00000000">
      <w:pPr>
        <w:pStyle w:val="FirstParagraph"/>
      </w:pPr>
      <w:r>
        <w:t>Use one structured record per “span-like” operation, correlatable across services.</w:t>
      </w:r>
    </w:p>
    <w:tbl>
      <w:tblPr>
        <w:tblStyle w:val="Table"/>
        <w:tblW w:w="0" w:type="auto"/>
        <w:tblLook w:val="0020" w:firstRow="1" w:lastRow="0" w:firstColumn="0" w:lastColumn="0" w:noHBand="0" w:noVBand="0"/>
      </w:tblPr>
      <w:tblGrid>
        <w:gridCol w:w="4135"/>
        <w:gridCol w:w="5225"/>
      </w:tblGrid>
      <w:tr w:rsidR="00883BB8" w14:paraId="288783F7" w14:textId="77777777" w:rsidTr="00883BB8">
        <w:trPr>
          <w:cnfStyle w:val="100000000000" w:firstRow="1" w:lastRow="0" w:firstColumn="0" w:lastColumn="0" w:oddVBand="0" w:evenVBand="0" w:oddHBand="0" w:evenHBand="0" w:firstRowFirstColumn="0" w:firstRowLastColumn="0" w:lastRowFirstColumn="0" w:lastRowLastColumn="0"/>
          <w:tblHeader/>
        </w:trPr>
        <w:tc>
          <w:tcPr>
            <w:tcW w:w="0" w:type="auto"/>
          </w:tcPr>
          <w:p w14:paraId="41611A97" w14:textId="77777777" w:rsidR="00883BB8" w:rsidRDefault="00000000">
            <w:pPr>
              <w:pStyle w:val="Compact"/>
            </w:pPr>
            <w:r>
              <w:t>Field</w:t>
            </w:r>
          </w:p>
        </w:tc>
        <w:tc>
          <w:tcPr>
            <w:tcW w:w="0" w:type="auto"/>
          </w:tcPr>
          <w:p w14:paraId="4545F9A8" w14:textId="77777777" w:rsidR="00883BB8" w:rsidRDefault="00000000">
            <w:pPr>
              <w:pStyle w:val="Compact"/>
            </w:pPr>
            <w:r>
              <w:t>Purpose</w:t>
            </w:r>
          </w:p>
        </w:tc>
      </w:tr>
      <w:tr w:rsidR="00883BB8" w14:paraId="6A97B4ED" w14:textId="77777777">
        <w:tc>
          <w:tcPr>
            <w:tcW w:w="0" w:type="auto"/>
          </w:tcPr>
          <w:p w14:paraId="71DE5DB7" w14:textId="77777777" w:rsidR="00883BB8" w:rsidRDefault="00000000">
            <w:pPr>
              <w:pStyle w:val="Compact"/>
            </w:pPr>
            <w:r>
              <w:rPr>
                <w:rStyle w:val="VerbatimChar"/>
              </w:rPr>
              <w:t>event_id</w:t>
            </w:r>
            <w:r>
              <w:t xml:space="preserve"> (UUID)</w:t>
            </w:r>
          </w:p>
        </w:tc>
        <w:tc>
          <w:tcPr>
            <w:tcW w:w="0" w:type="auto"/>
          </w:tcPr>
          <w:p w14:paraId="7ABE1E27" w14:textId="77777777" w:rsidR="00883BB8" w:rsidRDefault="00000000">
            <w:pPr>
              <w:pStyle w:val="Compact"/>
            </w:pPr>
            <w:r>
              <w:t>Unique record identity</w:t>
            </w:r>
          </w:p>
        </w:tc>
      </w:tr>
      <w:tr w:rsidR="00883BB8" w14:paraId="22E21BCD" w14:textId="77777777">
        <w:tc>
          <w:tcPr>
            <w:tcW w:w="0" w:type="auto"/>
          </w:tcPr>
          <w:p w14:paraId="5904E48D" w14:textId="77777777" w:rsidR="00883BB8" w:rsidRDefault="00000000">
            <w:pPr>
              <w:pStyle w:val="Compact"/>
            </w:pPr>
            <w:r>
              <w:rPr>
                <w:rStyle w:val="VerbatimChar"/>
              </w:rPr>
              <w:t>timestamp_utc</w:t>
            </w:r>
          </w:p>
        </w:tc>
        <w:tc>
          <w:tcPr>
            <w:tcW w:w="0" w:type="auto"/>
          </w:tcPr>
          <w:p w14:paraId="2BC0EA1D" w14:textId="77777777" w:rsidR="00883BB8" w:rsidRDefault="00000000">
            <w:pPr>
              <w:pStyle w:val="Compact"/>
            </w:pPr>
            <w:r>
              <w:t>Ordering + retention enforcement</w:t>
            </w:r>
          </w:p>
        </w:tc>
      </w:tr>
      <w:tr w:rsidR="00883BB8" w14:paraId="2EDC7EF8" w14:textId="77777777">
        <w:tc>
          <w:tcPr>
            <w:tcW w:w="0" w:type="auto"/>
          </w:tcPr>
          <w:p w14:paraId="575142F7" w14:textId="77777777" w:rsidR="00883BB8" w:rsidRDefault="00000000">
            <w:pPr>
              <w:pStyle w:val="Compact"/>
            </w:pPr>
            <w:r>
              <w:rPr>
                <w:rStyle w:val="VerbatimChar"/>
              </w:rPr>
              <w:t>actor</w:t>
            </w:r>
            <w:r>
              <w:t xml:space="preserve"> (user/service principal)</w:t>
            </w:r>
          </w:p>
        </w:tc>
        <w:tc>
          <w:tcPr>
            <w:tcW w:w="0" w:type="auto"/>
          </w:tcPr>
          <w:p w14:paraId="6382E01C" w14:textId="77777777" w:rsidR="00883BB8" w:rsidRDefault="00000000">
            <w:pPr>
              <w:pStyle w:val="Compact"/>
            </w:pPr>
            <w:r>
              <w:t>Accountability</w:t>
            </w:r>
          </w:p>
        </w:tc>
      </w:tr>
      <w:tr w:rsidR="00883BB8" w14:paraId="61C1F2F5" w14:textId="77777777">
        <w:tc>
          <w:tcPr>
            <w:tcW w:w="0" w:type="auto"/>
          </w:tcPr>
          <w:p w14:paraId="5BFFC00A" w14:textId="77777777" w:rsidR="00883BB8" w:rsidRDefault="00000000">
            <w:pPr>
              <w:pStyle w:val="Compact"/>
            </w:pPr>
            <w:r>
              <w:rPr>
                <w:rStyle w:val="VerbatimChar"/>
              </w:rPr>
              <w:t>session_id</w:t>
            </w:r>
            <w:r>
              <w:t xml:space="preserve"> / </w:t>
            </w:r>
            <w:r>
              <w:rPr>
                <w:rStyle w:val="VerbatimChar"/>
              </w:rPr>
              <w:t>request_id</w:t>
            </w:r>
          </w:p>
        </w:tc>
        <w:tc>
          <w:tcPr>
            <w:tcW w:w="0" w:type="auto"/>
          </w:tcPr>
          <w:p w14:paraId="7D773890" w14:textId="77777777" w:rsidR="00883BB8" w:rsidRDefault="00000000">
            <w:pPr>
              <w:pStyle w:val="Compact"/>
            </w:pPr>
            <w:r>
              <w:t>Per-request correlation</w:t>
            </w:r>
          </w:p>
        </w:tc>
      </w:tr>
      <w:tr w:rsidR="00883BB8" w14:paraId="6A735581" w14:textId="77777777">
        <w:tc>
          <w:tcPr>
            <w:tcW w:w="0" w:type="auto"/>
          </w:tcPr>
          <w:p w14:paraId="68928A93" w14:textId="77777777" w:rsidR="00883BB8" w:rsidRDefault="00000000">
            <w:pPr>
              <w:pStyle w:val="Compact"/>
            </w:pPr>
            <w:r>
              <w:rPr>
                <w:rStyle w:val="VerbatimChar"/>
              </w:rPr>
              <w:t>trace_id</w:t>
            </w:r>
            <w:r>
              <w:t xml:space="preserve"> / </w:t>
            </w:r>
            <w:r>
              <w:rPr>
                <w:rStyle w:val="VerbatimChar"/>
              </w:rPr>
              <w:t>span_id</w:t>
            </w:r>
          </w:p>
        </w:tc>
        <w:tc>
          <w:tcPr>
            <w:tcW w:w="0" w:type="auto"/>
          </w:tcPr>
          <w:p w14:paraId="58DB26FB" w14:textId="77777777" w:rsidR="00883BB8" w:rsidRDefault="00000000">
            <w:pPr>
              <w:pStyle w:val="Compact"/>
            </w:pPr>
            <w:r>
              <w:t xml:space="preserve">Distributed tracing correlation (W3C Trace Context / OTel alignment) </w:t>
            </w:r>
            <w:hyperlink r:id="rId45">
              <w:r>
                <w:rPr>
                  <w:rStyle w:val="Hyperlink"/>
                </w:rPr>
                <w:t>[34]</w:t>
              </w:r>
            </w:hyperlink>
          </w:p>
        </w:tc>
      </w:tr>
      <w:tr w:rsidR="00883BB8" w14:paraId="79E13153" w14:textId="77777777">
        <w:tc>
          <w:tcPr>
            <w:tcW w:w="0" w:type="auto"/>
          </w:tcPr>
          <w:p w14:paraId="65A42C66" w14:textId="77777777" w:rsidR="00883BB8" w:rsidRDefault="00000000">
            <w:pPr>
              <w:pStyle w:val="Compact"/>
            </w:pPr>
            <w:r>
              <w:rPr>
                <w:rStyle w:val="VerbatimChar"/>
              </w:rPr>
              <w:t>agent_id</w:t>
            </w:r>
            <w:r>
              <w:t xml:space="preserve"> / </w:t>
            </w:r>
            <w:r>
              <w:rPr>
                <w:rStyle w:val="VerbatimChar"/>
              </w:rPr>
              <w:t>agent_role</w:t>
            </w:r>
          </w:p>
        </w:tc>
        <w:tc>
          <w:tcPr>
            <w:tcW w:w="0" w:type="auto"/>
          </w:tcPr>
          <w:p w14:paraId="66482C87" w14:textId="77777777" w:rsidR="00883BB8" w:rsidRDefault="00000000">
            <w:pPr>
              <w:pStyle w:val="Compact"/>
            </w:pPr>
            <w:r>
              <w:t>Which agent acted</w:t>
            </w:r>
          </w:p>
        </w:tc>
      </w:tr>
      <w:tr w:rsidR="00883BB8" w14:paraId="231FA7AF" w14:textId="77777777">
        <w:tc>
          <w:tcPr>
            <w:tcW w:w="0" w:type="auto"/>
          </w:tcPr>
          <w:p w14:paraId="4F2E27C6" w14:textId="77777777" w:rsidR="00883BB8" w:rsidRDefault="00000000">
            <w:pPr>
              <w:pStyle w:val="Compact"/>
            </w:pPr>
            <w:r>
              <w:rPr>
                <w:rStyle w:val="VerbatimChar"/>
              </w:rPr>
              <w:t>tier</w:t>
            </w:r>
            <w:r>
              <w:t xml:space="preserve"> (S/H/C)</w:t>
            </w:r>
          </w:p>
        </w:tc>
        <w:tc>
          <w:tcPr>
            <w:tcW w:w="0" w:type="auto"/>
          </w:tcPr>
          <w:p w14:paraId="38B8C30D" w14:textId="77777777" w:rsidR="00883BB8" w:rsidRDefault="00000000">
            <w:pPr>
              <w:pStyle w:val="Compact"/>
            </w:pPr>
            <w:r>
              <w:t>Sovereignty boundary record</w:t>
            </w:r>
          </w:p>
        </w:tc>
      </w:tr>
      <w:tr w:rsidR="00883BB8" w14:paraId="02A92892" w14:textId="77777777">
        <w:tc>
          <w:tcPr>
            <w:tcW w:w="0" w:type="auto"/>
          </w:tcPr>
          <w:p w14:paraId="1070B5E0" w14:textId="77777777" w:rsidR="00883BB8" w:rsidRDefault="00000000">
            <w:pPr>
              <w:pStyle w:val="Compact"/>
            </w:pPr>
            <w:r>
              <w:rPr>
                <w:rStyle w:val="VerbatimChar"/>
              </w:rPr>
              <w:t>sensitivity_level</w:t>
            </w:r>
            <w:r>
              <w:t xml:space="preserve"> (0–4)</w:t>
            </w:r>
          </w:p>
        </w:tc>
        <w:tc>
          <w:tcPr>
            <w:tcW w:w="0" w:type="auto"/>
          </w:tcPr>
          <w:p w14:paraId="4EFE08EC" w14:textId="77777777" w:rsidR="00883BB8" w:rsidRDefault="00000000">
            <w:pPr>
              <w:pStyle w:val="Compact"/>
            </w:pPr>
            <w:r>
              <w:t>Policy basis</w:t>
            </w:r>
          </w:p>
        </w:tc>
      </w:tr>
      <w:tr w:rsidR="00883BB8" w14:paraId="7A1460CE" w14:textId="77777777">
        <w:tc>
          <w:tcPr>
            <w:tcW w:w="0" w:type="auto"/>
          </w:tcPr>
          <w:p w14:paraId="2E860C8E" w14:textId="77777777" w:rsidR="00883BB8" w:rsidRDefault="00000000">
            <w:pPr>
              <w:pStyle w:val="Compact"/>
            </w:pPr>
            <w:r>
              <w:rPr>
                <w:rStyle w:val="VerbatimChar"/>
              </w:rPr>
              <w:t>route_decision</w:t>
            </w:r>
          </w:p>
        </w:tc>
        <w:tc>
          <w:tcPr>
            <w:tcW w:w="0" w:type="auto"/>
          </w:tcPr>
          <w:p w14:paraId="679C812C" w14:textId="77777777" w:rsidR="00883BB8" w:rsidRDefault="00000000">
            <w:pPr>
              <w:pStyle w:val="Compact"/>
            </w:pPr>
            <w:r>
              <w:t>Router output (provider/model/toolset)</w:t>
            </w:r>
          </w:p>
        </w:tc>
      </w:tr>
      <w:tr w:rsidR="00883BB8" w14:paraId="09A18E35" w14:textId="77777777">
        <w:tc>
          <w:tcPr>
            <w:tcW w:w="0" w:type="auto"/>
          </w:tcPr>
          <w:p w14:paraId="7AD2A748" w14:textId="77777777" w:rsidR="00883BB8" w:rsidRDefault="00000000">
            <w:pPr>
              <w:pStyle w:val="Compact"/>
            </w:pPr>
            <w:r>
              <w:rPr>
                <w:rStyle w:val="VerbatimChar"/>
              </w:rPr>
              <w:t>policy_version</w:t>
            </w:r>
          </w:p>
        </w:tc>
        <w:tc>
          <w:tcPr>
            <w:tcW w:w="0" w:type="auto"/>
          </w:tcPr>
          <w:p w14:paraId="7E687D73" w14:textId="77777777" w:rsidR="00883BB8" w:rsidRDefault="00000000">
            <w:pPr>
              <w:pStyle w:val="Compact"/>
            </w:pPr>
            <w:r>
              <w:t>Governance and reproducibility</w:t>
            </w:r>
          </w:p>
        </w:tc>
      </w:tr>
      <w:tr w:rsidR="00883BB8" w14:paraId="11C1B8C1" w14:textId="77777777">
        <w:tc>
          <w:tcPr>
            <w:tcW w:w="0" w:type="auto"/>
          </w:tcPr>
          <w:p w14:paraId="15D92A40" w14:textId="77777777" w:rsidR="00883BB8" w:rsidRDefault="00000000">
            <w:pPr>
              <w:pStyle w:val="Compact"/>
            </w:pPr>
            <w:r>
              <w:rPr>
                <w:rStyle w:val="VerbatimChar"/>
              </w:rPr>
              <w:t>prompt_hash</w:t>
            </w:r>
            <w:r>
              <w:t xml:space="preserve"> / </w:t>
            </w:r>
            <w:r>
              <w:rPr>
                <w:rStyle w:val="VerbatimChar"/>
              </w:rPr>
              <w:t>output_hash</w:t>
            </w:r>
          </w:p>
        </w:tc>
        <w:tc>
          <w:tcPr>
            <w:tcW w:w="0" w:type="auto"/>
          </w:tcPr>
          <w:p w14:paraId="4736860F" w14:textId="77777777" w:rsidR="00883BB8" w:rsidRDefault="00000000">
            <w:pPr>
              <w:pStyle w:val="Compact"/>
            </w:pPr>
            <w:r>
              <w:t>Payload integrity without storing raw text</w:t>
            </w:r>
          </w:p>
        </w:tc>
      </w:tr>
      <w:tr w:rsidR="00883BB8" w14:paraId="4CD128B5" w14:textId="77777777">
        <w:tc>
          <w:tcPr>
            <w:tcW w:w="0" w:type="auto"/>
          </w:tcPr>
          <w:p w14:paraId="4FD98CA5" w14:textId="77777777" w:rsidR="00883BB8" w:rsidRDefault="00000000">
            <w:pPr>
              <w:pStyle w:val="Compact"/>
            </w:pPr>
            <w:r>
              <w:rPr>
                <w:rStyle w:val="VerbatimChar"/>
              </w:rPr>
              <w:lastRenderedPageBreak/>
              <w:t>redaction_applied</w:t>
            </w:r>
            <w:r>
              <w:t xml:space="preserve"> + </w:t>
            </w:r>
            <w:r>
              <w:rPr>
                <w:rStyle w:val="VerbatimChar"/>
              </w:rPr>
              <w:t>redaction_manifest_hash</w:t>
            </w:r>
          </w:p>
        </w:tc>
        <w:tc>
          <w:tcPr>
            <w:tcW w:w="0" w:type="auto"/>
          </w:tcPr>
          <w:p w14:paraId="67F5692F" w14:textId="77777777" w:rsidR="00883BB8" w:rsidRDefault="00000000">
            <w:pPr>
              <w:pStyle w:val="Compact"/>
            </w:pPr>
            <w:r>
              <w:t>Proves transformation happened</w:t>
            </w:r>
          </w:p>
        </w:tc>
      </w:tr>
      <w:tr w:rsidR="00883BB8" w14:paraId="15640083" w14:textId="77777777">
        <w:tc>
          <w:tcPr>
            <w:tcW w:w="0" w:type="auto"/>
          </w:tcPr>
          <w:p w14:paraId="0F139288" w14:textId="77777777" w:rsidR="00883BB8" w:rsidRDefault="00000000">
            <w:pPr>
              <w:pStyle w:val="Compact"/>
            </w:pPr>
            <w:r>
              <w:rPr>
                <w:rStyle w:val="VerbatimChar"/>
              </w:rPr>
              <w:t>tool_calls</w:t>
            </w:r>
            <w:r>
              <w:t xml:space="preserve"> (names only at L3/L4)</w:t>
            </w:r>
          </w:p>
        </w:tc>
        <w:tc>
          <w:tcPr>
            <w:tcW w:w="0" w:type="auto"/>
          </w:tcPr>
          <w:p w14:paraId="7CE918A9" w14:textId="77777777" w:rsidR="00883BB8" w:rsidRDefault="00000000">
            <w:pPr>
              <w:pStyle w:val="Compact"/>
            </w:pPr>
            <w:r>
              <w:t>Tool usage accountability</w:t>
            </w:r>
          </w:p>
        </w:tc>
      </w:tr>
      <w:tr w:rsidR="00883BB8" w14:paraId="2B740979" w14:textId="77777777">
        <w:tc>
          <w:tcPr>
            <w:tcW w:w="0" w:type="auto"/>
          </w:tcPr>
          <w:p w14:paraId="38745178" w14:textId="77777777" w:rsidR="00883BB8" w:rsidRDefault="00000000">
            <w:pPr>
              <w:pStyle w:val="Compact"/>
            </w:pPr>
            <w:r>
              <w:rPr>
                <w:rStyle w:val="VerbatimChar"/>
              </w:rPr>
              <w:t>files_touched</w:t>
            </w:r>
            <w:r>
              <w:t xml:space="preserve"> (path hashes at L3/L4)</w:t>
            </w:r>
          </w:p>
        </w:tc>
        <w:tc>
          <w:tcPr>
            <w:tcW w:w="0" w:type="auto"/>
          </w:tcPr>
          <w:p w14:paraId="6166450E" w14:textId="77777777" w:rsidR="00883BB8" w:rsidRDefault="00000000">
            <w:pPr>
              <w:pStyle w:val="Compact"/>
            </w:pPr>
            <w:r>
              <w:t>Local exposure proof without disclosure</w:t>
            </w:r>
          </w:p>
        </w:tc>
      </w:tr>
      <w:tr w:rsidR="00883BB8" w14:paraId="1EE8A63C" w14:textId="77777777">
        <w:tc>
          <w:tcPr>
            <w:tcW w:w="0" w:type="auto"/>
          </w:tcPr>
          <w:p w14:paraId="1D9C2334" w14:textId="77777777" w:rsidR="00883BB8" w:rsidRDefault="00000000">
            <w:pPr>
              <w:pStyle w:val="Compact"/>
            </w:pPr>
            <w:r>
              <w:rPr>
                <w:rStyle w:val="VerbatimChar"/>
              </w:rPr>
              <w:t>tokens_in</w:t>
            </w:r>
            <w:r>
              <w:t xml:space="preserve"> / </w:t>
            </w:r>
            <w:r>
              <w:rPr>
                <w:rStyle w:val="VerbatimChar"/>
              </w:rPr>
              <w:t>tokens_out</w:t>
            </w:r>
          </w:p>
        </w:tc>
        <w:tc>
          <w:tcPr>
            <w:tcW w:w="0" w:type="auto"/>
          </w:tcPr>
          <w:p w14:paraId="09FF36DE" w14:textId="77777777" w:rsidR="00883BB8" w:rsidRDefault="00000000">
            <w:pPr>
              <w:pStyle w:val="Compact"/>
            </w:pPr>
            <w:r>
              <w:t>Cost + capacity metrics (where available)</w:t>
            </w:r>
          </w:p>
        </w:tc>
      </w:tr>
      <w:tr w:rsidR="00883BB8" w14:paraId="277885D2" w14:textId="77777777">
        <w:tc>
          <w:tcPr>
            <w:tcW w:w="0" w:type="auto"/>
          </w:tcPr>
          <w:p w14:paraId="5E3E1F7E" w14:textId="77777777" w:rsidR="00883BB8" w:rsidRDefault="00000000">
            <w:pPr>
              <w:pStyle w:val="Compact"/>
            </w:pPr>
            <w:r>
              <w:rPr>
                <w:rStyle w:val="VerbatimChar"/>
              </w:rPr>
              <w:t>latency_ms</w:t>
            </w:r>
            <w:r>
              <w:t xml:space="preserve"> + sub-durations</w:t>
            </w:r>
          </w:p>
        </w:tc>
        <w:tc>
          <w:tcPr>
            <w:tcW w:w="0" w:type="auto"/>
          </w:tcPr>
          <w:p w14:paraId="104AFA7F" w14:textId="77777777" w:rsidR="00883BB8" w:rsidRDefault="00000000">
            <w:pPr>
              <w:pStyle w:val="Compact"/>
            </w:pPr>
            <w:r>
              <w:t>Performance telemetry</w:t>
            </w:r>
          </w:p>
        </w:tc>
      </w:tr>
      <w:tr w:rsidR="00883BB8" w14:paraId="07911295" w14:textId="77777777">
        <w:tc>
          <w:tcPr>
            <w:tcW w:w="0" w:type="auto"/>
          </w:tcPr>
          <w:p w14:paraId="55B29F28" w14:textId="77777777" w:rsidR="00883BB8" w:rsidRDefault="00000000">
            <w:pPr>
              <w:pStyle w:val="Compact"/>
            </w:pPr>
            <w:r>
              <w:rPr>
                <w:rStyle w:val="VerbatimChar"/>
              </w:rPr>
              <w:t>status</w:t>
            </w:r>
            <w:r>
              <w:t xml:space="preserve"> / </w:t>
            </w:r>
            <w:r>
              <w:rPr>
                <w:rStyle w:val="VerbatimChar"/>
              </w:rPr>
              <w:t>error_code</w:t>
            </w:r>
          </w:p>
        </w:tc>
        <w:tc>
          <w:tcPr>
            <w:tcW w:w="0" w:type="auto"/>
          </w:tcPr>
          <w:p w14:paraId="4090A184" w14:textId="77777777" w:rsidR="00883BB8" w:rsidRDefault="00000000">
            <w:pPr>
              <w:pStyle w:val="Compact"/>
            </w:pPr>
            <w:r>
              <w:t>Reliability</w:t>
            </w:r>
          </w:p>
        </w:tc>
      </w:tr>
    </w:tbl>
    <w:p w14:paraId="6382987F" w14:textId="77777777" w:rsidR="00883BB8" w:rsidRDefault="00000000">
      <w:pPr>
        <w:pStyle w:val="Heading4"/>
      </w:pPr>
      <w:bookmarkStart w:id="20" w:name="X359b2e4c418c5fff66c759890a6434252d299c6"/>
      <w:bookmarkEnd w:id="19"/>
      <w:r>
        <w:t>Tamper-evidence: hash chaining and signing</w:t>
      </w:r>
    </w:p>
    <w:p w14:paraId="24212D16" w14:textId="77777777" w:rsidR="00883BB8" w:rsidRDefault="00000000">
      <w:pPr>
        <w:pStyle w:val="FirstParagraph"/>
      </w:pPr>
      <w:r>
        <w:t>To align with the requirement to protect audit info (and cryptographically protect integrity), V2 recommends:</w:t>
      </w:r>
    </w:p>
    <w:p w14:paraId="27CB5C84" w14:textId="77777777" w:rsidR="00883BB8" w:rsidRDefault="00000000">
      <w:pPr>
        <w:pStyle w:val="Compact"/>
        <w:numPr>
          <w:ilvl w:val="0"/>
          <w:numId w:val="12"/>
        </w:numPr>
      </w:pPr>
      <w:r>
        <w:rPr>
          <w:rStyle w:val="VerbatimChar"/>
        </w:rPr>
        <w:t>record_hash = H(record_body)</w:t>
      </w:r>
    </w:p>
    <w:p w14:paraId="3FA8FE48" w14:textId="77777777" w:rsidR="00883BB8" w:rsidRDefault="00000000">
      <w:pPr>
        <w:pStyle w:val="Compact"/>
        <w:numPr>
          <w:ilvl w:val="0"/>
          <w:numId w:val="12"/>
        </w:numPr>
      </w:pPr>
      <w:r>
        <w:rPr>
          <w:rStyle w:val="VerbatimChar"/>
        </w:rPr>
        <w:t>chain_hash = H(record_hash || prior_chain_hash)</w:t>
      </w:r>
    </w:p>
    <w:p w14:paraId="512FF130" w14:textId="77777777" w:rsidR="00883BB8" w:rsidRDefault="00000000">
      <w:pPr>
        <w:pStyle w:val="Compact"/>
        <w:numPr>
          <w:ilvl w:val="0"/>
          <w:numId w:val="12"/>
        </w:numPr>
      </w:pPr>
      <w:r>
        <w:t xml:space="preserve">Periodic signing of </w:t>
      </w:r>
      <w:r>
        <w:rPr>
          <w:rStyle w:val="VerbatimChar"/>
        </w:rPr>
        <w:t>chain_hash</w:t>
      </w:r>
      <w:r>
        <w:t xml:space="preserve"> with an offline key, with signed checkpoints stored on separate physical storage or WORM when feasible. </w:t>
      </w:r>
      <w:hyperlink r:id="rId46">
        <w:r>
          <w:rPr>
            <w:rStyle w:val="Hyperlink"/>
          </w:rPr>
          <w:t>[33]</w:t>
        </w:r>
      </w:hyperlink>
    </w:p>
    <w:p w14:paraId="3744A0E5" w14:textId="77777777" w:rsidR="00883BB8" w:rsidRDefault="00000000">
      <w:pPr>
        <w:pStyle w:val="Heading4"/>
      </w:pPr>
      <w:bookmarkStart w:id="21" w:name="retention-model"/>
      <w:bookmarkEnd w:id="20"/>
      <w:r>
        <w:t>Retention model</w:t>
      </w:r>
    </w:p>
    <w:p w14:paraId="5EDD3E97" w14:textId="77777777" w:rsidR="00883BB8" w:rsidRDefault="00000000">
      <w:pPr>
        <w:pStyle w:val="FirstParagraph"/>
      </w:pPr>
      <w:r>
        <w:t xml:space="preserve">Retention should be policy-driven and sensitivity-aware (log management as a formal practice). </w:t>
      </w:r>
      <w:hyperlink r:id="rId47">
        <w:r>
          <w:rPr>
            <w:rStyle w:val="Hyperlink"/>
          </w:rPr>
          <w:t>[23]</w:t>
        </w:r>
      </w:hyperlink>
    </w:p>
    <w:p w14:paraId="68B7190B" w14:textId="77777777" w:rsidR="00883BB8" w:rsidRDefault="00000000">
      <w:pPr>
        <w:pStyle w:val="BodyText"/>
      </w:pPr>
      <w:r>
        <w:t>Recommended baseline:</w:t>
      </w:r>
    </w:p>
    <w:p w14:paraId="5348B44E" w14:textId="77777777" w:rsidR="00883BB8" w:rsidRDefault="00000000">
      <w:pPr>
        <w:pStyle w:val="Compact"/>
        <w:numPr>
          <w:ilvl w:val="0"/>
          <w:numId w:val="13"/>
        </w:numPr>
      </w:pPr>
      <w:r>
        <w:rPr>
          <w:b/>
          <w:bCs/>
        </w:rPr>
        <w:t>Level 0–1:</w:t>
      </w:r>
      <w:r>
        <w:t xml:space="preserve"> full structured logs; 90 days hot, 1–2 years warm (org dependent).</w:t>
      </w:r>
    </w:p>
    <w:p w14:paraId="2739F119" w14:textId="77777777" w:rsidR="00883BB8" w:rsidRDefault="00000000">
      <w:pPr>
        <w:pStyle w:val="Compact"/>
        <w:numPr>
          <w:ilvl w:val="0"/>
          <w:numId w:val="13"/>
        </w:numPr>
      </w:pPr>
      <w:r>
        <w:rPr>
          <w:b/>
          <w:bCs/>
        </w:rPr>
        <w:t>Level 2:</w:t>
      </w:r>
      <w:r>
        <w:t xml:space="preserve"> metadata + hashes; 180 days hot, 2–5 years archival.</w:t>
      </w:r>
    </w:p>
    <w:p w14:paraId="74E320F9" w14:textId="77777777" w:rsidR="00883BB8" w:rsidRDefault="00000000">
      <w:pPr>
        <w:pStyle w:val="Compact"/>
        <w:numPr>
          <w:ilvl w:val="0"/>
          <w:numId w:val="13"/>
        </w:numPr>
      </w:pPr>
      <w:r>
        <w:rPr>
          <w:b/>
          <w:bCs/>
        </w:rPr>
        <w:t>Level 3–4:</w:t>
      </w:r>
      <w:r>
        <w:t xml:space="preserve"> metadata-only + hashes; longer retention (2–7 years) but </w:t>
      </w:r>
      <w:r>
        <w:rPr>
          <w:b/>
          <w:bCs/>
        </w:rPr>
        <w:t>never raw prompts/outputs</w:t>
      </w:r>
      <w:r>
        <w:t>.</w:t>
      </w:r>
    </w:p>
    <w:p w14:paraId="4874E8F1" w14:textId="77777777" w:rsidR="00883BB8" w:rsidRDefault="00000000">
      <w:pPr>
        <w:pStyle w:val="Heading2"/>
      </w:pPr>
      <w:bookmarkStart w:id="22" w:name="performance-and-cost-quantification"/>
      <w:bookmarkEnd w:id="14"/>
      <w:bookmarkEnd w:id="18"/>
      <w:bookmarkEnd w:id="21"/>
      <w:r>
        <w:t>Performance and cost quantification</w:t>
      </w:r>
    </w:p>
    <w:p w14:paraId="48194263" w14:textId="77777777" w:rsidR="00883BB8" w:rsidRDefault="00000000">
      <w:pPr>
        <w:pStyle w:val="Heading3"/>
      </w:pPr>
      <w:bookmarkStart w:id="23" w:name="X6230be6b104f0f90b1718235b1073bb16e583e7"/>
      <w:r>
        <w:t>Performance instrumentation using native runtime telemetry</w:t>
      </w:r>
    </w:p>
    <w:p w14:paraId="0C14ABD5" w14:textId="77777777" w:rsidR="00883BB8" w:rsidRDefault="00000000">
      <w:pPr>
        <w:pStyle w:val="FirstParagraph"/>
      </w:pPr>
      <w:r>
        <w:t>For local inference, V2 recommends adopting runtimes that expose machine-parsable performance fields.</w:t>
      </w:r>
    </w:p>
    <w:p w14:paraId="1010B205" w14:textId="77777777" w:rsidR="00883BB8" w:rsidRDefault="00000000">
      <w:pPr>
        <w:pStyle w:val="BodyText"/>
      </w:pPr>
      <w:r>
        <w:t xml:space="preserve">For example, Ollama’s API returns durations in nanoseconds and includes fields such as </w:t>
      </w:r>
      <w:r>
        <w:rPr>
          <w:rStyle w:val="VerbatimChar"/>
        </w:rPr>
        <w:t>total_duration</w:t>
      </w:r>
      <w:r>
        <w:t xml:space="preserve">, </w:t>
      </w:r>
      <w:r>
        <w:rPr>
          <w:rStyle w:val="VerbatimChar"/>
        </w:rPr>
        <w:t>prompt_eval_count</w:t>
      </w:r>
      <w:r>
        <w:t xml:space="preserve">, </w:t>
      </w:r>
      <w:r>
        <w:rPr>
          <w:rStyle w:val="VerbatimChar"/>
        </w:rPr>
        <w:t>prompt_eval_duration</w:t>
      </w:r>
      <w:r>
        <w:t xml:space="preserve">, </w:t>
      </w:r>
      <w:r>
        <w:rPr>
          <w:rStyle w:val="VerbatimChar"/>
        </w:rPr>
        <w:t>eval_count</w:t>
      </w:r>
      <w:r>
        <w:t xml:space="preserve">, and </w:t>
      </w:r>
      <w:r>
        <w:rPr>
          <w:rStyle w:val="VerbatimChar"/>
        </w:rPr>
        <w:t>eval_duration</w:t>
      </w:r>
      <w:r>
        <w:t xml:space="preserve">. </w:t>
      </w:r>
      <w:hyperlink r:id="rId48">
        <w:r>
          <w:rPr>
            <w:rStyle w:val="Hyperlink"/>
          </w:rPr>
          <w:t>[35]</w:t>
        </w:r>
      </w:hyperlink>
      <w:r>
        <w:br/>
        <w:t>This enables deterministic metrics:</w:t>
      </w:r>
    </w:p>
    <w:p w14:paraId="6B8A20A9" w14:textId="77777777" w:rsidR="00883BB8" w:rsidRDefault="00000000">
      <w:pPr>
        <w:pStyle w:val="Compact"/>
        <w:numPr>
          <w:ilvl w:val="0"/>
          <w:numId w:val="14"/>
        </w:numPr>
      </w:pPr>
      <w:r>
        <w:rPr>
          <w:b/>
          <w:bCs/>
        </w:rPr>
        <w:t>Decode tokens/sec</w:t>
      </w:r>
      <w:r>
        <w:t xml:space="preserve"> ≈ </w:t>
      </w:r>
      <w:r>
        <w:rPr>
          <w:rStyle w:val="VerbatimChar"/>
        </w:rPr>
        <w:t>eval_count / (eval_duration / 1e9)</w:t>
      </w:r>
    </w:p>
    <w:p w14:paraId="2D13F21A" w14:textId="77777777" w:rsidR="00883BB8" w:rsidRDefault="00000000">
      <w:pPr>
        <w:pStyle w:val="Compact"/>
        <w:numPr>
          <w:ilvl w:val="0"/>
          <w:numId w:val="14"/>
        </w:numPr>
      </w:pPr>
      <w:r>
        <w:rPr>
          <w:b/>
          <w:bCs/>
        </w:rPr>
        <w:t>Prompt processing tokens/sec</w:t>
      </w:r>
      <w:r>
        <w:t xml:space="preserve"> ≈ </w:t>
      </w:r>
      <w:r>
        <w:rPr>
          <w:rStyle w:val="VerbatimChar"/>
        </w:rPr>
        <w:t>prompt_eval_count / (prompt_eval_duration / 1e9)</w:t>
      </w:r>
    </w:p>
    <w:p w14:paraId="713B88EA" w14:textId="77777777" w:rsidR="00883BB8" w:rsidRDefault="00000000">
      <w:pPr>
        <w:pStyle w:val="Compact"/>
        <w:numPr>
          <w:ilvl w:val="0"/>
          <w:numId w:val="14"/>
        </w:numPr>
      </w:pPr>
      <w:r>
        <w:rPr>
          <w:b/>
          <w:bCs/>
        </w:rPr>
        <w:lastRenderedPageBreak/>
        <w:t>End-to-end latency</w:t>
      </w:r>
      <w:r>
        <w:t xml:space="preserve"> ≈ </w:t>
      </w:r>
      <w:r>
        <w:rPr>
          <w:rStyle w:val="VerbatimChar"/>
        </w:rPr>
        <w:t>total_duration / 1e6</w:t>
      </w:r>
      <w:r>
        <w:t xml:space="preserve"> (ms), plus queue time if tracked.</w:t>
      </w:r>
    </w:p>
    <w:p w14:paraId="14005F10" w14:textId="77777777" w:rsidR="00883BB8" w:rsidRDefault="00000000">
      <w:pPr>
        <w:pStyle w:val="FirstParagraph"/>
      </w:pPr>
      <w:r>
        <w:t>These should be computed per agent step and aggregated per chain.</w:t>
      </w:r>
    </w:p>
    <w:p w14:paraId="6D4BAB92" w14:textId="77777777" w:rsidR="00883BB8" w:rsidRDefault="00000000">
      <w:pPr>
        <w:pStyle w:val="Heading3"/>
      </w:pPr>
      <w:bookmarkStart w:id="24" w:name="benchmark-plan-for-agent-chains"/>
      <w:bookmarkEnd w:id="23"/>
      <w:r>
        <w:t>Benchmark plan for agent chains</w:t>
      </w:r>
    </w:p>
    <w:p w14:paraId="0B01FA2D" w14:textId="77777777" w:rsidR="00883BB8" w:rsidRDefault="00000000">
      <w:pPr>
        <w:pStyle w:val="FirstParagraph"/>
      </w:pPr>
      <w:r>
        <w:t>Because “184 tok/s” (single-call) does not necessarily represent end-to-end agent workflows, V2 formalizes benchmarking at three levels:</w:t>
      </w:r>
    </w:p>
    <w:p w14:paraId="65E746D2" w14:textId="77777777" w:rsidR="00883BB8" w:rsidRDefault="00000000">
      <w:pPr>
        <w:pStyle w:val="Compact"/>
        <w:numPr>
          <w:ilvl w:val="0"/>
          <w:numId w:val="15"/>
        </w:numPr>
      </w:pPr>
      <w:r>
        <w:rPr>
          <w:b/>
          <w:bCs/>
        </w:rPr>
        <w:t>Model microbench:</w:t>
      </w:r>
      <w:r>
        <w:t xml:space="preserve"> single request (fixed prompt length, fixed output target).</w:t>
      </w:r>
    </w:p>
    <w:p w14:paraId="7494C226" w14:textId="77777777" w:rsidR="00883BB8" w:rsidRDefault="00000000">
      <w:pPr>
        <w:pStyle w:val="Compact"/>
        <w:numPr>
          <w:ilvl w:val="0"/>
          <w:numId w:val="15"/>
        </w:numPr>
      </w:pPr>
      <w:r>
        <w:rPr>
          <w:b/>
          <w:bCs/>
        </w:rPr>
        <w:t>Tool-augmented step:</w:t>
      </w:r>
      <w:r>
        <w:t xml:space="preserve"> one inference + one tool call + one verifier pass.</w:t>
      </w:r>
    </w:p>
    <w:p w14:paraId="09E9202C" w14:textId="77777777" w:rsidR="00883BB8" w:rsidRDefault="00000000">
      <w:pPr>
        <w:pStyle w:val="Compact"/>
        <w:numPr>
          <w:ilvl w:val="0"/>
          <w:numId w:val="15"/>
        </w:numPr>
      </w:pPr>
      <w:r>
        <w:rPr>
          <w:b/>
          <w:bCs/>
        </w:rPr>
        <w:t>Full RLC chain:</w:t>
      </w:r>
      <w:r>
        <w:t xml:space="preserve"> representative workflows.</w:t>
      </w:r>
    </w:p>
    <w:p w14:paraId="4F83EEE8" w14:textId="77777777" w:rsidR="00883BB8" w:rsidRDefault="00000000">
      <w:pPr>
        <w:pStyle w:val="FirstParagraph"/>
      </w:pPr>
      <w:r>
        <w:t>Example chain definitions (implement as reproducible test suites):</w:t>
      </w:r>
    </w:p>
    <w:p w14:paraId="13711998" w14:textId="77777777" w:rsidR="00883BB8" w:rsidRDefault="00000000">
      <w:pPr>
        <w:pStyle w:val="Compact"/>
        <w:numPr>
          <w:ilvl w:val="0"/>
          <w:numId w:val="16"/>
        </w:numPr>
      </w:pPr>
      <w:r>
        <w:rPr>
          <w:b/>
          <w:bCs/>
        </w:rPr>
        <w:t>Market spike brief (fast)</w:t>
      </w:r>
    </w:p>
    <w:p w14:paraId="74EF917D" w14:textId="77777777" w:rsidR="00883BB8" w:rsidRDefault="00000000">
      <w:pPr>
        <w:pStyle w:val="Compact"/>
        <w:numPr>
          <w:ilvl w:val="0"/>
          <w:numId w:val="16"/>
        </w:numPr>
      </w:pPr>
      <w:r>
        <w:t>Retrieve latest USDA/EIA releases (collectors)</w:t>
      </w:r>
    </w:p>
    <w:p w14:paraId="25AD6E3C" w14:textId="77777777" w:rsidR="00883BB8" w:rsidRDefault="00000000">
      <w:pPr>
        <w:pStyle w:val="Compact"/>
        <w:numPr>
          <w:ilvl w:val="0"/>
          <w:numId w:val="16"/>
        </w:numPr>
      </w:pPr>
      <w:r>
        <w:t>Summarize changes</w:t>
      </w:r>
    </w:p>
    <w:p w14:paraId="096AB729" w14:textId="77777777" w:rsidR="00883BB8" w:rsidRDefault="00000000">
      <w:pPr>
        <w:pStyle w:val="Compact"/>
        <w:numPr>
          <w:ilvl w:val="0"/>
          <w:numId w:val="16"/>
        </w:numPr>
      </w:pPr>
      <w:r>
        <w:t>Produce “3-bullet impacts + confidence”</w:t>
      </w:r>
    </w:p>
    <w:p w14:paraId="5E015EAF" w14:textId="77777777" w:rsidR="00883BB8" w:rsidRDefault="00000000">
      <w:pPr>
        <w:numPr>
          <w:ilvl w:val="0"/>
          <w:numId w:val="16"/>
        </w:numPr>
      </w:pPr>
      <w:r>
        <w:t>Latency target: p95 &lt; 30s (Tier H) for Level 0–1 inputs.</w:t>
      </w:r>
    </w:p>
    <w:p w14:paraId="759A41A7" w14:textId="77777777" w:rsidR="00883BB8" w:rsidRDefault="00000000">
      <w:pPr>
        <w:numPr>
          <w:ilvl w:val="0"/>
          <w:numId w:val="16"/>
        </w:numPr>
      </w:pPr>
      <w:r>
        <w:rPr>
          <w:b/>
          <w:bCs/>
        </w:rPr>
        <w:t>Weekly report (deep)</w:t>
      </w:r>
    </w:p>
    <w:p w14:paraId="39D59AF4" w14:textId="77777777" w:rsidR="00883BB8" w:rsidRDefault="00000000">
      <w:pPr>
        <w:pStyle w:val="Compact"/>
        <w:numPr>
          <w:ilvl w:val="0"/>
          <w:numId w:val="16"/>
        </w:numPr>
      </w:pPr>
      <w:r>
        <w:t>Run scheduled collectors</w:t>
      </w:r>
    </w:p>
    <w:p w14:paraId="52A66313" w14:textId="77777777" w:rsidR="00883BB8" w:rsidRDefault="00000000">
      <w:pPr>
        <w:pStyle w:val="Compact"/>
        <w:numPr>
          <w:ilvl w:val="0"/>
          <w:numId w:val="16"/>
        </w:numPr>
      </w:pPr>
      <w:r>
        <w:t>Update DB views</w:t>
      </w:r>
    </w:p>
    <w:p w14:paraId="5433A0F9" w14:textId="77777777" w:rsidR="00883BB8" w:rsidRDefault="00000000">
      <w:pPr>
        <w:pStyle w:val="Compact"/>
        <w:numPr>
          <w:ilvl w:val="0"/>
          <w:numId w:val="16"/>
        </w:numPr>
      </w:pPr>
      <w:r>
        <w:t>Generate narrative + charts</w:t>
      </w:r>
    </w:p>
    <w:p w14:paraId="5BB35ED3" w14:textId="77777777" w:rsidR="00883BB8" w:rsidRDefault="00000000">
      <w:pPr>
        <w:pStyle w:val="Compact"/>
        <w:numPr>
          <w:ilvl w:val="0"/>
          <w:numId w:val="16"/>
        </w:numPr>
      </w:pPr>
      <w:r>
        <w:t>Run verifier agent</w:t>
      </w:r>
    </w:p>
    <w:p w14:paraId="0B49B3D9" w14:textId="77777777" w:rsidR="00883BB8" w:rsidRDefault="00000000">
      <w:pPr>
        <w:pStyle w:val="Compact"/>
        <w:numPr>
          <w:ilvl w:val="0"/>
          <w:numId w:val="16"/>
        </w:numPr>
      </w:pPr>
      <w:r>
        <w:t>Latency target: completion &lt; 20 minutes, with progress checkpoints.</w:t>
      </w:r>
    </w:p>
    <w:p w14:paraId="25855497" w14:textId="77777777" w:rsidR="00883BB8" w:rsidRDefault="00000000">
      <w:pPr>
        <w:pStyle w:val="FirstParagraph"/>
      </w:pPr>
      <w:r>
        <w:t xml:space="preserve">Instrument each chain with OTel-style traces (request across services) so a single </w:t>
      </w:r>
      <w:r>
        <w:rPr>
          <w:rStyle w:val="VerbatimChar"/>
        </w:rPr>
        <w:t>trace_id</w:t>
      </w:r>
      <w:r>
        <w:t xml:space="preserve"> explains the full path. </w:t>
      </w:r>
      <w:hyperlink r:id="rId49">
        <w:r>
          <w:rPr>
            <w:rStyle w:val="Hyperlink"/>
          </w:rPr>
          <w:t>[36]</w:t>
        </w:r>
      </w:hyperlink>
    </w:p>
    <w:p w14:paraId="070AE6A5" w14:textId="77777777" w:rsidR="00883BB8" w:rsidRDefault="00000000">
      <w:pPr>
        <w:pStyle w:val="Heading3"/>
      </w:pPr>
      <w:bookmarkStart w:id="25" w:name="Xd9768f4f8c6e713ece39c2e2a6af5a718406eab"/>
      <w:bookmarkEnd w:id="24"/>
      <w:r>
        <w:t>Cost and energy model for RTX 5080 class hardware</w:t>
      </w:r>
    </w:p>
    <w:p w14:paraId="483F0DD9" w14:textId="77777777" w:rsidR="00883BB8" w:rsidRDefault="00000000">
      <w:pPr>
        <w:pStyle w:val="FirstParagraph"/>
      </w:pPr>
      <w:r>
        <w:t>Official specs list the NVIDIA</w:t>
      </w:r>
      <w:hyperlink r:id="rId50">
        <w:r>
          <w:rPr>
            <w:rStyle w:val="Hyperlink"/>
          </w:rPr>
          <w:t>[37]</w:t>
        </w:r>
      </w:hyperlink>
      <w:r>
        <w:t xml:space="preserve"> GeForce RTX 5080 with </w:t>
      </w:r>
      <w:r>
        <w:rPr>
          <w:b/>
          <w:bCs/>
        </w:rPr>
        <w:t>Total Graphics Power 360W</w:t>
      </w:r>
      <w:r>
        <w:t xml:space="preserve"> and a </w:t>
      </w:r>
      <w:r>
        <w:rPr>
          <w:b/>
          <w:bCs/>
        </w:rPr>
        <w:t>minimum system power</w:t>
      </w:r>
      <w:r>
        <w:t xml:space="preserve"> guidance of 850W (reference configuration dependent). </w:t>
      </w:r>
      <w:hyperlink r:id="rId51">
        <w:r>
          <w:rPr>
            <w:rStyle w:val="Hyperlink"/>
          </w:rPr>
          <w:t>[38]</w:t>
        </w:r>
      </w:hyperlink>
    </w:p>
    <w:p w14:paraId="360329BB" w14:textId="77777777" w:rsidR="00883BB8" w:rsidRDefault="00000000">
      <w:pPr>
        <w:pStyle w:val="BodyText"/>
      </w:pPr>
      <w:r>
        <w:t xml:space="preserve">Electricity price is highly location-dependent. New York residential averages in 2025 are around ~25–27 ¢/kWh in NYSERDA’s compiled EIA-based series. </w:t>
      </w:r>
      <w:hyperlink r:id="rId52">
        <w:r>
          <w:rPr>
            <w:rStyle w:val="Hyperlink"/>
          </w:rPr>
          <w:t>[39]</w:t>
        </w:r>
      </w:hyperlink>
      <w:r>
        <w:t xml:space="preserve"> EIA state profiles show wide variation across states (e.g., low teens to high 30s ¢/kWh in 2024). </w:t>
      </w:r>
      <w:hyperlink r:id="rId53">
        <w:r>
          <w:rPr>
            <w:rStyle w:val="Hyperlink"/>
          </w:rPr>
          <w:t>[40]</w:t>
        </w:r>
      </w:hyperlink>
    </w:p>
    <w:p w14:paraId="3264B3FD" w14:textId="77777777" w:rsidR="00883BB8" w:rsidRDefault="00000000">
      <w:pPr>
        <w:pStyle w:val="Heading4"/>
      </w:pPr>
      <w:bookmarkStart w:id="26" w:name="X297d2e9d3d53d96880f2872a4231cd37b998313"/>
      <w:r>
        <w:t>Always-on monthly electricity estimates (24/7)</w:t>
      </w:r>
    </w:p>
    <w:p w14:paraId="5C59CE92" w14:textId="77777777" w:rsidR="00883BB8" w:rsidRDefault="00000000">
      <w:pPr>
        <w:pStyle w:val="FirstParagraph"/>
      </w:pPr>
      <w:r>
        <w:t xml:space="preserve">Assumptions (explicit, adjustable): - 30-day month (720 hours). - Average draw is the </w:t>
      </w:r>
      <w:r>
        <w:rPr>
          <w:i/>
          <w:iCs/>
        </w:rPr>
        <w:t>actual measured</w:t>
      </w:r>
      <w:r>
        <w:t xml:space="preserve"> wall power, not nameplate PSU. - Uses 26.2 ¢/kWh as an illustrative New York statewide value.</w:t>
      </w:r>
    </w:p>
    <w:tbl>
      <w:tblPr>
        <w:tblStyle w:val="Table"/>
        <w:tblW w:w="0" w:type="auto"/>
        <w:tblLook w:val="0020" w:firstRow="1" w:lastRow="0" w:firstColumn="0" w:lastColumn="0" w:noHBand="0" w:noVBand="0"/>
      </w:tblPr>
      <w:tblGrid>
        <w:gridCol w:w="2676"/>
        <w:gridCol w:w="1564"/>
        <w:gridCol w:w="4682"/>
      </w:tblGrid>
      <w:tr w:rsidR="00883BB8" w14:paraId="3040FD45" w14:textId="77777777" w:rsidTr="00883BB8">
        <w:trPr>
          <w:cnfStyle w:val="100000000000" w:firstRow="1" w:lastRow="0" w:firstColumn="0" w:lastColumn="0" w:oddVBand="0" w:evenVBand="0" w:oddHBand="0" w:evenHBand="0" w:firstRowFirstColumn="0" w:firstRowLastColumn="0" w:lastRowFirstColumn="0" w:lastRowLastColumn="0"/>
          <w:tblHeader/>
        </w:trPr>
        <w:tc>
          <w:tcPr>
            <w:tcW w:w="0" w:type="auto"/>
          </w:tcPr>
          <w:p w14:paraId="7C5692D3" w14:textId="77777777" w:rsidR="00883BB8" w:rsidRDefault="00000000">
            <w:pPr>
              <w:pStyle w:val="Compact"/>
              <w:jc w:val="right"/>
            </w:pPr>
            <w:r>
              <w:lastRenderedPageBreak/>
              <w:t>Average draw (W)</w:t>
            </w:r>
          </w:p>
        </w:tc>
        <w:tc>
          <w:tcPr>
            <w:tcW w:w="0" w:type="auto"/>
          </w:tcPr>
          <w:p w14:paraId="204B960D" w14:textId="77777777" w:rsidR="00883BB8" w:rsidRDefault="00000000">
            <w:pPr>
              <w:pStyle w:val="Compact"/>
              <w:jc w:val="right"/>
            </w:pPr>
            <w:r>
              <w:t>Monthly kWh</w:t>
            </w:r>
          </w:p>
        </w:tc>
        <w:tc>
          <w:tcPr>
            <w:tcW w:w="0" w:type="auto"/>
          </w:tcPr>
          <w:p w14:paraId="0EC82BB2" w14:textId="77777777" w:rsidR="00883BB8" w:rsidRDefault="00000000">
            <w:pPr>
              <w:pStyle w:val="Compact"/>
              <w:jc w:val="right"/>
            </w:pPr>
            <w:r>
              <w:t>Monthly electricity cost (NY @ $0.262/kWh)</w:t>
            </w:r>
          </w:p>
        </w:tc>
      </w:tr>
      <w:tr w:rsidR="00883BB8" w14:paraId="5CD70EDD" w14:textId="77777777">
        <w:tc>
          <w:tcPr>
            <w:tcW w:w="0" w:type="auto"/>
          </w:tcPr>
          <w:p w14:paraId="4840FCFC" w14:textId="77777777" w:rsidR="00883BB8" w:rsidRDefault="00000000">
            <w:pPr>
              <w:pStyle w:val="Compact"/>
              <w:jc w:val="right"/>
            </w:pPr>
            <w:r>
              <w:t>200W (light)</w:t>
            </w:r>
          </w:p>
        </w:tc>
        <w:tc>
          <w:tcPr>
            <w:tcW w:w="0" w:type="auto"/>
          </w:tcPr>
          <w:p w14:paraId="00361CE1" w14:textId="77777777" w:rsidR="00883BB8" w:rsidRDefault="00000000">
            <w:pPr>
              <w:pStyle w:val="Compact"/>
              <w:jc w:val="right"/>
            </w:pPr>
            <w:r>
              <w:t>144</w:t>
            </w:r>
          </w:p>
        </w:tc>
        <w:tc>
          <w:tcPr>
            <w:tcW w:w="0" w:type="auto"/>
          </w:tcPr>
          <w:p w14:paraId="36FE823C" w14:textId="77777777" w:rsidR="00883BB8" w:rsidRDefault="00000000">
            <w:pPr>
              <w:pStyle w:val="Compact"/>
              <w:jc w:val="right"/>
            </w:pPr>
            <w:r>
              <w:t>~$37.73</w:t>
            </w:r>
          </w:p>
        </w:tc>
      </w:tr>
      <w:tr w:rsidR="00883BB8" w14:paraId="45DF5020" w14:textId="77777777">
        <w:tc>
          <w:tcPr>
            <w:tcW w:w="0" w:type="auto"/>
          </w:tcPr>
          <w:p w14:paraId="41621F0F" w14:textId="77777777" w:rsidR="00883BB8" w:rsidRDefault="00000000">
            <w:pPr>
              <w:pStyle w:val="Compact"/>
              <w:jc w:val="right"/>
            </w:pPr>
            <w:r>
              <w:t>300W (moderate)</w:t>
            </w:r>
          </w:p>
        </w:tc>
        <w:tc>
          <w:tcPr>
            <w:tcW w:w="0" w:type="auto"/>
          </w:tcPr>
          <w:p w14:paraId="6C4E5611" w14:textId="77777777" w:rsidR="00883BB8" w:rsidRDefault="00000000">
            <w:pPr>
              <w:pStyle w:val="Compact"/>
              <w:jc w:val="right"/>
            </w:pPr>
            <w:r>
              <w:t>216</w:t>
            </w:r>
          </w:p>
        </w:tc>
        <w:tc>
          <w:tcPr>
            <w:tcW w:w="0" w:type="auto"/>
          </w:tcPr>
          <w:p w14:paraId="1448BF4B" w14:textId="77777777" w:rsidR="00883BB8" w:rsidRDefault="00000000">
            <w:pPr>
              <w:pStyle w:val="Compact"/>
              <w:jc w:val="right"/>
            </w:pPr>
            <w:r>
              <w:t>~$56.59</w:t>
            </w:r>
          </w:p>
        </w:tc>
      </w:tr>
      <w:tr w:rsidR="00883BB8" w14:paraId="73CEB605" w14:textId="77777777">
        <w:tc>
          <w:tcPr>
            <w:tcW w:w="0" w:type="auto"/>
          </w:tcPr>
          <w:p w14:paraId="2311B817" w14:textId="77777777" w:rsidR="00883BB8" w:rsidRDefault="00000000">
            <w:pPr>
              <w:pStyle w:val="Compact"/>
              <w:jc w:val="right"/>
            </w:pPr>
            <w:r>
              <w:t>360W (GPU at TGP)</w:t>
            </w:r>
          </w:p>
        </w:tc>
        <w:tc>
          <w:tcPr>
            <w:tcW w:w="0" w:type="auto"/>
          </w:tcPr>
          <w:p w14:paraId="79D0035F" w14:textId="77777777" w:rsidR="00883BB8" w:rsidRDefault="00000000">
            <w:pPr>
              <w:pStyle w:val="Compact"/>
              <w:jc w:val="right"/>
            </w:pPr>
            <w:r>
              <w:t>259.2</w:t>
            </w:r>
          </w:p>
        </w:tc>
        <w:tc>
          <w:tcPr>
            <w:tcW w:w="0" w:type="auto"/>
          </w:tcPr>
          <w:p w14:paraId="3C1E5C7B" w14:textId="77777777" w:rsidR="00883BB8" w:rsidRDefault="00000000">
            <w:pPr>
              <w:pStyle w:val="Compact"/>
              <w:jc w:val="right"/>
            </w:pPr>
            <w:r>
              <w:t>~$67.91</w:t>
            </w:r>
          </w:p>
        </w:tc>
      </w:tr>
      <w:tr w:rsidR="00883BB8" w14:paraId="1B954143" w14:textId="77777777">
        <w:tc>
          <w:tcPr>
            <w:tcW w:w="0" w:type="auto"/>
          </w:tcPr>
          <w:p w14:paraId="5C29C7C3" w14:textId="77777777" w:rsidR="00883BB8" w:rsidRDefault="00000000">
            <w:pPr>
              <w:pStyle w:val="Compact"/>
              <w:jc w:val="right"/>
            </w:pPr>
            <w:r>
              <w:t>500W (GPU + CPU load)</w:t>
            </w:r>
          </w:p>
        </w:tc>
        <w:tc>
          <w:tcPr>
            <w:tcW w:w="0" w:type="auto"/>
          </w:tcPr>
          <w:p w14:paraId="49E17E0C" w14:textId="77777777" w:rsidR="00883BB8" w:rsidRDefault="00000000">
            <w:pPr>
              <w:pStyle w:val="Compact"/>
              <w:jc w:val="right"/>
            </w:pPr>
            <w:r>
              <w:t>360</w:t>
            </w:r>
          </w:p>
        </w:tc>
        <w:tc>
          <w:tcPr>
            <w:tcW w:w="0" w:type="auto"/>
          </w:tcPr>
          <w:p w14:paraId="6AAD7603" w14:textId="77777777" w:rsidR="00883BB8" w:rsidRDefault="00000000">
            <w:pPr>
              <w:pStyle w:val="Compact"/>
              <w:jc w:val="right"/>
            </w:pPr>
            <w:r>
              <w:t>~$94.32</w:t>
            </w:r>
          </w:p>
        </w:tc>
      </w:tr>
      <w:tr w:rsidR="00883BB8" w14:paraId="055CD0F8" w14:textId="77777777">
        <w:tc>
          <w:tcPr>
            <w:tcW w:w="0" w:type="auto"/>
          </w:tcPr>
          <w:p w14:paraId="47F55798" w14:textId="77777777" w:rsidR="00883BB8" w:rsidRDefault="00000000">
            <w:pPr>
              <w:pStyle w:val="Compact"/>
              <w:jc w:val="right"/>
            </w:pPr>
            <w:r>
              <w:t>650W (heavy)</w:t>
            </w:r>
          </w:p>
        </w:tc>
        <w:tc>
          <w:tcPr>
            <w:tcW w:w="0" w:type="auto"/>
          </w:tcPr>
          <w:p w14:paraId="2A2E3B29" w14:textId="77777777" w:rsidR="00883BB8" w:rsidRDefault="00000000">
            <w:pPr>
              <w:pStyle w:val="Compact"/>
              <w:jc w:val="right"/>
            </w:pPr>
            <w:r>
              <w:t>468</w:t>
            </w:r>
          </w:p>
        </w:tc>
        <w:tc>
          <w:tcPr>
            <w:tcW w:w="0" w:type="auto"/>
          </w:tcPr>
          <w:p w14:paraId="4AA05EAC" w14:textId="77777777" w:rsidR="00883BB8" w:rsidRDefault="00000000">
            <w:pPr>
              <w:pStyle w:val="Compact"/>
              <w:jc w:val="right"/>
            </w:pPr>
            <w:r>
              <w:t>~$122.62</w:t>
            </w:r>
          </w:p>
        </w:tc>
      </w:tr>
      <w:tr w:rsidR="00883BB8" w14:paraId="3DF513DB" w14:textId="77777777">
        <w:tc>
          <w:tcPr>
            <w:tcW w:w="0" w:type="auto"/>
          </w:tcPr>
          <w:p w14:paraId="54C95D75" w14:textId="77777777" w:rsidR="00883BB8" w:rsidRDefault="00000000">
            <w:pPr>
              <w:pStyle w:val="Compact"/>
              <w:jc w:val="right"/>
            </w:pPr>
            <w:r>
              <w:t>850W (upper bound ref)</w:t>
            </w:r>
          </w:p>
        </w:tc>
        <w:tc>
          <w:tcPr>
            <w:tcW w:w="0" w:type="auto"/>
          </w:tcPr>
          <w:p w14:paraId="4C134784" w14:textId="77777777" w:rsidR="00883BB8" w:rsidRDefault="00000000">
            <w:pPr>
              <w:pStyle w:val="Compact"/>
              <w:jc w:val="right"/>
            </w:pPr>
            <w:r>
              <w:t>612</w:t>
            </w:r>
          </w:p>
        </w:tc>
        <w:tc>
          <w:tcPr>
            <w:tcW w:w="0" w:type="auto"/>
          </w:tcPr>
          <w:p w14:paraId="1AAB7004" w14:textId="77777777" w:rsidR="00883BB8" w:rsidRDefault="00000000">
            <w:pPr>
              <w:pStyle w:val="Compact"/>
              <w:jc w:val="right"/>
            </w:pPr>
            <w:r>
              <w:t>~$160.34</w:t>
            </w:r>
          </w:p>
        </w:tc>
      </w:tr>
    </w:tbl>
    <w:p w14:paraId="7E07A08E" w14:textId="77777777" w:rsidR="00883BB8" w:rsidRDefault="00000000">
      <w:pPr>
        <w:pStyle w:val="BodyText"/>
      </w:pPr>
      <w:r>
        <w:t xml:space="preserve">The 360W line is directly tied to the RTX 5080 TGP spec; higher lines represent realistic “whole system” draw scenarios during sustained inference. </w:t>
      </w:r>
      <w:hyperlink r:id="rId54">
        <w:r>
          <w:rPr>
            <w:rStyle w:val="Hyperlink"/>
          </w:rPr>
          <w:t>[8]</w:t>
        </w:r>
      </w:hyperlink>
    </w:p>
    <w:p w14:paraId="05A76C4A" w14:textId="77777777" w:rsidR="00883BB8" w:rsidRDefault="00000000">
      <w:pPr>
        <w:pStyle w:val="Heading4"/>
      </w:pPr>
      <w:bookmarkStart w:id="27" w:name="X2fa318ddb05bc28583d8b846c9775480cb2dff7"/>
      <w:bookmarkEnd w:id="26"/>
      <w:r>
        <w:t>Energy-only cost per million generated tokens (local)</w:t>
      </w:r>
    </w:p>
    <w:p w14:paraId="02F1FA60" w14:textId="77777777" w:rsidR="00883BB8" w:rsidRDefault="00000000">
      <w:pPr>
        <w:pStyle w:val="FirstParagraph"/>
      </w:pPr>
      <w:r>
        <w:t>Energy-only cost is often surprisingly low relative to API pricing, but it excludes GPU amortization, maintenance time, and downtime risk.</w:t>
      </w:r>
    </w:p>
    <w:p w14:paraId="181EDDCA" w14:textId="77777777" w:rsidR="00883BB8" w:rsidRDefault="00000000">
      <w:pPr>
        <w:pStyle w:val="BodyText"/>
      </w:pPr>
      <w:r>
        <w:t>Illustration (400W average system draw, NY price): - 50 tok/s → ~$0.58 per 1M tokens</w:t>
      </w:r>
      <w:r>
        <w:br/>
        <w:t>- 100 tok/s → ~$0.29 per 1M tokens</w:t>
      </w:r>
      <w:r>
        <w:br/>
        <w:t>- 200 tok/s → ~$0.15 per 1M tokens</w:t>
      </w:r>
    </w:p>
    <w:p w14:paraId="732F489A" w14:textId="77777777" w:rsidR="00883BB8" w:rsidRDefault="00000000">
      <w:pPr>
        <w:pStyle w:val="BodyText"/>
      </w:pPr>
      <w:r>
        <w:t xml:space="preserve">This is derived from the same measurable telemetry fields described above. </w:t>
      </w:r>
      <w:hyperlink r:id="rId55">
        <w:r>
          <w:rPr>
            <w:rStyle w:val="Hyperlink"/>
          </w:rPr>
          <w:t>[41]</w:t>
        </w:r>
      </w:hyperlink>
    </w:p>
    <w:p w14:paraId="780131F4" w14:textId="77777777" w:rsidR="00883BB8" w:rsidRDefault="00000000">
      <w:pPr>
        <w:pStyle w:val="Heading3"/>
      </w:pPr>
      <w:bookmarkStart w:id="28" w:name="recommended-metrics-to-instrument"/>
      <w:bookmarkEnd w:id="25"/>
      <w:bookmarkEnd w:id="27"/>
      <w:r>
        <w:t>Recommended metrics to instrument</w:t>
      </w:r>
    </w:p>
    <w:p w14:paraId="60E66123" w14:textId="77777777" w:rsidR="00883BB8" w:rsidRDefault="00000000">
      <w:pPr>
        <w:pStyle w:val="FirstParagraph"/>
      </w:pPr>
      <w:r>
        <w:t>V2 recommends a minimal “Sovereign Intelligence SLO pack”:</w:t>
      </w:r>
    </w:p>
    <w:p w14:paraId="01297388" w14:textId="77777777" w:rsidR="00883BB8" w:rsidRDefault="00000000">
      <w:pPr>
        <w:pStyle w:val="Compact"/>
        <w:numPr>
          <w:ilvl w:val="0"/>
          <w:numId w:val="17"/>
        </w:numPr>
      </w:pPr>
      <w:r>
        <w:t>Latency: p50/p95 per chain + per step, including queue time.</w:t>
      </w:r>
    </w:p>
    <w:p w14:paraId="2E41C687" w14:textId="77777777" w:rsidR="00883BB8" w:rsidRDefault="00000000">
      <w:pPr>
        <w:pStyle w:val="Compact"/>
        <w:numPr>
          <w:ilvl w:val="0"/>
          <w:numId w:val="17"/>
        </w:numPr>
      </w:pPr>
      <w:r>
        <w:t xml:space="preserve">Throughput: requests/min, tokens/sec (prompt + decode). </w:t>
      </w:r>
      <w:hyperlink r:id="rId56">
        <w:r>
          <w:rPr>
            <w:rStyle w:val="Hyperlink"/>
          </w:rPr>
          <w:t>[42]</w:t>
        </w:r>
      </w:hyperlink>
    </w:p>
    <w:p w14:paraId="2C6A03A2" w14:textId="77777777" w:rsidR="00883BB8" w:rsidRDefault="00000000">
      <w:pPr>
        <w:pStyle w:val="Compact"/>
        <w:numPr>
          <w:ilvl w:val="0"/>
          <w:numId w:val="17"/>
        </w:numPr>
      </w:pPr>
      <w:r>
        <w:t>Utilization: GPU VRAM, GPU power, CPU, disk IO.</w:t>
      </w:r>
    </w:p>
    <w:p w14:paraId="7A1A33FA" w14:textId="77777777" w:rsidR="00883BB8" w:rsidRDefault="00000000">
      <w:pPr>
        <w:pStyle w:val="Compact"/>
        <w:numPr>
          <w:ilvl w:val="0"/>
          <w:numId w:val="17"/>
        </w:numPr>
      </w:pPr>
      <w:r>
        <w:t>Reliability: error rates by component (router, tools, collectors), retry counts, failover frequency.</w:t>
      </w:r>
    </w:p>
    <w:p w14:paraId="5A49095F" w14:textId="77777777" w:rsidR="00883BB8" w:rsidRDefault="00000000">
      <w:pPr>
        <w:pStyle w:val="Compact"/>
        <w:numPr>
          <w:ilvl w:val="0"/>
          <w:numId w:val="17"/>
        </w:numPr>
      </w:pPr>
      <w:r>
        <w:t>Safety: denied actions (policy engine), approval prompts, redaction failures, tool-call anomalies.</w:t>
      </w:r>
    </w:p>
    <w:p w14:paraId="3EF97A5F" w14:textId="77777777" w:rsidR="00883BB8" w:rsidRDefault="00000000">
      <w:pPr>
        <w:pStyle w:val="Compact"/>
        <w:numPr>
          <w:ilvl w:val="0"/>
          <w:numId w:val="17"/>
        </w:numPr>
      </w:pPr>
      <w:r>
        <w:t>Cost: energy estimate, token usage, storage growth.</w:t>
      </w:r>
    </w:p>
    <w:p w14:paraId="03D867D5" w14:textId="77777777" w:rsidR="00883BB8" w:rsidRDefault="00000000">
      <w:pPr>
        <w:pStyle w:val="Compact"/>
        <w:numPr>
          <w:ilvl w:val="0"/>
          <w:numId w:val="17"/>
        </w:numPr>
      </w:pPr>
      <w:r>
        <w:t>Data hygiene: percent of requests at each sensitivity level; cloud-eligible fraction.</w:t>
      </w:r>
    </w:p>
    <w:p w14:paraId="2013F746" w14:textId="77777777" w:rsidR="00883BB8" w:rsidRDefault="00000000">
      <w:pPr>
        <w:pStyle w:val="Heading2"/>
      </w:pPr>
      <w:bookmarkStart w:id="29" w:name="implementation-components-and-roadmap"/>
      <w:bookmarkEnd w:id="22"/>
      <w:bookmarkEnd w:id="28"/>
      <w:r>
        <w:t>Implementation components and roadmap</w:t>
      </w:r>
    </w:p>
    <w:p w14:paraId="3902084E" w14:textId="77777777" w:rsidR="00883BB8" w:rsidRDefault="00000000">
      <w:pPr>
        <w:pStyle w:val="Heading3"/>
      </w:pPr>
      <w:bookmarkStart w:id="30" w:name="hybrid-and-self-hosted-components"/>
      <w:r>
        <w:t>Hybrid and self-hosted components</w:t>
      </w:r>
    </w:p>
    <w:p w14:paraId="1E0563F1" w14:textId="77777777" w:rsidR="00883BB8" w:rsidRDefault="00000000">
      <w:pPr>
        <w:pStyle w:val="FirstParagraph"/>
      </w:pPr>
      <w:r>
        <w:rPr>
          <w:b/>
          <w:bCs/>
        </w:rPr>
        <w:t>Local inference runtimes</w:t>
      </w:r>
    </w:p>
    <w:p w14:paraId="4FD7D297" w14:textId="77777777" w:rsidR="00883BB8" w:rsidRDefault="00000000">
      <w:pPr>
        <w:pStyle w:val="Compact"/>
        <w:numPr>
          <w:ilvl w:val="0"/>
          <w:numId w:val="18"/>
        </w:numPr>
      </w:pPr>
      <w:r>
        <w:t>Ollama</w:t>
      </w:r>
      <w:hyperlink r:id="rId57">
        <w:r>
          <w:rPr>
            <w:rStyle w:val="Hyperlink"/>
          </w:rPr>
          <w:t>[43]</w:t>
        </w:r>
      </w:hyperlink>
      <w:r>
        <w:t xml:space="preserve"> provides a direct HTTP API and exposes performance statistics (durations in nanoseconds, eval counts) suitable for benchmarking. </w:t>
      </w:r>
      <w:hyperlink r:id="rId58">
        <w:r>
          <w:rPr>
            <w:rStyle w:val="Hyperlink"/>
          </w:rPr>
          <w:t>[35]</w:t>
        </w:r>
      </w:hyperlink>
    </w:p>
    <w:p w14:paraId="25B6D3FB" w14:textId="77777777" w:rsidR="00883BB8" w:rsidRDefault="00000000">
      <w:pPr>
        <w:pStyle w:val="Compact"/>
        <w:numPr>
          <w:ilvl w:val="0"/>
          <w:numId w:val="18"/>
        </w:numPr>
      </w:pPr>
      <w:r>
        <w:lastRenderedPageBreak/>
        <w:t>LM Studio</w:t>
      </w:r>
      <w:hyperlink r:id="rId59">
        <w:r>
          <w:rPr>
            <w:rStyle w:val="Hyperlink"/>
          </w:rPr>
          <w:t>[44]</w:t>
        </w:r>
      </w:hyperlink>
      <w:r>
        <w:t xml:space="preserve"> exposes OpenAI-compatible endpoints (</w:t>
      </w:r>
      <w:r>
        <w:rPr>
          <w:rStyle w:val="VerbatimChar"/>
        </w:rPr>
        <w:t>/v1/chat/completions</w:t>
      </w:r>
      <w:r>
        <w:t xml:space="preserve">, </w:t>
      </w:r>
      <w:r>
        <w:rPr>
          <w:rStyle w:val="VerbatimChar"/>
        </w:rPr>
        <w:t>/v1/embeddings</w:t>
      </w:r>
      <w:r>
        <w:t xml:space="preserve">, etc.), enabling the router to treat local inference as a drop-in provider. </w:t>
      </w:r>
      <w:hyperlink r:id="rId60">
        <w:r>
          <w:rPr>
            <w:rStyle w:val="Hyperlink"/>
          </w:rPr>
          <w:t>[45]</w:t>
        </w:r>
      </w:hyperlink>
    </w:p>
    <w:p w14:paraId="71EF17F3" w14:textId="77777777" w:rsidR="00883BB8" w:rsidRDefault="00000000">
      <w:pPr>
        <w:pStyle w:val="Compact"/>
        <w:numPr>
          <w:ilvl w:val="0"/>
          <w:numId w:val="18"/>
        </w:numPr>
      </w:pPr>
      <w:r>
        <w:t>Ollama also supports OpenAI-compatible endpoints (</w:t>
      </w:r>
      <w:r>
        <w:rPr>
          <w:rStyle w:val="VerbatimChar"/>
        </w:rPr>
        <w:t>/v1/chat/completions</w:t>
      </w:r>
      <w:r>
        <w:t xml:space="preserve">, </w:t>
      </w:r>
      <w:r>
        <w:rPr>
          <w:rStyle w:val="VerbatimChar"/>
        </w:rPr>
        <w:t>/v1/responses</w:t>
      </w:r>
      <w:r>
        <w:t xml:space="preserve">), improving portability for existing tooling. </w:t>
      </w:r>
      <w:hyperlink r:id="rId61">
        <w:r>
          <w:rPr>
            <w:rStyle w:val="Hyperlink"/>
          </w:rPr>
          <w:t>[46]</w:t>
        </w:r>
      </w:hyperlink>
    </w:p>
    <w:p w14:paraId="7C76C853" w14:textId="77777777" w:rsidR="00883BB8" w:rsidRDefault="00000000">
      <w:pPr>
        <w:pStyle w:val="FirstParagraph"/>
      </w:pPr>
      <w:r>
        <w:rPr>
          <w:b/>
          <w:bCs/>
        </w:rPr>
        <w:t>Self-hosted web search</w:t>
      </w:r>
    </w:p>
    <w:p w14:paraId="73F00C83" w14:textId="77777777" w:rsidR="00883BB8" w:rsidRDefault="00000000">
      <w:pPr>
        <w:pStyle w:val="Compact"/>
        <w:numPr>
          <w:ilvl w:val="0"/>
          <w:numId w:val="19"/>
        </w:numPr>
      </w:pPr>
      <w:r>
        <w:t>SearxNG</w:t>
      </w:r>
      <w:hyperlink r:id="rId62">
        <w:r>
          <w:rPr>
            <w:rStyle w:val="Hyperlink"/>
          </w:rPr>
          <w:t>[47]</w:t>
        </w:r>
      </w:hyperlink>
      <w:r>
        <w:t xml:space="preserve"> positions itself as “search without being tracked,” where users are neither tracked nor profiled, and includes documented self-host installation paths. </w:t>
      </w:r>
      <w:hyperlink r:id="rId63">
        <w:r>
          <w:rPr>
            <w:rStyle w:val="Hyperlink"/>
          </w:rPr>
          <w:t>[18]</w:t>
        </w:r>
      </w:hyperlink>
      <w:r>
        <w:br/>
        <w:t>In V2, SearxNG should be the default “web search layer” for Tier H to avoid direct cloud dependency for retrieval.</w:t>
      </w:r>
    </w:p>
    <w:p w14:paraId="5B1D013D" w14:textId="77777777" w:rsidR="00883BB8" w:rsidRDefault="00000000">
      <w:pPr>
        <w:pStyle w:val="FirstParagraph"/>
      </w:pPr>
      <w:r>
        <w:rPr>
          <w:b/>
          <w:bCs/>
        </w:rPr>
        <w:t>Knowledge graph</w:t>
      </w:r>
    </w:p>
    <w:p w14:paraId="02C5608C" w14:textId="77777777" w:rsidR="00883BB8" w:rsidRDefault="00000000">
      <w:pPr>
        <w:pStyle w:val="Compact"/>
        <w:numPr>
          <w:ilvl w:val="0"/>
          <w:numId w:val="20"/>
        </w:numPr>
      </w:pPr>
      <w:r>
        <w:t>Neo4j</w:t>
      </w:r>
      <w:hyperlink r:id="rId64">
        <w:r>
          <w:rPr>
            <w:rStyle w:val="Hyperlink"/>
          </w:rPr>
          <w:t>[48]</w:t>
        </w:r>
      </w:hyperlink>
      <w:r>
        <w:t xml:space="preserve"> supports local deployment and access via </w:t>
      </w:r>
      <w:r>
        <w:rPr>
          <w:rStyle w:val="VerbatimChar"/>
        </w:rPr>
        <w:t>localhost</w:t>
      </w:r>
      <w:r>
        <w:t xml:space="preserve"> defaults for self-managed installations, which fits Tier H graph augmentation. </w:t>
      </w:r>
      <w:hyperlink r:id="rId65">
        <w:r>
          <w:rPr>
            <w:rStyle w:val="Hyperlink"/>
          </w:rPr>
          <w:t>[49]</w:t>
        </w:r>
      </w:hyperlink>
    </w:p>
    <w:p w14:paraId="69159719" w14:textId="77777777" w:rsidR="00883BB8" w:rsidRDefault="00000000">
      <w:pPr>
        <w:pStyle w:val="Heading3"/>
      </w:pPr>
      <w:bookmarkStart w:id="31" w:name="orchestration-framework-tradeoffs"/>
      <w:bookmarkEnd w:id="30"/>
      <w:r>
        <w:t>Orchestration framework tradeoffs</w:t>
      </w:r>
    </w:p>
    <w:p w14:paraId="7C529BC8" w14:textId="77777777" w:rsidR="00883BB8" w:rsidRDefault="00000000">
      <w:pPr>
        <w:pStyle w:val="FirstParagraph"/>
      </w:pPr>
      <w:r>
        <w:t xml:space="preserve">Two frameworks explicitly named in your requirements can be positioned as orchestration options </w:t>
      </w:r>
      <w:r>
        <w:rPr>
          <w:i/>
          <w:iCs/>
        </w:rPr>
        <w:t>behind</w:t>
      </w:r>
      <w:r>
        <w:t xml:space="preserve"> the control plane:</w:t>
      </w:r>
    </w:p>
    <w:p w14:paraId="082F489D" w14:textId="77777777" w:rsidR="00883BB8" w:rsidRDefault="00000000">
      <w:pPr>
        <w:pStyle w:val="Compact"/>
        <w:numPr>
          <w:ilvl w:val="0"/>
          <w:numId w:val="21"/>
        </w:numPr>
      </w:pPr>
      <w:r>
        <w:rPr>
          <w:b/>
          <w:bCs/>
        </w:rPr>
        <w:t>AutoGen (Microsoft)</w:t>
      </w:r>
      <w:r>
        <w:t xml:space="preserve">: Presented as a unified multi-agent conversation framework to automate chat among agents that integrate LLMs, tools, and humans. </w:t>
      </w:r>
      <w:hyperlink r:id="rId66">
        <w:r>
          <w:rPr>
            <w:rStyle w:val="Hyperlink"/>
          </w:rPr>
          <w:t>[50]</w:t>
        </w:r>
      </w:hyperlink>
    </w:p>
    <w:p w14:paraId="19015361" w14:textId="77777777" w:rsidR="00883BB8" w:rsidRDefault="00000000">
      <w:pPr>
        <w:pStyle w:val="Compact"/>
        <w:numPr>
          <w:ilvl w:val="0"/>
          <w:numId w:val="21"/>
        </w:numPr>
      </w:pPr>
      <w:r>
        <w:t>Strengths: flexible conversational workflows; good for “planner-doer-checker” patterns.</w:t>
      </w:r>
    </w:p>
    <w:p w14:paraId="62E86762" w14:textId="77777777" w:rsidR="00883BB8" w:rsidRDefault="00000000">
      <w:pPr>
        <w:numPr>
          <w:ilvl w:val="0"/>
          <w:numId w:val="21"/>
        </w:numPr>
      </w:pPr>
      <w:r>
        <w:t>Risks: needs strong guardrails around tool permissions.</w:t>
      </w:r>
    </w:p>
    <w:p w14:paraId="08D30ED2" w14:textId="77777777" w:rsidR="00883BB8" w:rsidRDefault="00000000">
      <w:pPr>
        <w:numPr>
          <w:ilvl w:val="0"/>
          <w:numId w:val="21"/>
        </w:numPr>
      </w:pPr>
      <w:r>
        <w:rPr>
          <w:b/>
          <w:bCs/>
        </w:rPr>
        <w:t>CrewAI</w:t>
      </w:r>
      <w:r>
        <w:t xml:space="preserve">: Formalizes tasks and processes. The docs describe tasks as assignments completed by agents and processes as orchestration modes including sequential and hierarchical with an explicit manager model/agent. </w:t>
      </w:r>
      <w:hyperlink r:id="rId67">
        <w:r>
          <w:rPr>
            <w:rStyle w:val="Hyperlink"/>
          </w:rPr>
          <w:t>[51]</w:t>
        </w:r>
      </w:hyperlink>
    </w:p>
    <w:p w14:paraId="23EC3734" w14:textId="77777777" w:rsidR="00883BB8" w:rsidRDefault="00000000">
      <w:pPr>
        <w:pStyle w:val="Compact"/>
        <w:numPr>
          <w:ilvl w:val="0"/>
          <w:numId w:val="21"/>
        </w:numPr>
      </w:pPr>
      <w:r>
        <w:t>Strengths: clearer pipeline control; hierarchical manager supports review/validation loops.</w:t>
      </w:r>
    </w:p>
    <w:p w14:paraId="380E801C" w14:textId="77777777" w:rsidR="00883BB8" w:rsidRDefault="00000000">
      <w:pPr>
        <w:pStyle w:val="Compact"/>
        <w:numPr>
          <w:ilvl w:val="0"/>
          <w:numId w:val="21"/>
        </w:numPr>
      </w:pPr>
      <w:r>
        <w:t>Risks: still requires enforcement of tool scopes and containment at the runtime layer.</w:t>
      </w:r>
    </w:p>
    <w:p w14:paraId="1F55912F" w14:textId="77777777" w:rsidR="00883BB8" w:rsidRDefault="00000000">
      <w:pPr>
        <w:pStyle w:val="FirstParagraph"/>
      </w:pPr>
      <w:r>
        <w:t>Recommendation: keep orchestration swappable by standardizing all tool/model calls behind your router + policy engine, so framework choice does not become a sovereignty risk.</w:t>
      </w:r>
    </w:p>
    <w:p w14:paraId="30AF77D7" w14:textId="77777777" w:rsidR="00883BB8" w:rsidRDefault="00000000">
      <w:pPr>
        <w:pStyle w:val="Heading3"/>
      </w:pPr>
      <w:bookmarkStart w:id="32" w:name="model-options-table"/>
      <w:bookmarkEnd w:id="31"/>
      <w:r>
        <w:t>Model options table</w:t>
      </w:r>
    </w:p>
    <w:p w14:paraId="56953CAF" w14:textId="77777777" w:rsidR="00883BB8" w:rsidRDefault="00000000">
      <w:pPr>
        <w:pStyle w:val="FirstParagraph"/>
      </w:pPr>
      <w:r>
        <w:t>This table lists practical “router targets” with primary-source anchors for size/context.</w:t>
      </w:r>
    </w:p>
    <w:tbl>
      <w:tblPr>
        <w:tblStyle w:val="Table"/>
        <w:tblW w:w="0" w:type="auto"/>
        <w:tblLook w:val="0020" w:firstRow="1" w:lastRow="0" w:firstColumn="0" w:lastColumn="0" w:noHBand="0" w:noVBand="0"/>
      </w:tblPr>
      <w:tblGrid>
        <w:gridCol w:w="2510"/>
        <w:gridCol w:w="1856"/>
        <w:gridCol w:w="3284"/>
        <w:gridCol w:w="1710"/>
      </w:tblGrid>
      <w:tr w:rsidR="00883BB8" w14:paraId="09E3325A" w14:textId="77777777" w:rsidTr="00883BB8">
        <w:trPr>
          <w:cnfStyle w:val="100000000000" w:firstRow="1" w:lastRow="0" w:firstColumn="0" w:lastColumn="0" w:oddVBand="0" w:evenVBand="0" w:oddHBand="0" w:evenHBand="0" w:firstRowFirstColumn="0" w:firstRowLastColumn="0" w:lastRowFirstColumn="0" w:lastRowLastColumn="0"/>
          <w:tblHeader/>
        </w:trPr>
        <w:tc>
          <w:tcPr>
            <w:tcW w:w="0" w:type="auto"/>
          </w:tcPr>
          <w:p w14:paraId="3645EDA7" w14:textId="77777777" w:rsidR="00883BB8" w:rsidRDefault="00000000">
            <w:pPr>
              <w:pStyle w:val="Compact"/>
            </w:pPr>
            <w:r>
              <w:lastRenderedPageBreak/>
              <w:t>Model family (example)</w:t>
            </w:r>
          </w:p>
        </w:tc>
        <w:tc>
          <w:tcPr>
            <w:tcW w:w="0" w:type="auto"/>
          </w:tcPr>
          <w:p w14:paraId="33BADE9C" w14:textId="77777777" w:rsidR="00883BB8" w:rsidRDefault="00000000">
            <w:pPr>
              <w:pStyle w:val="Compact"/>
            </w:pPr>
            <w:r>
              <w:t>Why it belongs in V2</w:t>
            </w:r>
          </w:p>
        </w:tc>
        <w:tc>
          <w:tcPr>
            <w:tcW w:w="0" w:type="auto"/>
          </w:tcPr>
          <w:p w14:paraId="22FAD054" w14:textId="77777777" w:rsidR="00883BB8" w:rsidRDefault="00000000">
            <w:pPr>
              <w:pStyle w:val="Compact"/>
            </w:pPr>
            <w:r>
              <w:t>Notable specs (source)</w:t>
            </w:r>
          </w:p>
        </w:tc>
        <w:tc>
          <w:tcPr>
            <w:tcW w:w="0" w:type="auto"/>
          </w:tcPr>
          <w:p w14:paraId="0B16EF33" w14:textId="77777777" w:rsidR="00883BB8" w:rsidRDefault="00000000">
            <w:pPr>
              <w:pStyle w:val="Compact"/>
            </w:pPr>
            <w:r>
              <w:t>Best-fit tier</w:t>
            </w:r>
          </w:p>
        </w:tc>
      </w:tr>
      <w:tr w:rsidR="00883BB8" w14:paraId="795987A6" w14:textId="77777777">
        <w:tc>
          <w:tcPr>
            <w:tcW w:w="0" w:type="auto"/>
          </w:tcPr>
          <w:p w14:paraId="6C0F4A5C" w14:textId="77777777" w:rsidR="00883BB8" w:rsidRDefault="00000000">
            <w:pPr>
              <w:pStyle w:val="Compact"/>
            </w:pPr>
            <w:r>
              <w:t>Qwen2.5 (0.5B–72B)</w:t>
            </w:r>
          </w:p>
        </w:tc>
        <w:tc>
          <w:tcPr>
            <w:tcW w:w="0" w:type="auto"/>
          </w:tcPr>
          <w:p w14:paraId="21A496F2" w14:textId="77777777" w:rsidR="00883BB8" w:rsidRDefault="00000000">
            <w:pPr>
              <w:pStyle w:val="Compact"/>
            </w:pPr>
            <w:r>
              <w:t>Broad local coverage; long context options</w:t>
            </w:r>
          </w:p>
        </w:tc>
        <w:tc>
          <w:tcPr>
            <w:tcW w:w="0" w:type="auto"/>
          </w:tcPr>
          <w:p w14:paraId="423F8E91" w14:textId="77777777" w:rsidR="00883BB8" w:rsidRDefault="00000000">
            <w:pPr>
              <w:pStyle w:val="Compact"/>
            </w:pPr>
            <w:r>
              <w:t xml:space="preserve">Model card lists up to 72B params; context up to 128K for some sizes. </w:t>
            </w:r>
            <w:hyperlink r:id="rId68">
              <w:r>
                <w:rPr>
                  <w:rStyle w:val="Hyperlink"/>
                </w:rPr>
                <w:t>[52]</w:t>
              </w:r>
            </w:hyperlink>
          </w:p>
        </w:tc>
        <w:tc>
          <w:tcPr>
            <w:tcW w:w="0" w:type="auto"/>
          </w:tcPr>
          <w:p w14:paraId="1B4D238D" w14:textId="77777777" w:rsidR="00883BB8" w:rsidRDefault="00000000">
            <w:pPr>
              <w:pStyle w:val="Compact"/>
            </w:pPr>
            <w:r>
              <w:t>S/H</w:t>
            </w:r>
          </w:p>
        </w:tc>
      </w:tr>
      <w:tr w:rsidR="00883BB8" w14:paraId="07380AAB" w14:textId="77777777">
        <w:tc>
          <w:tcPr>
            <w:tcW w:w="0" w:type="auto"/>
          </w:tcPr>
          <w:p w14:paraId="7AB5EAAE" w14:textId="77777777" w:rsidR="00883BB8" w:rsidRDefault="00000000">
            <w:pPr>
              <w:pStyle w:val="Compact"/>
            </w:pPr>
            <w:r>
              <w:t>Phi‑3 Mini</w:t>
            </w:r>
          </w:p>
        </w:tc>
        <w:tc>
          <w:tcPr>
            <w:tcW w:w="0" w:type="auto"/>
          </w:tcPr>
          <w:p w14:paraId="2FF90D53" w14:textId="77777777" w:rsidR="00883BB8" w:rsidRDefault="00000000">
            <w:pPr>
              <w:pStyle w:val="Compact"/>
            </w:pPr>
            <w:r>
              <w:t>Lightweight local reasoning</w:t>
            </w:r>
          </w:p>
        </w:tc>
        <w:tc>
          <w:tcPr>
            <w:tcW w:w="0" w:type="auto"/>
          </w:tcPr>
          <w:p w14:paraId="0080E33A" w14:textId="77777777" w:rsidR="00883BB8" w:rsidRDefault="00000000">
            <w:pPr>
              <w:pStyle w:val="Compact"/>
            </w:pPr>
            <w:r>
              <w:t xml:space="preserve">3.8B params; 128K context listed. </w:t>
            </w:r>
            <w:hyperlink r:id="rId69">
              <w:r>
                <w:rPr>
                  <w:rStyle w:val="Hyperlink"/>
                </w:rPr>
                <w:t>[53]</w:t>
              </w:r>
            </w:hyperlink>
          </w:p>
        </w:tc>
        <w:tc>
          <w:tcPr>
            <w:tcW w:w="0" w:type="auto"/>
          </w:tcPr>
          <w:p w14:paraId="6B99D2C7" w14:textId="77777777" w:rsidR="00883BB8" w:rsidRDefault="00000000">
            <w:pPr>
              <w:pStyle w:val="Compact"/>
            </w:pPr>
            <w:r>
              <w:t>S/H</w:t>
            </w:r>
          </w:p>
        </w:tc>
      </w:tr>
      <w:tr w:rsidR="00883BB8" w14:paraId="12DDCD0B" w14:textId="77777777">
        <w:tc>
          <w:tcPr>
            <w:tcW w:w="0" w:type="auto"/>
          </w:tcPr>
          <w:p w14:paraId="0BFDF035" w14:textId="77777777" w:rsidR="00883BB8" w:rsidRDefault="00000000">
            <w:pPr>
              <w:pStyle w:val="Compact"/>
            </w:pPr>
            <w:r>
              <w:t>Llama 3.1 (8B/70B)</w:t>
            </w:r>
          </w:p>
        </w:tc>
        <w:tc>
          <w:tcPr>
            <w:tcW w:w="0" w:type="auto"/>
          </w:tcPr>
          <w:p w14:paraId="27F4C991" w14:textId="77777777" w:rsidR="00883BB8" w:rsidRDefault="00000000">
            <w:pPr>
              <w:pStyle w:val="Compact"/>
            </w:pPr>
            <w:r>
              <w:t>Strong general model family</w:t>
            </w:r>
          </w:p>
        </w:tc>
        <w:tc>
          <w:tcPr>
            <w:tcW w:w="0" w:type="auto"/>
          </w:tcPr>
          <w:p w14:paraId="74E58EDF" w14:textId="77777777" w:rsidR="00883BB8" w:rsidRDefault="00000000">
            <w:pPr>
              <w:pStyle w:val="Compact"/>
            </w:pPr>
            <w:r>
              <w:t xml:space="preserve">128K context emphasized in Bedrock announcement for 3.1 models. </w:t>
            </w:r>
            <w:hyperlink r:id="rId70">
              <w:r>
                <w:rPr>
                  <w:rStyle w:val="Hyperlink"/>
                </w:rPr>
                <w:t>[54]</w:t>
              </w:r>
            </w:hyperlink>
          </w:p>
        </w:tc>
        <w:tc>
          <w:tcPr>
            <w:tcW w:w="0" w:type="auto"/>
          </w:tcPr>
          <w:p w14:paraId="25A700FE" w14:textId="77777777" w:rsidR="00883BB8" w:rsidRDefault="00000000">
            <w:pPr>
              <w:pStyle w:val="Compact"/>
            </w:pPr>
            <w:r>
              <w:t>H (70B often), S/H (8B)</w:t>
            </w:r>
          </w:p>
        </w:tc>
      </w:tr>
      <w:tr w:rsidR="00883BB8" w14:paraId="0E739628" w14:textId="77777777">
        <w:tc>
          <w:tcPr>
            <w:tcW w:w="0" w:type="auto"/>
          </w:tcPr>
          <w:p w14:paraId="620FDE62" w14:textId="77777777" w:rsidR="00883BB8" w:rsidRDefault="00000000">
            <w:pPr>
              <w:pStyle w:val="Compact"/>
            </w:pPr>
            <w:r>
              <w:t>DeepSeek‑Coder‑V2 (16B/236B)</w:t>
            </w:r>
          </w:p>
        </w:tc>
        <w:tc>
          <w:tcPr>
            <w:tcW w:w="0" w:type="auto"/>
          </w:tcPr>
          <w:p w14:paraId="15D34912" w14:textId="77777777" w:rsidR="00883BB8" w:rsidRDefault="00000000">
            <w:pPr>
              <w:pStyle w:val="Compact"/>
            </w:pPr>
            <w:r>
              <w:t>Code-heavy pipelines (agents, ETL, tooling)</w:t>
            </w:r>
          </w:p>
        </w:tc>
        <w:tc>
          <w:tcPr>
            <w:tcW w:w="0" w:type="auto"/>
          </w:tcPr>
          <w:p w14:paraId="65A6E77E" w14:textId="77777777" w:rsidR="00883BB8" w:rsidRDefault="00000000">
            <w:pPr>
              <w:pStyle w:val="Compact"/>
            </w:pPr>
            <w:r>
              <w:t xml:space="preserve">Paper abstract states context extended to 128K and expanded language support; ar5iv text gives additional details. </w:t>
            </w:r>
            <w:hyperlink r:id="rId71">
              <w:r>
                <w:rPr>
                  <w:rStyle w:val="Hyperlink"/>
                </w:rPr>
                <w:t>[55]</w:t>
              </w:r>
            </w:hyperlink>
          </w:p>
        </w:tc>
        <w:tc>
          <w:tcPr>
            <w:tcW w:w="0" w:type="auto"/>
          </w:tcPr>
          <w:p w14:paraId="4F0BB034" w14:textId="77777777" w:rsidR="00883BB8" w:rsidRDefault="00000000">
            <w:pPr>
              <w:pStyle w:val="Compact"/>
            </w:pPr>
            <w:r>
              <w:t>H (16B), C or specialized H (236B)</w:t>
            </w:r>
          </w:p>
        </w:tc>
      </w:tr>
    </w:tbl>
    <w:p w14:paraId="03543927" w14:textId="77777777" w:rsidR="00883BB8" w:rsidRDefault="00000000">
      <w:pPr>
        <w:pStyle w:val="BodyText"/>
      </w:pPr>
      <w:r>
        <w:t>V2 intentionally avoids “hard binding” to any single model: periodic review is expected.</w:t>
      </w:r>
    </w:p>
    <w:p w14:paraId="51213E9F" w14:textId="77777777" w:rsidR="00883BB8" w:rsidRDefault="00000000">
      <w:pPr>
        <w:pStyle w:val="Heading3"/>
      </w:pPr>
      <w:bookmarkStart w:id="33" w:name="disaster-recovery-and-backups"/>
      <w:bookmarkEnd w:id="32"/>
      <w:r>
        <w:t>Disaster recovery and backups</w:t>
      </w:r>
    </w:p>
    <w:p w14:paraId="036C2F1D" w14:textId="77777777" w:rsidR="00883BB8" w:rsidRDefault="00000000">
      <w:pPr>
        <w:pStyle w:val="FirstParagraph"/>
      </w:pPr>
      <w:r>
        <w:t>V2 treats DR as part of sovereignty: the system is not sovereign if it cannot be reliably restored.</w:t>
      </w:r>
    </w:p>
    <w:p w14:paraId="68580B61" w14:textId="77777777" w:rsidR="00883BB8" w:rsidRDefault="00000000">
      <w:pPr>
        <w:pStyle w:val="BodyText"/>
      </w:pPr>
      <w:r>
        <w:t xml:space="preserve">Baseline aligned to the contingency planning notion of having recovery strategies and maintenance/testing of plans. </w:t>
      </w:r>
      <w:hyperlink r:id="rId72">
        <w:r>
          <w:rPr>
            <w:rStyle w:val="Hyperlink"/>
          </w:rPr>
          <w:t>[56]</w:t>
        </w:r>
      </w:hyperlink>
    </w:p>
    <w:p w14:paraId="14B969A6" w14:textId="77777777" w:rsidR="00883BB8" w:rsidRDefault="00000000">
      <w:pPr>
        <w:pStyle w:val="BodyText"/>
      </w:pPr>
      <w:r>
        <w:t>Recommended minimum DR controls:</w:t>
      </w:r>
    </w:p>
    <w:p w14:paraId="2816BDE1" w14:textId="77777777" w:rsidR="00883BB8" w:rsidRDefault="00000000">
      <w:pPr>
        <w:pStyle w:val="Compact"/>
        <w:numPr>
          <w:ilvl w:val="0"/>
          <w:numId w:val="22"/>
        </w:numPr>
      </w:pPr>
      <w:r>
        <w:rPr>
          <w:b/>
          <w:bCs/>
        </w:rPr>
        <w:t>Backups by data class:</w:t>
      </w:r>
    </w:p>
    <w:p w14:paraId="0B7F198A" w14:textId="77777777" w:rsidR="00883BB8" w:rsidRDefault="00000000">
      <w:pPr>
        <w:pStyle w:val="Compact"/>
        <w:numPr>
          <w:ilvl w:val="0"/>
          <w:numId w:val="22"/>
        </w:numPr>
      </w:pPr>
      <w:r>
        <w:t>DB (Postgres): PITR-capable backups (WAL archiving) to encrypted offline storage.</w:t>
      </w:r>
    </w:p>
    <w:p w14:paraId="26036A79" w14:textId="77777777" w:rsidR="00883BB8" w:rsidRDefault="00000000">
      <w:pPr>
        <w:pStyle w:val="Compact"/>
        <w:numPr>
          <w:ilvl w:val="0"/>
          <w:numId w:val="22"/>
        </w:numPr>
      </w:pPr>
      <w:r>
        <w:t>Knowledge graph: periodic dumps + config snapshots.</w:t>
      </w:r>
    </w:p>
    <w:p w14:paraId="6C18654B" w14:textId="77777777" w:rsidR="00883BB8" w:rsidRDefault="00000000">
      <w:pPr>
        <w:pStyle w:val="Compact"/>
        <w:numPr>
          <w:ilvl w:val="0"/>
          <w:numId w:val="22"/>
        </w:numPr>
      </w:pPr>
      <w:r>
        <w:t>Model artifacts: versioned manifests; reproducible pull scripts.</w:t>
      </w:r>
    </w:p>
    <w:p w14:paraId="7EF2D711" w14:textId="77777777" w:rsidR="00883BB8" w:rsidRDefault="00000000">
      <w:pPr>
        <w:pStyle w:val="Compact"/>
        <w:numPr>
          <w:ilvl w:val="0"/>
          <w:numId w:val="22"/>
        </w:numPr>
      </w:pPr>
      <w:r>
        <w:rPr>
          <w:b/>
          <w:bCs/>
        </w:rPr>
        <w:t>Immutable audit log archives:</w:t>
      </w:r>
      <w:r>
        <w:t xml:space="preserve"> store daily signed hash checkpoints separate from the primary host. </w:t>
      </w:r>
      <w:hyperlink r:id="rId73">
        <w:r>
          <w:rPr>
            <w:rStyle w:val="Hyperlink"/>
          </w:rPr>
          <w:t>[33]</w:t>
        </w:r>
      </w:hyperlink>
    </w:p>
    <w:p w14:paraId="4531ABE0" w14:textId="77777777" w:rsidR="00883BB8" w:rsidRDefault="00000000">
      <w:pPr>
        <w:pStyle w:val="Compact"/>
        <w:numPr>
          <w:ilvl w:val="0"/>
          <w:numId w:val="22"/>
        </w:numPr>
      </w:pPr>
      <w:r>
        <w:rPr>
          <w:b/>
          <w:bCs/>
        </w:rPr>
        <w:t>Restore drills:</w:t>
      </w:r>
      <w:r>
        <w:t xml:space="preserve"> quarterly restore test to a clean machine image (measured RTO/RPO).</w:t>
      </w:r>
    </w:p>
    <w:p w14:paraId="1D9B7E3A" w14:textId="77777777" w:rsidR="00883BB8" w:rsidRDefault="00000000">
      <w:pPr>
        <w:pStyle w:val="Compact"/>
        <w:numPr>
          <w:ilvl w:val="0"/>
          <w:numId w:val="22"/>
        </w:numPr>
      </w:pPr>
      <w:r>
        <w:rPr>
          <w:b/>
          <w:bCs/>
        </w:rPr>
        <w:t>Golden images:</w:t>
      </w:r>
      <w:r>
        <w:t xml:space="preserve"> a base OS + container images pinned to digests for reproducibility.</w:t>
      </w:r>
    </w:p>
    <w:p w14:paraId="71464657" w14:textId="77777777" w:rsidR="00883BB8" w:rsidRDefault="00000000">
      <w:pPr>
        <w:pStyle w:val="Heading3"/>
      </w:pPr>
      <w:bookmarkStart w:id="34" w:name="governance-cadence"/>
      <w:bookmarkEnd w:id="33"/>
      <w:r>
        <w:t>Governance cadence</w:t>
      </w:r>
    </w:p>
    <w:p w14:paraId="30057E8D" w14:textId="77777777" w:rsidR="00883BB8" w:rsidRDefault="00000000">
      <w:pPr>
        <w:pStyle w:val="FirstParagraph"/>
      </w:pPr>
      <w:r>
        <w:t xml:space="preserve">V2 recommends an explicit governance cycle because the AI/tooling landscape changes rapidly and introduces new risk. This is consistent with AI RMF framing that risk management must adapt as AI technologies develop and be operationalized over time. </w:t>
      </w:r>
      <w:hyperlink r:id="rId74">
        <w:r>
          <w:rPr>
            <w:rStyle w:val="Hyperlink"/>
          </w:rPr>
          <w:t>[57]</w:t>
        </w:r>
      </w:hyperlink>
    </w:p>
    <w:p w14:paraId="5DD4C64E" w14:textId="77777777" w:rsidR="00883BB8" w:rsidRDefault="00000000">
      <w:pPr>
        <w:pStyle w:val="BodyText"/>
      </w:pPr>
      <w:r>
        <w:t>Cadence recommendation:</w:t>
      </w:r>
    </w:p>
    <w:p w14:paraId="46C88B6E" w14:textId="77777777" w:rsidR="00883BB8" w:rsidRDefault="00000000">
      <w:pPr>
        <w:pStyle w:val="Compact"/>
        <w:numPr>
          <w:ilvl w:val="0"/>
          <w:numId w:val="23"/>
        </w:numPr>
      </w:pPr>
      <w:r>
        <w:rPr>
          <w:b/>
          <w:bCs/>
        </w:rPr>
        <w:lastRenderedPageBreak/>
        <w:t>Monthly:</w:t>
      </w:r>
      <w:r>
        <w:t xml:space="preserve"> metrics review (latency, errors, tier utilization, redaction failures).</w:t>
      </w:r>
    </w:p>
    <w:p w14:paraId="1699E6C9" w14:textId="77777777" w:rsidR="00883BB8" w:rsidRDefault="00000000">
      <w:pPr>
        <w:pStyle w:val="Compact"/>
        <w:numPr>
          <w:ilvl w:val="0"/>
          <w:numId w:val="23"/>
        </w:numPr>
      </w:pPr>
      <w:r>
        <w:rPr>
          <w:b/>
          <w:bCs/>
        </w:rPr>
        <w:t>Quarterly (every ~90 days):</w:t>
      </w:r>
      <w:r>
        <w:t xml:space="preserve"> model + tool portfolio review; security posture assessment; DR drill. </w:t>
      </w:r>
      <w:hyperlink r:id="rId75">
        <w:r>
          <w:rPr>
            <w:rStyle w:val="Hyperlink"/>
          </w:rPr>
          <w:t>[58]</w:t>
        </w:r>
      </w:hyperlink>
    </w:p>
    <w:p w14:paraId="29376F1C" w14:textId="77777777" w:rsidR="00883BB8" w:rsidRDefault="00000000">
      <w:pPr>
        <w:pStyle w:val="Compact"/>
        <w:numPr>
          <w:ilvl w:val="0"/>
          <w:numId w:val="23"/>
        </w:numPr>
      </w:pPr>
      <w:r>
        <w:rPr>
          <w:b/>
          <w:bCs/>
        </w:rPr>
        <w:t>Semiannual:</w:t>
      </w:r>
      <w:r>
        <w:t xml:space="preserve"> policy review for sensitivity mapping; audit retention review.</w:t>
      </w:r>
    </w:p>
    <w:p w14:paraId="4EAE4097" w14:textId="77777777" w:rsidR="00883BB8" w:rsidRDefault="00000000">
      <w:pPr>
        <w:pStyle w:val="Compact"/>
        <w:numPr>
          <w:ilvl w:val="0"/>
          <w:numId w:val="23"/>
        </w:numPr>
      </w:pPr>
      <w:r>
        <w:rPr>
          <w:b/>
          <w:bCs/>
        </w:rPr>
        <w:t>Annual:</w:t>
      </w:r>
      <w:r>
        <w:t xml:space="preserve"> architecture review, threat model update, “sovereignty audit” (prove no Level 3–4 data left Tier S/H).</w:t>
      </w:r>
    </w:p>
    <w:p w14:paraId="0DF0BC45" w14:textId="77777777" w:rsidR="00883BB8" w:rsidRDefault="00000000">
      <w:pPr>
        <w:pStyle w:val="Heading3"/>
      </w:pPr>
      <w:bookmarkStart w:id="35" w:name="twelvemonth-roadmap"/>
      <w:bookmarkEnd w:id="34"/>
      <w:r>
        <w:t>Twelve‑month roadmap</w:t>
      </w:r>
    </w:p>
    <w:p w14:paraId="67736D9E" w14:textId="77777777" w:rsidR="00883BB8" w:rsidRDefault="00000000">
      <w:pPr>
        <w:pStyle w:val="FirstParagraph"/>
      </w:pPr>
      <w:r>
        <w:t>Assumptions: exact infra sizes, concurrency, and user counts are open-ended; milestones focus on control plane maturity and measurable outcomes.</w:t>
      </w:r>
    </w:p>
    <w:tbl>
      <w:tblPr>
        <w:tblStyle w:val="Table"/>
        <w:tblW w:w="0" w:type="auto"/>
        <w:tblLook w:val="0020" w:firstRow="1" w:lastRow="0" w:firstColumn="0" w:lastColumn="0" w:noHBand="0" w:noVBand="0"/>
      </w:tblPr>
      <w:tblGrid>
        <w:gridCol w:w="1247"/>
        <w:gridCol w:w="2488"/>
        <w:gridCol w:w="5625"/>
      </w:tblGrid>
      <w:tr w:rsidR="00883BB8" w14:paraId="15B300D5" w14:textId="77777777" w:rsidTr="00883BB8">
        <w:trPr>
          <w:cnfStyle w:val="100000000000" w:firstRow="1" w:lastRow="0" w:firstColumn="0" w:lastColumn="0" w:oddVBand="0" w:evenVBand="0" w:oddHBand="0" w:evenHBand="0" w:firstRowFirstColumn="0" w:firstRowLastColumn="0" w:lastRowFirstColumn="0" w:lastRowLastColumn="0"/>
          <w:tblHeader/>
        </w:trPr>
        <w:tc>
          <w:tcPr>
            <w:tcW w:w="0" w:type="auto"/>
          </w:tcPr>
          <w:p w14:paraId="52413C56" w14:textId="77777777" w:rsidR="00883BB8" w:rsidRDefault="00000000">
            <w:pPr>
              <w:pStyle w:val="Compact"/>
            </w:pPr>
            <w:r>
              <w:t>Time window</w:t>
            </w:r>
          </w:p>
        </w:tc>
        <w:tc>
          <w:tcPr>
            <w:tcW w:w="0" w:type="auto"/>
          </w:tcPr>
          <w:p w14:paraId="2BB48556" w14:textId="77777777" w:rsidR="00883BB8" w:rsidRDefault="00000000">
            <w:pPr>
              <w:pStyle w:val="Compact"/>
            </w:pPr>
            <w:r>
              <w:t>Milestone</w:t>
            </w:r>
          </w:p>
        </w:tc>
        <w:tc>
          <w:tcPr>
            <w:tcW w:w="0" w:type="auto"/>
          </w:tcPr>
          <w:p w14:paraId="476C02C4" w14:textId="77777777" w:rsidR="00883BB8" w:rsidRDefault="00000000">
            <w:pPr>
              <w:pStyle w:val="Compact"/>
            </w:pPr>
            <w:r>
              <w:t>Deliverable definition (measurable)</w:t>
            </w:r>
          </w:p>
        </w:tc>
      </w:tr>
      <w:tr w:rsidR="00883BB8" w14:paraId="09B0F394" w14:textId="77777777">
        <w:tc>
          <w:tcPr>
            <w:tcW w:w="0" w:type="auto"/>
          </w:tcPr>
          <w:p w14:paraId="0F33A6E0" w14:textId="77777777" w:rsidR="00883BB8" w:rsidRDefault="00000000">
            <w:pPr>
              <w:pStyle w:val="Compact"/>
            </w:pPr>
            <w:r>
              <w:t>Months 1–2</w:t>
            </w:r>
          </w:p>
        </w:tc>
        <w:tc>
          <w:tcPr>
            <w:tcW w:w="0" w:type="auto"/>
          </w:tcPr>
          <w:p w14:paraId="4B959B64" w14:textId="77777777" w:rsidR="00883BB8" w:rsidRDefault="00000000">
            <w:pPr>
              <w:pStyle w:val="Compact"/>
            </w:pPr>
            <w:r>
              <w:t>Control plane MVP</w:t>
            </w:r>
          </w:p>
        </w:tc>
        <w:tc>
          <w:tcPr>
            <w:tcW w:w="0" w:type="auto"/>
          </w:tcPr>
          <w:p w14:paraId="45773820" w14:textId="77777777" w:rsidR="00883BB8" w:rsidRDefault="00000000">
            <w:pPr>
              <w:pStyle w:val="Compact"/>
            </w:pPr>
            <w:r>
              <w:t xml:space="preserve">Sensitivity classification 0–4 enforced; router working for local + one cloud provider; deny-by-default policies live. </w:t>
            </w:r>
            <w:hyperlink r:id="rId76">
              <w:r>
                <w:rPr>
                  <w:rStyle w:val="Hyperlink"/>
                </w:rPr>
                <w:t>[5]</w:t>
              </w:r>
            </w:hyperlink>
          </w:p>
        </w:tc>
      </w:tr>
      <w:tr w:rsidR="00883BB8" w14:paraId="673F1124" w14:textId="77777777">
        <w:tc>
          <w:tcPr>
            <w:tcW w:w="0" w:type="auto"/>
          </w:tcPr>
          <w:p w14:paraId="647D20F9" w14:textId="77777777" w:rsidR="00883BB8" w:rsidRDefault="00000000">
            <w:pPr>
              <w:pStyle w:val="Compact"/>
            </w:pPr>
            <w:r>
              <w:t>Months 2–3</w:t>
            </w:r>
          </w:p>
        </w:tc>
        <w:tc>
          <w:tcPr>
            <w:tcW w:w="0" w:type="auto"/>
          </w:tcPr>
          <w:p w14:paraId="2F66D0BE" w14:textId="77777777" w:rsidR="00883BB8" w:rsidRDefault="00000000">
            <w:pPr>
              <w:pStyle w:val="Compact"/>
            </w:pPr>
            <w:r>
              <w:t>Audit + telemetry foundation</w:t>
            </w:r>
          </w:p>
        </w:tc>
        <w:tc>
          <w:tcPr>
            <w:tcW w:w="0" w:type="auto"/>
          </w:tcPr>
          <w:p w14:paraId="1662CC29" w14:textId="77777777" w:rsidR="00883BB8" w:rsidRDefault="00000000">
            <w:pPr>
              <w:pStyle w:val="Compact"/>
            </w:pPr>
            <w:r>
              <w:t xml:space="preserve">Structured logs + hash chain; trace_id/span_id across router + tools; baseline dashboards (latency p95, error rate). </w:t>
            </w:r>
            <w:hyperlink r:id="rId77">
              <w:r>
                <w:rPr>
                  <w:rStyle w:val="Hyperlink"/>
                </w:rPr>
                <w:t>[6]</w:t>
              </w:r>
            </w:hyperlink>
          </w:p>
        </w:tc>
      </w:tr>
      <w:tr w:rsidR="00883BB8" w14:paraId="53B1F6E5" w14:textId="77777777">
        <w:tc>
          <w:tcPr>
            <w:tcW w:w="0" w:type="auto"/>
          </w:tcPr>
          <w:p w14:paraId="79818085" w14:textId="77777777" w:rsidR="00883BB8" w:rsidRDefault="00000000">
            <w:pPr>
              <w:pStyle w:val="Compact"/>
            </w:pPr>
            <w:r>
              <w:t>Months 3–4</w:t>
            </w:r>
          </w:p>
        </w:tc>
        <w:tc>
          <w:tcPr>
            <w:tcW w:w="0" w:type="auto"/>
          </w:tcPr>
          <w:p w14:paraId="782C647A" w14:textId="77777777" w:rsidR="00883BB8" w:rsidRDefault="00000000">
            <w:pPr>
              <w:pStyle w:val="Compact"/>
            </w:pPr>
            <w:r>
              <w:t>Tier S containment hardening</w:t>
            </w:r>
          </w:p>
        </w:tc>
        <w:tc>
          <w:tcPr>
            <w:tcW w:w="0" w:type="auto"/>
          </w:tcPr>
          <w:p w14:paraId="5A178764" w14:textId="77777777" w:rsidR="00883BB8" w:rsidRDefault="00000000">
            <w:pPr>
              <w:pStyle w:val="Compact"/>
            </w:pPr>
            <w:r>
              <w:t xml:space="preserve">Containerized agents; userns remap; read-only roots; egress-deny enforced; secrets hygiene checks. </w:t>
            </w:r>
            <w:hyperlink r:id="rId78">
              <w:r>
                <w:rPr>
                  <w:rStyle w:val="Hyperlink"/>
                </w:rPr>
                <w:t>[7]</w:t>
              </w:r>
            </w:hyperlink>
          </w:p>
        </w:tc>
      </w:tr>
      <w:tr w:rsidR="00883BB8" w14:paraId="4B3C48AF" w14:textId="77777777">
        <w:tc>
          <w:tcPr>
            <w:tcW w:w="0" w:type="auto"/>
          </w:tcPr>
          <w:p w14:paraId="6D599AC9" w14:textId="77777777" w:rsidR="00883BB8" w:rsidRDefault="00000000">
            <w:pPr>
              <w:pStyle w:val="Compact"/>
            </w:pPr>
            <w:r>
              <w:t>Months 4–6</w:t>
            </w:r>
          </w:p>
        </w:tc>
        <w:tc>
          <w:tcPr>
            <w:tcW w:w="0" w:type="auto"/>
          </w:tcPr>
          <w:p w14:paraId="21940AEE" w14:textId="77777777" w:rsidR="00883BB8" w:rsidRDefault="00000000">
            <w:pPr>
              <w:pStyle w:val="Compact"/>
            </w:pPr>
            <w:r>
              <w:t>Tier H self-host suite</w:t>
            </w:r>
          </w:p>
        </w:tc>
        <w:tc>
          <w:tcPr>
            <w:tcW w:w="0" w:type="auto"/>
          </w:tcPr>
          <w:p w14:paraId="47741451" w14:textId="77777777" w:rsidR="00883BB8" w:rsidRDefault="00000000">
            <w:pPr>
              <w:pStyle w:val="Compact"/>
            </w:pPr>
            <w:r>
              <w:t xml:space="preserve">SearxNG deployed + integrated; Neo4j optional pilot; failover rules implemented and tested. </w:t>
            </w:r>
            <w:hyperlink r:id="rId79">
              <w:r>
                <w:rPr>
                  <w:rStyle w:val="Hyperlink"/>
                </w:rPr>
                <w:t>[59]</w:t>
              </w:r>
            </w:hyperlink>
          </w:p>
        </w:tc>
      </w:tr>
      <w:tr w:rsidR="00883BB8" w14:paraId="057B3CBF" w14:textId="77777777">
        <w:tc>
          <w:tcPr>
            <w:tcW w:w="0" w:type="auto"/>
          </w:tcPr>
          <w:p w14:paraId="62BD3292" w14:textId="77777777" w:rsidR="00883BB8" w:rsidRDefault="00000000">
            <w:pPr>
              <w:pStyle w:val="Compact"/>
            </w:pPr>
            <w:r>
              <w:t>Months 6–8</w:t>
            </w:r>
          </w:p>
        </w:tc>
        <w:tc>
          <w:tcPr>
            <w:tcW w:w="0" w:type="auto"/>
          </w:tcPr>
          <w:p w14:paraId="0F49F272" w14:textId="77777777" w:rsidR="00883BB8" w:rsidRDefault="00000000">
            <w:pPr>
              <w:pStyle w:val="Compact"/>
            </w:pPr>
            <w:r>
              <w:t>Benchmark suite + capacity planning</w:t>
            </w:r>
          </w:p>
        </w:tc>
        <w:tc>
          <w:tcPr>
            <w:tcW w:w="0" w:type="auto"/>
          </w:tcPr>
          <w:p w14:paraId="22E6A601" w14:textId="77777777" w:rsidR="00883BB8" w:rsidRDefault="00000000">
            <w:pPr>
              <w:pStyle w:val="Compact"/>
            </w:pPr>
            <w:r>
              <w:t xml:space="preserve">Standard chain benchmarks integrated into CI; cost/energy model calibrated with real wall power; SLA targets set. </w:t>
            </w:r>
            <w:hyperlink r:id="rId80">
              <w:r>
                <w:rPr>
                  <w:rStyle w:val="Hyperlink"/>
                </w:rPr>
                <w:t>[60]</w:t>
              </w:r>
            </w:hyperlink>
          </w:p>
        </w:tc>
      </w:tr>
      <w:tr w:rsidR="00883BB8" w14:paraId="6E920E2C" w14:textId="77777777">
        <w:tc>
          <w:tcPr>
            <w:tcW w:w="0" w:type="auto"/>
          </w:tcPr>
          <w:p w14:paraId="63D630B2" w14:textId="77777777" w:rsidR="00883BB8" w:rsidRDefault="00000000">
            <w:pPr>
              <w:pStyle w:val="Compact"/>
            </w:pPr>
            <w:r>
              <w:t>Months 8–10</w:t>
            </w:r>
          </w:p>
        </w:tc>
        <w:tc>
          <w:tcPr>
            <w:tcW w:w="0" w:type="auto"/>
          </w:tcPr>
          <w:p w14:paraId="2B16F72E" w14:textId="77777777" w:rsidR="00883BB8" w:rsidRDefault="00000000">
            <w:pPr>
              <w:pStyle w:val="Compact"/>
            </w:pPr>
            <w:r>
              <w:t>Governance + DR maturity</w:t>
            </w:r>
          </w:p>
        </w:tc>
        <w:tc>
          <w:tcPr>
            <w:tcW w:w="0" w:type="auto"/>
          </w:tcPr>
          <w:p w14:paraId="2B15635F" w14:textId="77777777" w:rsidR="00883BB8" w:rsidRDefault="00000000">
            <w:pPr>
              <w:pStyle w:val="Compact"/>
            </w:pPr>
            <w:r>
              <w:t xml:space="preserve">Quarterly restore drills; policy versioning; drift reviews; automated reporting of tier usage and redaction outcomes. </w:t>
            </w:r>
            <w:hyperlink r:id="rId81">
              <w:r>
                <w:rPr>
                  <w:rStyle w:val="Hyperlink"/>
                </w:rPr>
                <w:t>[61]</w:t>
              </w:r>
            </w:hyperlink>
          </w:p>
        </w:tc>
      </w:tr>
      <w:tr w:rsidR="00883BB8" w14:paraId="2862F612" w14:textId="77777777">
        <w:tc>
          <w:tcPr>
            <w:tcW w:w="0" w:type="auto"/>
          </w:tcPr>
          <w:p w14:paraId="7436A5F1" w14:textId="77777777" w:rsidR="00883BB8" w:rsidRDefault="00000000">
            <w:pPr>
              <w:pStyle w:val="Compact"/>
            </w:pPr>
            <w:r>
              <w:t>Months 10–12</w:t>
            </w:r>
          </w:p>
        </w:tc>
        <w:tc>
          <w:tcPr>
            <w:tcW w:w="0" w:type="auto"/>
          </w:tcPr>
          <w:p w14:paraId="6F890768" w14:textId="77777777" w:rsidR="00883BB8" w:rsidRDefault="00000000">
            <w:pPr>
              <w:pStyle w:val="Compact"/>
            </w:pPr>
            <w:r>
              <w:t>Orchestration optimization</w:t>
            </w:r>
          </w:p>
        </w:tc>
        <w:tc>
          <w:tcPr>
            <w:tcW w:w="0" w:type="auto"/>
          </w:tcPr>
          <w:p w14:paraId="76EE2088" w14:textId="77777777" w:rsidR="00883BB8" w:rsidRDefault="00000000">
            <w:pPr>
              <w:pStyle w:val="Compact"/>
            </w:pPr>
            <w:r>
              <w:t xml:space="preserve">Evaluate AutoGen vs CrewAI under identical router/policy constraints; adopt one or maintain abstraction if parity. </w:t>
            </w:r>
            <w:hyperlink r:id="rId82">
              <w:r>
                <w:rPr>
                  <w:rStyle w:val="Hyperlink"/>
                </w:rPr>
                <w:t>[62]</w:t>
              </w:r>
            </w:hyperlink>
          </w:p>
        </w:tc>
      </w:tr>
    </w:tbl>
    <w:p w14:paraId="7786E355" w14:textId="77777777" w:rsidR="00883BB8" w:rsidRDefault="00000000">
      <w:pPr>
        <w:pStyle w:val="Heading3"/>
      </w:pPr>
      <w:bookmarkStart w:id="36" w:name="control-plane-flow-diagram"/>
      <w:bookmarkEnd w:id="35"/>
      <w:r>
        <w:t>Control-plane flow diagram</w:t>
      </w:r>
    </w:p>
    <w:p w14:paraId="0CCC2912" w14:textId="77777777" w:rsidR="00883BB8" w:rsidRDefault="00000000">
      <w:pPr>
        <w:pStyle w:val="SourceCode"/>
      </w:pPr>
      <w:r>
        <w:rPr>
          <w:rStyle w:val="VerbatimChar"/>
        </w:rPr>
        <w:t>flowchart LR</w:t>
      </w:r>
      <w:r>
        <w:br/>
      </w:r>
      <w:r>
        <w:rPr>
          <w:rStyle w:val="VerbatimChar"/>
        </w:rPr>
        <w:t xml:space="preserve">  A[Request arrives] --&gt; B[Classify\nsensitivity 0-4 + task]</w:t>
      </w:r>
      <w:r>
        <w:br/>
      </w:r>
      <w:r>
        <w:rPr>
          <w:rStyle w:val="VerbatimChar"/>
        </w:rPr>
        <w:t xml:space="preserve">  B --&gt; C[Policy engine\nallow/ask/deny + redaction]</w:t>
      </w:r>
      <w:r>
        <w:br/>
      </w:r>
      <w:r>
        <w:rPr>
          <w:rStyle w:val="VerbatimChar"/>
        </w:rPr>
        <w:t xml:space="preserve">  C --&gt; D{Approval required?}</w:t>
      </w:r>
      <w:r>
        <w:br/>
      </w:r>
      <w:r>
        <w:rPr>
          <w:rStyle w:val="VerbatimChar"/>
        </w:rPr>
        <w:t xml:space="preserve">  D -- yes --&gt; E[Human approval captured]</w:t>
      </w:r>
      <w:r>
        <w:br/>
      </w:r>
      <w:r>
        <w:rPr>
          <w:rStyle w:val="VerbatimChar"/>
        </w:rPr>
        <w:t xml:space="preserve">  D -- no --&gt; F[Proceed]</w:t>
      </w:r>
      <w:r>
        <w:br/>
      </w:r>
      <w:r>
        <w:rPr>
          <w:rStyle w:val="VerbatimChar"/>
        </w:rPr>
        <w:t xml:space="preserve">  E --&gt; F</w:t>
      </w:r>
      <w:r>
        <w:br/>
      </w:r>
      <w:r>
        <w:rPr>
          <w:rStyle w:val="VerbatimChar"/>
        </w:rPr>
        <w:t xml:space="preserve">  F --&gt; G[Route decision\nTier S/H/C + provider]</w:t>
      </w:r>
      <w:r>
        <w:br/>
      </w:r>
      <w:r>
        <w:rPr>
          <w:rStyle w:val="VerbatimChar"/>
        </w:rPr>
        <w:lastRenderedPageBreak/>
        <w:t xml:space="preserve">  G --&gt; H[Execute chain\nmodel + tools]</w:t>
      </w:r>
      <w:r>
        <w:br/>
      </w:r>
      <w:r>
        <w:rPr>
          <w:rStyle w:val="VerbatimChar"/>
        </w:rPr>
        <w:t xml:space="preserve">  H --&gt; I{Error / saturation?}</w:t>
      </w:r>
      <w:r>
        <w:br/>
      </w:r>
      <w:r>
        <w:rPr>
          <w:rStyle w:val="VerbatimChar"/>
        </w:rPr>
        <w:t xml:space="preserve">  I -- no --&gt; J[Return output]</w:t>
      </w:r>
      <w:r>
        <w:br/>
      </w:r>
      <w:r>
        <w:rPr>
          <w:rStyle w:val="VerbatimChar"/>
        </w:rPr>
        <w:t xml:space="preserve">  I -- yes --&gt; K{Failover allowed by policy?}</w:t>
      </w:r>
      <w:r>
        <w:br/>
      </w:r>
      <w:r>
        <w:rPr>
          <w:rStyle w:val="VerbatimChar"/>
        </w:rPr>
        <w:t xml:space="preserve">  K -- no --&gt; L[Stop + escalate]</w:t>
      </w:r>
      <w:r>
        <w:br/>
      </w:r>
      <w:r>
        <w:rPr>
          <w:rStyle w:val="VerbatimChar"/>
        </w:rPr>
        <w:t xml:space="preserve">  K -- yes --&gt; M[Apply redaction if needed]</w:t>
      </w:r>
      <w:r>
        <w:br/>
      </w:r>
      <w:r>
        <w:rPr>
          <w:rStyle w:val="VerbatimChar"/>
        </w:rPr>
        <w:t xml:space="preserve">  M --&gt; G</w:t>
      </w:r>
      <w:r>
        <w:br/>
      </w:r>
      <w:r>
        <w:rPr>
          <w:rStyle w:val="VerbatimChar"/>
        </w:rPr>
        <w:t xml:space="preserve">  H --&gt; N[Audit + telemetry\nhashes + trace]</w:t>
      </w:r>
      <w:r>
        <w:br/>
      </w:r>
      <w:r>
        <w:rPr>
          <w:rStyle w:val="VerbatimChar"/>
        </w:rPr>
        <w:t xml:space="preserve">  N --&gt; J</w:t>
      </w:r>
    </w:p>
    <w:p w14:paraId="0F504E51" w14:textId="77777777" w:rsidR="00883BB8" w:rsidRDefault="00000000">
      <w:pPr>
        <w:pStyle w:val="FirstParagraph"/>
      </w:pPr>
      <w:r>
        <w:t>This flow ensures “failover” cannot bypass classification, approvals, or redaction.</w:t>
      </w:r>
    </w:p>
    <w:bookmarkEnd w:id="1"/>
    <w:bookmarkEnd w:id="2"/>
    <w:bookmarkEnd w:id="29"/>
    <w:bookmarkEnd w:id="36"/>
    <w:p w14:paraId="16D92470" w14:textId="77777777" w:rsidR="00883BB8" w:rsidRDefault="00000000">
      <w:r>
        <w:pict w14:anchorId="0BC0D972">
          <v:rect id="_x0000_i1025" style="width:0;height:1.5pt" o:hralign="center" o:hrstd="t" o:hr="t"/>
        </w:pict>
      </w:r>
    </w:p>
    <w:bookmarkStart w:id="37" w:name="citations"/>
    <w:p w14:paraId="23579A35" w14:textId="77777777" w:rsidR="00883BB8" w:rsidRDefault="00000000">
      <w:pPr>
        <w:pStyle w:val="FirstParagraph"/>
      </w:pPr>
      <w:r>
        <w:fldChar w:fldCharType="begin"/>
      </w:r>
      <w:r>
        <w:instrText>HYPERLINK "https://docs.anthropic.com/en/docs/mcp" \h</w:instrText>
      </w:r>
      <w:r>
        <w:fldChar w:fldCharType="separate"/>
      </w:r>
      <w:r>
        <w:rPr>
          <w:rStyle w:val="Hyperlink"/>
        </w:rPr>
        <w:t>[1]</w:t>
      </w:r>
      <w:r>
        <w:fldChar w:fldCharType="end"/>
      </w:r>
      <w:r>
        <w:t xml:space="preserve"> </w:t>
      </w:r>
      <w:hyperlink r:id="rId83">
        <w:r>
          <w:rPr>
            <w:rStyle w:val="Hyperlink"/>
          </w:rPr>
          <w:t>[2]</w:t>
        </w:r>
      </w:hyperlink>
      <w:r>
        <w:t xml:space="preserve"> </w:t>
      </w:r>
      <w:hyperlink r:id="rId84">
        <w:r>
          <w:rPr>
            <w:rStyle w:val="Hyperlink"/>
          </w:rPr>
          <w:t>[3]</w:t>
        </w:r>
      </w:hyperlink>
      <w:r>
        <w:t xml:space="preserve"> </w:t>
      </w:r>
      <w:hyperlink r:id="rId85">
        <w:r>
          <w:rPr>
            <w:rStyle w:val="Hyperlink"/>
          </w:rPr>
          <w:t>[4]</w:t>
        </w:r>
      </w:hyperlink>
      <w:r>
        <w:t xml:space="preserve"> </w:t>
      </w:r>
      <w:hyperlink r:id="rId86">
        <w:r>
          <w:rPr>
            <w:rStyle w:val="Hyperlink"/>
          </w:rPr>
          <w:t>[19]</w:t>
        </w:r>
      </w:hyperlink>
      <w:r>
        <w:t xml:space="preserve"> </w:t>
      </w:r>
      <w:hyperlink r:id="rId87">
        <w:r>
          <w:rPr>
            <w:rStyle w:val="Hyperlink"/>
          </w:rPr>
          <w:t>[27]</w:t>
        </w:r>
      </w:hyperlink>
      <w:r>
        <w:t xml:space="preserve"> </w:t>
      </w:r>
      <w:hyperlink r:id="rId88">
        <w:r>
          <w:rPr>
            <w:rStyle w:val="Hyperlink"/>
          </w:rPr>
          <w:t>[31]</w:t>
        </w:r>
      </w:hyperlink>
      <w:r>
        <w:t xml:space="preserve"> https://docs.anthropic.com/en/docs/mcp</w:t>
      </w:r>
    </w:p>
    <w:p w14:paraId="72C39B99" w14:textId="77777777" w:rsidR="00883BB8" w:rsidRDefault="00000000">
      <w:pPr>
        <w:pStyle w:val="BodyText"/>
      </w:pPr>
      <w:hyperlink r:id="rId89">
        <w:r>
          <w:rPr>
            <w:rStyle w:val="Hyperlink"/>
          </w:rPr>
          <w:t>https://docs.anthropic.com/en/docs/mcp</w:t>
        </w:r>
      </w:hyperlink>
    </w:p>
    <w:p w14:paraId="55352D33" w14:textId="77777777" w:rsidR="00883BB8" w:rsidRDefault="00000000">
      <w:pPr>
        <w:pStyle w:val="BodyText"/>
      </w:pPr>
      <w:hyperlink r:id="rId90">
        <w:r>
          <w:rPr>
            <w:rStyle w:val="Hyperlink"/>
          </w:rPr>
          <w:t>[5]</w:t>
        </w:r>
      </w:hyperlink>
      <w:r>
        <w:t xml:space="preserve"> </w:t>
      </w:r>
      <w:hyperlink r:id="rId91">
        <w:r>
          <w:rPr>
            <w:rStyle w:val="Hyperlink"/>
          </w:rPr>
          <w:t>[11]</w:t>
        </w:r>
      </w:hyperlink>
      <w:r>
        <w:t xml:space="preserve"> </w:t>
      </w:r>
      <w:hyperlink r:id="rId92">
        <w:r>
          <w:rPr>
            <w:rStyle w:val="Hyperlink"/>
          </w:rPr>
          <w:t>[20]</w:t>
        </w:r>
      </w:hyperlink>
      <w:r>
        <w:t xml:space="preserve"> https://www.nist.gov/publications/standards-security-categorization-federal-information-and-information-systems</w:t>
      </w:r>
    </w:p>
    <w:p w14:paraId="7413D7AA" w14:textId="77777777" w:rsidR="00883BB8" w:rsidRDefault="00000000">
      <w:pPr>
        <w:pStyle w:val="BodyText"/>
      </w:pPr>
      <w:hyperlink r:id="rId93">
        <w:r>
          <w:rPr>
            <w:rStyle w:val="Hyperlink"/>
          </w:rPr>
          <w:t>https://www.nist.gov/publications/standards-security-categorization-federal-information-and-information-systems</w:t>
        </w:r>
      </w:hyperlink>
    </w:p>
    <w:p w14:paraId="3845824E" w14:textId="77777777" w:rsidR="00883BB8" w:rsidRDefault="00000000">
      <w:pPr>
        <w:pStyle w:val="BodyText"/>
      </w:pPr>
      <w:hyperlink r:id="rId94">
        <w:r>
          <w:rPr>
            <w:rStyle w:val="Hyperlink"/>
          </w:rPr>
          <w:t>[6]</w:t>
        </w:r>
      </w:hyperlink>
      <w:r>
        <w:t xml:space="preserve"> </w:t>
      </w:r>
      <w:hyperlink r:id="rId95">
        <w:r>
          <w:rPr>
            <w:rStyle w:val="Hyperlink"/>
          </w:rPr>
          <w:t>[21]</w:t>
        </w:r>
      </w:hyperlink>
      <w:r>
        <w:t xml:space="preserve"> </w:t>
      </w:r>
      <w:hyperlink r:id="rId96">
        <w:r>
          <w:rPr>
            <w:rStyle w:val="Hyperlink"/>
          </w:rPr>
          <w:t>[33]</w:t>
        </w:r>
      </w:hyperlink>
      <w:r>
        <w:t xml:space="preserve"> </w:t>
      </w:r>
      <w:hyperlink r:id="rId97">
        <w:r>
          <w:rPr>
            <w:rStyle w:val="Hyperlink"/>
          </w:rPr>
          <w:t>[48]</w:t>
        </w:r>
      </w:hyperlink>
      <w:r>
        <w:t xml:space="preserve"> https://nist-sp-800-53-r5.bsafes.com/docs/3-3-audit-and-accountability/au-9-protection-of-audit-information/</w:t>
      </w:r>
    </w:p>
    <w:p w14:paraId="5DA4B364" w14:textId="77777777" w:rsidR="00883BB8" w:rsidRDefault="00000000">
      <w:pPr>
        <w:pStyle w:val="BodyText"/>
      </w:pPr>
      <w:hyperlink r:id="rId98">
        <w:r>
          <w:rPr>
            <w:rStyle w:val="Hyperlink"/>
          </w:rPr>
          <w:t>https://nist-sp-800-53-r5.bsafes.com/docs/3-3-audit-and-accountability/au-9-protection-of-audit-information/</w:t>
        </w:r>
      </w:hyperlink>
    </w:p>
    <w:p w14:paraId="1282E0FE" w14:textId="77777777" w:rsidR="00883BB8" w:rsidRDefault="00000000">
      <w:pPr>
        <w:pStyle w:val="BodyText"/>
      </w:pPr>
      <w:hyperlink r:id="rId99">
        <w:r>
          <w:rPr>
            <w:rStyle w:val="Hyperlink"/>
          </w:rPr>
          <w:t>[7]</w:t>
        </w:r>
      </w:hyperlink>
      <w:r>
        <w:t xml:space="preserve"> </w:t>
      </w:r>
      <w:hyperlink r:id="rId100">
        <w:r>
          <w:rPr>
            <w:rStyle w:val="Hyperlink"/>
          </w:rPr>
          <w:t>[28]</w:t>
        </w:r>
      </w:hyperlink>
      <w:r>
        <w:t xml:space="preserve"> https://docs.docker.com/engine/security/userns-remap/</w:t>
      </w:r>
    </w:p>
    <w:p w14:paraId="41FE25B3" w14:textId="77777777" w:rsidR="00883BB8" w:rsidRDefault="00000000">
      <w:pPr>
        <w:pStyle w:val="BodyText"/>
      </w:pPr>
      <w:hyperlink r:id="rId101">
        <w:r>
          <w:rPr>
            <w:rStyle w:val="Hyperlink"/>
          </w:rPr>
          <w:t>https://docs.docker.com/engine/security/userns-remap/</w:t>
        </w:r>
      </w:hyperlink>
    </w:p>
    <w:p w14:paraId="4DF90B0F" w14:textId="77777777" w:rsidR="00883BB8" w:rsidRDefault="00000000">
      <w:pPr>
        <w:pStyle w:val="BodyText"/>
      </w:pPr>
      <w:hyperlink r:id="rId102">
        <w:r>
          <w:rPr>
            <w:rStyle w:val="Hyperlink"/>
          </w:rPr>
          <w:t>[8]</w:t>
        </w:r>
      </w:hyperlink>
      <w:r>
        <w:t xml:space="preserve"> </w:t>
      </w:r>
      <w:hyperlink r:id="rId103">
        <w:r>
          <w:rPr>
            <w:rStyle w:val="Hyperlink"/>
          </w:rPr>
          <w:t>[38]</w:t>
        </w:r>
      </w:hyperlink>
      <w:r>
        <w:t xml:space="preserve"> </w:t>
      </w:r>
      <w:hyperlink r:id="rId104">
        <w:r>
          <w:rPr>
            <w:rStyle w:val="Hyperlink"/>
          </w:rPr>
          <w:t>[43]</w:t>
        </w:r>
      </w:hyperlink>
      <w:r>
        <w:t xml:space="preserve"> https://www.nvidia.com/en-me/geforce/graphics-cards/50-series/rtx-5080/</w:t>
      </w:r>
    </w:p>
    <w:p w14:paraId="662A1FC7" w14:textId="77777777" w:rsidR="00883BB8" w:rsidRDefault="00000000">
      <w:pPr>
        <w:pStyle w:val="BodyText"/>
      </w:pPr>
      <w:hyperlink r:id="rId105">
        <w:r>
          <w:rPr>
            <w:rStyle w:val="Hyperlink"/>
          </w:rPr>
          <w:t>https://www.nvidia.com/en-me/geforce/graphics-cards/50-series/rtx-5080/</w:t>
        </w:r>
      </w:hyperlink>
    </w:p>
    <w:p w14:paraId="7912139E" w14:textId="77777777" w:rsidR="00883BB8" w:rsidRDefault="00000000">
      <w:pPr>
        <w:pStyle w:val="BodyText"/>
      </w:pPr>
      <w:hyperlink r:id="rId106">
        <w:r>
          <w:rPr>
            <w:rStyle w:val="Hyperlink"/>
          </w:rPr>
          <w:t>[9]</w:t>
        </w:r>
      </w:hyperlink>
      <w:r>
        <w:t xml:space="preserve"> </w:t>
      </w:r>
      <w:hyperlink r:id="rId107">
        <w:r>
          <w:rPr>
            <w:rStyle w:val="Hyperlink"/>
          </w:rPr>
          <w:t>[12]</w:t>
        </w:r>
      </w:hyperlink>
      <w:r>
        <w:t xml:space="preserve"> </w:t>
      </w:r>
      <w:hyperlink r:id="rId108">
        <w:r>
          <w:rPr>
            <w:rStyle w:val="Hyperlink"/>
          </w:rPr>
          <w:t>[35]</w:t>
        </w:r>
      </w:hyperlink>
      <w:r>
        <w:t xml:space="preserve"> </w:t>
      </w:r>
      <w:hyperlink r:id="rId109">
        <w:r>
          <w:rPr>
            <w:rStyle w:val="Hyperlink"/>
          </w:rPr>
          <w:t>[41]</w:t>
        </w:r>
      </w:hyperlink>
      <w:r>
        <w:t xml:space="preserve"> </w:t>
      </w:r>
      <w:hyperlink r:id="rId110">
        <w:r>
          <w:rPr>
            <w:rStyle w:val="Hyperlink"/>
          </w:rPr>
          <w:t>[42]</w:t>
        </w:r>
      </w:hyperlink>
      <w:r>
        <w:t xml:space="preserve"> </w:t>
      </w:r>
      <w:hyperlink r:id="rId111">
        <w:r>
          <w:rPr>
            <w:rStyle w:val="Hyperlink"/>
          </w:rPr>
          <w:t>[60]</w:t>
        </w:r>
      </w:hyperlink>
      <w:r>
        <w:t xml:space="preserve"> https://ollama.readthedocs.io/en/api/</w:t>
      </w:r>
    </w:p>
    <w:p w14:paraId="45879E0B" w14:textId="77777777" w:rsidR="00883BB8" w:rsidRDefault="00000000">
      <w:pPr>
        <w:pStyle w:val="BodyText"/>
      </w:pPr>
      <w:hyperlink r:id="rId112">
        <w:r>
          <w:rPr>
            <w:rStyle w:val="Hyperlink"/>
          </w:rPr>
          <w:t>https://ollama.readthedocs.io/en/api/</w:t>
        </w:r>
      </w:hyperlink>
    </w:p>
    <w:p w14:paraId="7EC6D965" w14:textId="77777777" w:rsidR="00883BB8" w:rsidRDefault="00000000">
      <w:pPr>
        <w:pStyle w:val="BodyText"/>
      </w:pPr>
      <w:hyperlink r:id="rId113">
        <w:r>
          <w:rPr>
            <w:rStyle w:val="Hyperlink"/>
          </w:rPr>
          <w:t>[10]</w:t>
        </w:r>
      </w:hyperlink>
      <w:r>
        <w:t xml:space="preserve"> </w:t>
      </w:r>
      <w:hyperlink r:id="rId114">
        <w:r>
          <w:rPr>
            <w:rStyle w:val="Hyperlink"/>
          </w:rPr>
          <w:t>[13]</w:t>
        </w:r>
      </w:hyperlink>
      <w:r>
        <w:t xml:space="preserve"> </w:t>
      </w:r>
      <w:hyperlink r:id="rId115">
        <w:r>
          <w:rPr>
            <w:rStyle w:val="Hyperlink"/>
          </w:rPr>
          <w:t>[57]</w:t>
        </w:r>
      </w:hyperlink>
      <w:r>
        <w:t xml:space="preserve"> https://www.nist.gov/publications/artificial-intelligence-risk-management-framework-ai-rmf-10</w:t>
      </w:r>
    </w:p>
    <w:p w14:paraId="2D8EE9E2" w14:textId="77777777" w:rsidR="00883BB8" w:rsidRDefault="00000000">
      <w:pPr>
        <w:pStyle w:val="BodyText"/>
      </w:pPr>
      <w:hyperlink r:id="rId116">
        <w:r>
          <w:rPr>
            <w:rStyle w:val="Hyperlink"/>
          </w:rPr>
          <w:t>https://www.nist.gov/publications/artificial-intelligence-risk-management-framework-ai-rmf-10</w:t>
        </w:r>
      </w:hyperlink>
    </w:p>
    <w:p w14:paraId="5EAF560C" w14:textId="77777777" w:rsidR="00883BB8" w:rsidRDefault="00000000">
      <w:pPr>
        <w:pStyle w:val="BodyText"/>
      </w:pPr>
      <w:hyperlink r:id="rId117">
        <w:r>
          <w:rPr>
            <w:rStyle w:val="Hyperlink"/>
          </w:rPr>
          <w:t>[14]</w:t>
        </w:r>
      </w:hyperlink>
      <w:r>
        <w:t xml:space="preserve"> https://owasp.org/www-project-top-10-for-large-language-model-applications/</w:t>
      </w:r>
    </w:p>
    <w:p w14:paraId="0784E720" w14:textId="77777777" w:rsidR="00883BB8" w:rsidRDefault="00000000">
      <w:pPr>
        <w:pStyle w:val="BodyText"/>
      </w:pPr>
      <w:hyperlink r:id="rId118">
        <w:r>
          <w:rPr>
            <w:rStyle w:val="Hyperlink"/>
          </w:rPr>
          <w:t>https://owasp.org/www-project-top-10-for-large-language-model-applications/</w:t>
        </w:r>
      </w:hyperlink>
    </w:p>
    <w:p w14:paraId="10A36529" w14:textId="77777777" w:rsidR="00883BB8" w:rsidRDefault="00000000">
      <w:pPr>
        <w:pStyle w:val="BodyText"/>
      </w:pPr>
      <w:hyperlink r:id="rId119">
        <w:r>
          <w:rPr>
            <w:rStyle w:val="Hyperlink"/>
          </w:rPr>
          <w:t>[15]</w:t>
        </w:r>
      </w:hyperlink>
      <w:r>
        <w:t xml:space="preserve"> </w:t>
      </w:r>
      <w:hyperlink r:id="rId120">
        <w:r>
          <w:rPr>
            <w:rStyle w:val="Hyperlink"/>
          </w:rPr>
          <w:t>[46]</w:t>
        </w:r>
      </w:hyperlink>
      <w:r>
        <w:t xml:space="preserve"> </w:t>
      </w:r>
      <w:hyperlink r:id="rId121">
        <w:r>
          <w:rPr>
            <w:rStyle w:val="Hyperlink"/>
          </w:rPr>
          <w:t>[47]</w:t>
        </w:r>
      </w:hyperlink>
      <w:r>
        <w:t xml:space="preserve"> https://docs.ollama.com/openai</w:t>
      </w:r>
    </w:p>
    <w:p w14:paraId="676C81A7" w14:textId="77777777" w:rsidR="00883BB8" w:rsidRDefault="00000000">
      <w:pPr>
        <w:pStyle w:val="BodyText"/>
      </w:pPr>
      <w:hyperlink r:id="rId122">
        <w:r>
          <w:rPr>
            <w:rStyle w:val="Hyperlink"/>
          </w:rPr>
          <w:t>https://docs.ollama.com/openai</w:t>
        </w:r>
      </w:hyperlink>
    </w:p>
    <w:p w14:paraId="48B6C081" w14:textId="77777777" w:rsidR="00883BB8" w:rsidRDefault="00000000">
      <w:pPr>
        <w:pStyle w:val="BodyText"/>
      </w:pPr>
      <w:hyperlink r:id="rId123">
        <w:r>
          <w:rPr>
            <w:rStyle w:val="Hyperlink"/>
          </w:rPr>
          <w:t>[16]</w:t>
        </w:r>
      </w:hyperlink>
      <w:r>
        <w:t xml:space="preserve"> </w:t>
      </w:r>
      <w:hyperlink r:id="rId124">
        <w:r>
          <w:rPr>
            <w:rStyle w:val="Hyperlink"/>
          </w:rPr>
          <w:t>[23]</w:t>
        </w:r>
      </w:hyperlink>
      <w:r>
        <w:t xml:space="preserve"> </w:t>
      </w:r>
      <w:hyperlink r:id="rId125">
        <w:r>
          <w:rPr>
            <w:rStyle w:val="Hyperlink"/>
          </w:rPr>
          <w:t>[58]</w:t>
        </w:r>
      </w:hyperlink>
      <w:r>
        <w:t xml:space="preserve"> https://www.nist.gov/publications/guide-computer-security-log-management</w:t>
      </w:r>
    </w:p>
    <w:p w14:paraId="2603F0BA" w14:textId="77777777" w:rsidR="00883BB8" w:rsidRDefault="00000000">
      <w:pPr>
        <w:pStyle w:val="BodyText"/>
      </w:pPr>
      <w:hyperlink r:id="rId126">
        <w:r>
          <w:rPr>
            <w:rStyle w:val="Hyperlink"/>
          </w:rPr>
          <w:t>https://www.nist.gov/publications/guide-computer-security-log-management</w:t>
        </w:r>
      </w:hyperlink>
    </w:p>
    <w:p w14:paraId="0036DD93" w14:textId="77777777" w:rsidR="00883BB8" w:rsidRDefault="00000000">
      <w:pPr>
        <w:pStyle w:val="BodyText"/>
      </w:pPr>
      <w:hyperlink r:id="rId127">
        <w:r>
          <w:rPr>
            <w:rStyle w:val="Hyperlink"/>
          </w:rPr>
          <w:t>[17]</w:t>
        </w:r>
      </w:hyperlink>
      <w:r>
        <w:t xml:space="preserve"> </w:t>
      </w:r>
      <w:hyperlink r:id="rId128">
        <w:r>
          <w:rPr>
            <w:rStyle w:val="Hyperlink"/>
          </w:rPr>
          <w:t>[22]</w:t>
        </w:r>
      </w:hyperlink>
      <w:r>
        <w:t xml:space="preserve"> </w:t>
      </w:r>
      <w:hyperlink r:id="rId129">
        <w:r>
          <w:rPr>
            <w:rStyle w:val="Hyperlink"/>
          </w:rPr>
          <w:t>[26]</w:t>
        </w:r>
      </w:hyperlink>
      <w:r>
        <w:t xml:space="preserve"> </w:t>
      </w:r>
      <w:hyperlink r:id="rId130">
        <w:r>
          <w:rPr>
            <w:rStyle w:val="Hyperlink"/>
          </w:rPr>
          <w:t>[37]</w:t>
        </w:r>
      </w:hyperlink>
      <w:r>
        <w:t xml:space="preserve"> https://nist-sp-800-53-r5.bsafes.com/docs/3-1-access-control/ac-6-least-privilege/</w:t>
      </w:r>
    </w:p>
    <w:p w14:paraId="53DF0740" w14:textId="77777777" w:rsidR="00883BB8" w:rsidRDefault="00000000">
      <w:pPr>
        <w:pStyle w:val="BodyText"/>
      </w:pPr>
      <w:hyperlink r:id="rId131">
        <w:r>
          <w:rPr>
            <w:rStyle w:val="Hyperlink"/>
          </w:rPr>
          <w:t>https://nist-sp-800-53-r5.bsafes.com/docs/3-1-access-control/ac-6-least-privilege/</w:t>
        </w:r>
      </w:hyperlink>
    </w:p>
    <w:p w14:paraId="2E25FA98" w14:textId="77777777" w:rsidR="00883BB8" w:rsidRDefault="00000000">
      <w:pPr>
        <w:pStyle w:val="BodyText"/>
      </w:pPr>
      <w:hyperlink r:id="rId132">
        <w:r>
          <w:rPr>
            <w:rStyle w:val="Hyperlink"/>
          </w:rPr>
          <w:t>[18]</w:t>
        </w:r>
      </w:hyperlink>
      <w:r>
        <w:t xml:space="preserve"> </w:t>
      </w:r>
      <w:hyperlink r:id="rId133">
        <w:r>
          <w:rPr>
            <w:rStyle w:val="Hyperlink"/>
          </w:rPr>
          <w:t>[44]</w:t>
        </w:r>
      </w:hyperlink>
      <w:r>
        <w:t xml:space="preserve"> </w:t>
      </w:r>
      <w:hyperlink r:id="rId134">
        <w:r>
          <w:rPr>
            <w:rStyle w:val="Hyperlink"/>
          </w:rPr>
          <w:t>[59]</w:t>
        </w:r>
      </w:hyperlink>
      <w:r>
        <w:t xml:space="preserve"> https://docs.searxng.org/</w:t>
      </w:r>
    </w:p>
    <w:p w14:paraId="020B6101" w14:textId="77777777" w:rsidR="00883BB8" w:rsidRDefault="00000000">
      <w:pPr>
        <w:pStyle w:val="BodyText"/>
      </w:pPr>
      <w:hyperlink r:id="rId135">
        <w:r>
          <w:rPr>
            <w:rStyle w:val="Hyperlink"/>
          </w:rPr>
          <w:t>https://docs.searxng.org/</w:t>
        </w:r>
      </w:hyperlink>
    </w:p>
    <w:p w14:paraId="0995174B" w14:textId="77777777" w:rsidR="00883BB8" w:rsidRDefault="00000000">
      <w:pPr>
        <w:pStyle w:val="BodyText"/>
      </w:pPr>
      <w:hyperlink r:id="rId136">
        <w:r>
          <w:rPr>
            <w:rStyle w:val="Hyperlink"/>
          </w:rPr>
          <w:t>[24]</w:t>
        </w:r>
      </w:hyperlink>
      <w:r>
        <w:t xml:space="preserve"> https://development.neo4j.dev/docs/getting-started/whats-neo4j/</w:t>
      </w:r>
    </w:p>
    <w:p w14:paraId="37AB4701" w14:textId="77777777" w:rsidR="00883BB8" w:rsidRDefault="00000000">
      <w:pPr>
        <w:pStyle w:val="BodyText"/>
      </w:pPr>
      <w:hyperlink r:id="rId137">
        <w:r>
          <w:rPr>
            <w:rStyle w:val="Hyperlink"/>
          </w:rPr>
          <w:t>https://development.neo4j.dev/docs/getting-started/whats-neo4j/</w:t>
        </w:r>
      </w:hyperlink>
    </w:p>
    <w:p w14:paraId="40CFC905" w14:textId="77777777" w:rsidR="00883BB8" w:rsidRDefault="00000000">
      <w:pPr>
        <w:pStyle w:val="BodyText"/>
      </w:pPr>
      <w:hyperlink r:id="rId138">
        <w:r>
          <w:rPr>
            <w:rStyle w:val="Hyperlink"/>
          </w:rPr>
          <w:t>[25]</w:t>
        </w:r>
      </w:hyperlink>
      <w:r>
        <w:t xml:space="preserve"> </w:t>
      </w:r>
      <w:hyperlink r:id="rId139">
        <w:r>
          <w:rPr>
            <w:rStyle w:val="Hyperlink"/>
          </w:rPr>
          <w:t>[32]</w:t>
        </w:r>
      </w:hyperlink>
      <w:r>
        <w:t xml:space="preserve"> https://docs.anthropic.com/en/docs/claude-code/mcp</w:t>
      </w:r>
    </w:p>
    <w:p w14:paraId="7E5FA34C" w14:textId="77777777" w:rsidR="00883BB8" w:rsidRDefault="00000000">
      <w:pPr>
        <w:pStyle w:val="BodyText"/>
      </w:pPr>
      <w:hyperlink r:id="rId140">
        <w:r>
          <w:rPr>
            <w:rStyle w:val="Hyperlink"/>
          </w:rPr>
          <w:t>https://docs.anthropic.com/en/docs/claude-code/mcp</w:t>
        </w:r>
      </w:hyperlink>
    </w:p>
    <w:p w14:paraId="36089CB0" w14:textId="77777777" w:rsidR="00883BB8" w:rsidRDefault="00000000">
      <w:pPr>
        <w:pStyle w:val="BodyText"/>
      </w:pPr>
      <w:hyperlink r:id="rId141">
        <w:r>
          <w:rPr>
            <w:rStyle w:val="Hyperlink"/>
          </w:rPr>
          <w:t>[29]</w:t>
        </w:r>
      </w:hyperlink>
      <w:r>
        <w:t xml:space="preserve"> https://docs.docker.com/reference/cli/docker/container/run</w:t>
      </w:r>
    </w:p>
    <w:p w14:paraId="036FCC01" w14:textId="77777777" w:rsidR="00883BB8" w:rsidRDefault="00000000">
      <w:pPr>
        <w:pStyle w:val="BodyText"/>
      </w:pPr>
      <w:hyperlink r:id="rId142">
        <w:r>
          <w:rPr>
            <w:rStyle w:val="Hyperlink"/>
          </w:rPr>
          <w:t>https://docs.docker.com/reference/cli/docker/container/run</w:t>
        </w:r>
      </w:hyperlink>
    </w:p>
    <w:p w14:paraId="72F20173" w14:textId="77777777" w:rsidR="00883BB8" w:rsidRDefault="00000000">
      <w:pPr>
        <w:pStyle w:val="BodyText"/>
      </w:pPr>
      <w:hyperlink r:id="rId143">
        <w:r>
          <w:rPr>
            <w:rStyle w:val="Hyperlink"/>
          </w:rPr>
          <w:t>[30]</w:t>
        </w:r>
      </w:hyperlink>
      <w:r>
        <w:t xml:space="preserve"> https://docs.anthropic.com/en/docs/claude-code/team</w:t>
      </w:r>
    </w:p>
    <w:p w14:paraId="492E96BB" w14:textId="77777777" w:rsidR="00883BB8" w:rsidRDefault="00000000">
      <w:pPr>
        <w:pStyle w:val="BodyText"/>
      </w:pPr>
      <w:hyperlink r:id="rId144">
        <w:r>
          <w:rPr>
            <w:rStyle w:val="Hyperlink"/>
          </w:rPr>
          <w:t>https://docs.anthropic.com/en/docs/claude-code/team</w:t>
        </w:r>
      </w:hyperlink>
    </w:p>
    <w:p w14:paraId="1B596AD0" w14:textId="77777777" w:rsidR="00883BB8" w:rsidRDefault="00000000">
      <w:pPr>
        <w:pStyle w:val="BodyText"/>
      </w:pPr>
      <w:hyperlink r:id="rId145">
        <w:r>
          <w:rPr>
            <w:rStyle w:val="Hyperlink"/>
          </w:rPr>
          <w:t>[34]</w:t>
        </w:r>
      </w:hyperlink>
      <w:r>
        <w:t xml:space="preserve"> https://www.w3.org/TR/trace-context/</w:t>
      </w:r>
    </w:p>
    <w:p w14:paraId="50637019" w14:textId="77777777" w:rsidR="00883BB8" w:rsidRDefault="00000000">
      <w:pPr>
        <w:pStyle w:val="BodyText"/>
      </w:pPr>
      <w:hyperlink r:id="rId146">
        <w:r>
          <w:rPr>
            <w:rStyle w:val="Hyperlink"/>
          </w:rPr>
          <w:t>https://www.w3.org/TR/trace-context/</w:t>
        </w:r>
      </w:hyperlink>
    </w:p>
    <w:p w14:paraId="11D05450" w14:textId="77777777" w:rsidR="00883BB8" w:rsidRDefault="00000000">
      <w:pPr>
        <w:pStyle w:val="BodyText"/>
      </w:pPr>
      <w:hyperlink r:id="rId147">
        <w:r>
          <w:rPr>
            <w:rStyle w:val="Hyperlink"/>
          </w:rPr>
          <w:t>[36]</w:t>
        </w:r>
      </w:hyperlink>
      <w:r>
        <w:t xml:space="preserve"> https://opentelemetry.io/docs/concepts/signals/traces/</w:t>
      </w:r>
    </w:p>
    <w:p w14:paraId="003F43C1" w14:textId="77777777" w:rsidR="00883BB8" w:rsidRDefault="00000000">
      <w:pPr>
        <w:pStyle w:val="BodyText"/>
      </w:pPr>
      <w:hyperlink r:id="rId148">
        <w:r>
          <w:rPr>
            <w:rStyle w:val="Hyperlink"/>
          </w:rPr>
          <w:t>https://opentelemetry.io/docs/concepts/signals/traces/</w:t>
        </w:r>
      </w:hyperlink>
    </w:p>
    <w:p w14:paraId="1616E98E" w14:textId="77777777" w:rsidR="00883BB8" w:rsidRDefault="00000000">
      <w:pPr>
        <w:pStyle w:val="BodyText"/>
      </w:pPr>
      <w:hyperlink r:id="rId149">
        <w:r>
          <w:rPr>
            <w:rStyle w:val="Hyperlink"/>
          </w:rPr>
          <w:t>[39]</w:t>
        </w:r>
      </w:hyperlink>
      <w:r>
        <w:t xml:space="preserve"> https://www.nyserda.ny.gov/Energy-Prices/Electricity/Monthly-Avg-Electricity-Residential</w:t>
      </w:r>
    </w:p>
    <w:p w14:paraId="080AA709" w14:textId="77777777" w:rsidR="00883BB8" w:rsidRDefault="00000000">
      <w:pPr>
        <w:pStyle w:val="BodyText"/>
      </w:pPr>
      <w:hyperlink r:id="rId150">
        <w:r>
          <w:rPr>
            <w:rStyle w:val="Hyperlink"/>
          </w:rPr>
          <w:t>https://www.nyserda.ny.gov/Energy-Prices/Electricity/Monthly-Avg-Electricity-Residential</w:t>
        </w:r>
      </w:hyperlink>
    </w:p>
    <w:p w14:paraId="1BB6B9D4" w14:textId="77777777" w:rsidR="00883BB8" w:rsidRDefault="00000000">
      <w:pPr>
        <w:pStyle w:val="BodyText"/>
      </w:pPr>
      <w:hyperlink r:id="rId151">
        <w:r>
          <w:rPr>
            <w:rStyle w:val="Hyperlink"/>
          </w:rPr>
          <w:t>[40]</w:t>
        </w:r>
      </w:hyperlink>
      <w:r>
        <w:t xml:space="preserve"> https://www.eia.gov/electricity/state/</w:t>
      </w:r>
    </w:p>
    <w:p w14:paraId="4C03B078" w14:textId="77777777" w:rsidR="00883BB8" w:rsidRDefault="00000000">
      <w:pPr>
        <w:pStyle w:val="BodyText"/>
      </w:pPr>
      <w:hyperlink r:id="rId152">
        <w:r>
          <w:rPr>
            <w:rStyle w:val="Hyperlink"/>
          </w:rPr>
          <w:t>https://www.eia.gov/electricity/state/</w:t>
        </w:r>
      </w:hyperlink>
    </w:p>
    <w:p w14:paraId="4495CF53" w14:textId="77777777" w:rsidR="00883BB8" w:rsidRDefault="00000000">
      <w:pPr>
        <w:pStyle w:val="BodyText"/>
      </w:pPr>
      <w:hyperlink r:id="rId153">
        <w:r>
          <w:rPr>
            <w:rStyle w:val="Hyperlink"/>
          </w:rPr>
          <w:t>[45]</w:t>
        </w:r>
      </w:hyperlink>
      <w:r>
        <w:t xml:space="preserve"> https://lmstudio.ai/docs/app/api/endpoints/openai/</w:t>
      </w:r>
    </w:p>
    <w:p w14:paraId="423F73ED" w14:textId="77777777" w:rsidR="00883BB8" w:rsidRDefault="00000000">
      <w:pPr>
        <w:pStyle w:val="BodyText"/>
      </w:pPr>
      <w:hyperlink r:id="rId154">
        <w:r>
          <w:rPr>
            <w:rStyle w:val="Hyperlink"/>
          </w:rPr>
          <w:t>https://lmstudio.ai/docs/app/api/endpoints/openai/</w:t>
        </w:r>
      </w:hyperlink>
    </w:p>
    <w:p w14:paraId="174F1D99" w14:textId="77777777" w:rsidR="00883BB8" w:rsidRDefault="00000000">
      <w:pPr>
        <w:pStyle w:val="BodyText"/>
      </w:pPr>
      <w:hyperlink r:id="rId155">
        <w:r>
          <w:rPr>
            <w:rStyle w:val="Hyperlink"/>
          </w:rPr>
          <w:t>[49]</w:t>
        </w:r>
      </w:hyperlink>
      <w:r>
        <w:t xml:space="preserve"> https://neo4j.com/docs/operations-manual/current/installation/windows/</w:t>
      </w:r>
    </w:p>
    <w:p w14:paraId="512F2988" w14:textId="77777777" w:rsidR="00883BB8" w:rsidRDefault="00000000">
      <w:pPr>
        <w:pStyle w:val="BodyText"/>
      </w:pPr>
      <w:hyperlink r:id="rId156">
        <w:r>
          <w:rPr>
            <w:rStyle w:val="Hyperlink"/>
          </w:rPr>
          <w:t>https://neo4j.com/docs/operations-manual/current/installation/windows/</w:t>
        </w:r>
      </w:hyperlink>
    </w:p>
    <w:p w14:paraId="19593407" w14:textId="77777777" w:rsidR="00883BB8" w:rsidRDefault="00000000">
      <w:pPr>
        <w:pStyle w:val="BodyText"/>
      </w:pPr>
      <w:hyperlink r:id="rId157">
        <w:r>
          <w:rPr>
            <w:rStyle w:val="Hyperlink"/>
          </w:rPr>
          <w:t>[50]</w:t>
        </w:r>
      </w:hyperlink>
      <w:r>
        <w:t xml:space="preserve"> </w:t>
      </w:r>
      <w:hyperlink r:id="rId158">
        <w:r>
          <w:rPr>
            <w:rStyle w:val="Hyperlink"/>
          </w:rPr>
          <w:t>[62]</w:t>
        </w:r>
      </w:hyperlink>
      <w:r>
        <w:t xml:space="preserve"> https://microsoft.github.io/autogen/0.2/docs/Use-Cases/agent_chat</w:t>
      </w:r>
    </w:p>
    <w:p w14:paraId="0E2DC06B" w14:textId="77777777" w:rsidR="00883BB8" w:rsidRDefault="00000000">
      <w:pPr>
        <w:pStyle w:val="BodyText"/>
      </w:pPr>
      <w:hyperlink r:id="rId159">
        <w:r>
          <w:rPr>
            <w:rStyle w:val="Hyperlink"/>
          </w:rPr>
          <w:t>https://microsoft.github.io/autogen/0.2/docs/Use-Cases/agent_chat</w:t>
        </w:r>
      </w:hyperlink>
    </w:p>
    <w:p w14:paraId="0C3B947A" w14:textId="77777777" w:rsidR="00883BB8" w:rsidRDefault="00000000">
      <w:pPr>
        <w:pStyle w:val="BodyText"/>
      </w:pPr>
      <w:hyperlink r:id="rId160">
        <w:r>
          <w:rPr>
            <w:rStyle w:val="Hyperlink"/>
          </w:rPr>
          <w:t>[51]</w:t>
        </w:r>
      </w:hyperlink>
      <w:r>
        <w:t xml:space="preserve"> https://docs.crewai.com/en/concepts/tasks</w:t>
      </w:r>
    </w:p>
    <w:p w14:paraId="64BBCA5C" w14:textId="77777777" w:rsidR="00883BB8" w:rsidRDefault="00000000">
      <w:pPr>
        <w:pStyle w:val="BodyText"/>
      </w:pPr>
      <w:hyperlink r:id="rId161">
        <w:r>
          <w:rPr>
            <w:rStyle w:val="Hyperlink"/>
          </w:rPr>
          <w:t>https://docs.crewai.com/en/concepts/tasks</w:t>
        </w:r>
      </w:hyperlink>
    </w:p>
    <w:p w14:paraId="134F148D" w14:textId="77777777" w:rsidR="00883BB8" w:rsidRDefault="00000000">
      <w:pPr>
        <w:pStyle w:val="BodyText"/>
      </w:pPr>
      <w:hyperlink r:id="rId162">
        <w:r>
          <w:rPr>
            <w:rStyle w:val="Hyperlink"/>
          </w:rPr>
          <w:t>[52]</w:t>
        </w:r>
      </w:hyperlink>
      <w:r>
        <w:t xml:space="preserve"> https://qwen2.org/qwen2-5/</w:t>
      </w:r>
    </w:p>
    <w:p w14:paraId="5BD412A1" w14:textId="77777777" w:rsidR="00883BB8" w:rsidRDefault="00000000">
      <w:pPr>
        <w:pStyle w:val="BodyText"/>
      </w:pPr>
      <w:hyperlink r:id="rId163">
        <w:r>
          <w:rPr>
            <w:rStyle w:val="Hyperlink"/>
          </w:rPr>
          <w:t>https://qwen2.org/qwen2-5/</w:t>
        </w:r>
      </w:hyperlink>
    </w:p>
    <w:p w14:paraId="71DB872C" w14:textId="77777777" w:rsidR="00883BB8" w:rsidRDefault="00000000">
      <w:pPr>
        <w:pStyle w:val="BodyText"/>
      </w:pPr>
      <w:hyperlink r:id="rId164">
        <w:r>
          <w:rPr>
            <w:rStyle w:val="Hyperlink"/>
          </w:rPr>
          <w:t>[53]</w:t>
        </w:r>
      </w:hyperlink>
      <w:r>
        <w:t xml:space="preserve"> https://registry.ollama.ai/library/phi3%3Amini</w:t>
      </w:r>
    </w:p>
    <w:p w14:paraId="0DDD9747" w14:textId="77777777" w:rsidR="00883BB8" w:rsidRDefault="00000000">
      <w:pPr>
        <w:pStyle w:val="BodyText"/>
      </w:pPr>
      <w:hyperlink r:id="rId165">
        <w:r>
          <w:rPr>
            <w:rStyle w:val="Hyperlink"/>
          </w:rPr>
          <w:t>https://registry.ollama.ai/library/phi3%3Amini</w:t>
        </w:r>
      </w:hyperlink>
    </w:p>
    <w:p w14:paraId="09012EAD" w14:textId="77777777" w:rsidR="00883BB8" w:rsidRDefault="00000000">
      <w:pPr>
        <w:pStyle w:val="BodyText"/>
      </w:pPr>
      <w:hyperlink r:id="rId166">
        <w:r>
          <w:rPr>
            <w:rStyle w:val="Hyperlink"/>
          </w:rPr>
          <w:t>[54]</w:t>
        </w:r>
      </w:hyperlink>
      <w:r>
        <w:t xml:space="preserve"> https://aws.amazon.com/about-aws/whats-new/2024/10/metas-llama-31-8b-70b-models-fine-tuning-amazon-bedrock/</w:t>
      </w:r>
    </w:p>
    <w:p w14:paraId="0D6858F3" w14:textId="77777777" w:rsidR="00883BB8" w:rsidRDefault="00000000">
      <w:pPr>
        <w:pStyle w:val="BodyText"/>
      </w:pPr>
      <w:hyperlink r:id="rId167">
        <w:r>
          <w:rPr>
            <w:rStyle w:val="Hyperlink"/>
          </w:rPr>
          <w:t>https://aws.amazon.com/about-aws/whats-new/2024/10/metas-llama-31-8b-70b-models-fine-tuning-amazon-bedrock/</w:t>
        </w:r>
      </w:hyperlink>
    </w:p>
    <w:p w14:paraId="77291B4B" w14:textId="77777777" w:rsidR="00883BB8" w:rsidRDefault="00000000">
      <w:pPr>
        <w:pStyle w:val="BodyText"/>
      </w:pPr>
      <w:hyperlink r:id="rId168">
        <w:r>
          <w:rPr>
            <w:rStyle w:val="Hyperlink"/>
          </w:rPr>
          <w:t>[55]</w:t>
        </w:r>
      </w:hyperlink>
      <w:r>
        <w:t xml:space="preserve"> https://arxiv.org/abs/2406.11931</w:t>
      </w:r>
    </w:p>
    <w:p w14:paraId="7F091536" w14:textId="77777777" w:rsidR="00883BB8" w:rsidRDefault="00000000">
      <w:pPr>
        <w:pStyle w:val="BodyText"/>
      </w:pPr>
      <w:hyperlink r:id="rId169">
        <w:r>
          <w:rPr>
            <w:rStyle w:val="Hyperlink"/>
          </w:rPr>
          <w:t>https://arxiv.org/abs/2406.11931</w:t>
        </w:r>
      </w:hyperlink>
    </w:p>
    <w:p w14:paraId="1A7FBA52" w14:textId="77777777" w:rsidR="00883BB8" w:rsidRDefault="00000000">
      <w:pPr>
        <w:pStyle w:val="BodyText"/>
      </w:pPr>
      <w:hyperlink r:id="rId170">
        <w:r>
          <w:rPr>
            <w:rStyle w:val="Hyperlink"/>
          </w:rPr>
          <w:t>[56]</w:t>
        </w:r>
      </w:hyperlink>
      <w:r>
        <w:t xml:space="preserve"> </w:t>
      </w:r>
      <w:hyperlink r:id="rId171">
        <w:r>
          <w:rPr>
            <w:rStyle w:val="Hyperlink"/>
          </w:rPr>
          <w:t>[61]</w:t>
        </w:r>
      </w:hyperlink>
      <w:r>
        <w:t xml:space="preserve"> https://www.nist.gov/publications/contingency-planning-guide-information-technology-systems</w:t>
      </w:r>
    </w:p>
    <w:p w14:paraId="311B9F73" w14:textId="77777777" w:rsidR="00883BB8" w:rsidRDefault="00000000">
      <w:pPr>
        <w:pStyle w:val="BodyText"/>
      </w:pPr>
      <w:hyperlink r:id="rId172">
        <w:r>
          <w:rPr>
            <w:rStyle w:val="Hyperlink"/>
          </w:rPr>
          <w:t>https://www.nist.gov/publications/contingency-planning-guide-information-technology-systems</w:t>
        </w:r>
      </w:hyperlink>
      <w:bookmarkEnd w:id="37"/>
    </w:p>
    <w:sectPr w:rsidR="00883BB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EC0D0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44876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F72D9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949464619">
    <w:abstractNumId w:val="0"/>
  </w:num>
  <w:num w:numId="2" w16cid:durableId="1364860385">
    <w:abstractNumId w:val="1"/>
  </w:num>
  <w:num w:numId="3" w16cid:durableId="227496634">
    <w:abstractNumId w:val="1"/>
  </w:num>
  <w:num w:numId="4" w16cid:durableId="1484467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12913496">
    <w:abstractNumId w:val="1"/>
  </w:num>
  <w:num w:numId="6" w16cid:durableId="1542015253">
    <w:abstractNumId w:val="1"/>
  </w:num>
  <w:num w:numId="7" w16cid:durableId="119080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9652307">
    <w:abstractNumId w:val="1"/>
  </w:num>
  <w:num w:numId="9" w16cid:durableId="254553389">
    <w:abstractNumId w:val="1"/>
  </w:num>
  <w:num w:numId="10" w16cid:durableId="531722624">
    <w:abstractNumId w:val="1"/>
  </w:num>
  <w:num w:numId="11" w16cid:durableId="364908383">
    <w:abstractNumId w:val="1"/>
  </w:num>
  <w:num w:numId="12" w16cid:durableId="377627631">
    <w:abstractNumId w:val="1"/>
  </w:num>
  <w:num w:numId="13" w16cid:durableId="829834023">
    <w:abstractNumId w:val="1"/>
  </w:num>
  <w:num w:numId="14" w16cid:durableId="841361881">
    <w:abstractNumId w:val="1"/>
  </w:num>
  <w:num w:numId="15" w16cid:durableId="2199049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0625999">
    <w:abstractNumId w:val="1"/>
  </w:num>
  <w:num w:numId="17" w16cid:durableId="862673598">
    <w:abstractNumId w:val="1"/>
  </w:num>
  <w:num w:numId="18" w16cid:durableId="598025724">
    <w:abstractNumId w:val="1"/>
  </w:num>
  <w:num w:numId="19" w16cid:durableId="2038922831">
    <w:abstractNumId w:val="1"/>
  </w:num>
  <w:num w:numId="20" w16cid:durableId="1918320574">
    <w:abstractNumId w:val="1"/>
  </w:num>
  <w:num w:numId="21" w16cid:durableId="1359695578">
    <w:abstractNumId w:val="1"/>
  </w:num>
  <w:num w:numId="22" w16cid:durableId="967667657">
    <w:abstractNumId w:val="1"/>
  </w:num>
  <w:num w:numId="23" w16cid:durableId="854882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BB8"/>
    <w:rsid w:val="004E28F9"/>
    <w:rsid w:val="006013A9"/>
    <w:rsid w:val="00883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60923"/>
  <w15:docId w15:val="{1E5DD928-E587-40BC-B198-F978A5D5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wasp.org/www-project-top-10-for-large-language-model-applications/" TargetMode="External"/><Relationship Id="rId21" Type="http://schemas.openxmlformats.org/officeDocument/2006/relationships/hyperlink" Target="https://nist-sp-800-53-r5.bsafes.com/docs/3-1-access-control/ac-6-least-privilege/" TargetMode="External"/><Relationship Id="rId42" Type="http://schemas.openxmlformats.org/officeDocument/2006/relationships/hyperlink" Target="https://docs.anthropic.com/en/docs/claude-code/mcp" TargetMode="External"/><Relationship Id="rId63" Type="http://schemas.openxmlformats.org/officeDocument/2006/relationships/hyperlink" Target="https://docs.searxng.org/" TargetMode="External"/><Relationship Id="rId84" Type="http://schemas.openxmlformats.org/officeDocument/2006/relationships/hyperlink" Target="https://docs.anthropic.com/en/docs/mcp" TargetMode="External"/><Relationship Id="rId138" Type="http://schemas.openxmlformats.org/officeDocument/2006/relationships/hyperlink" Target="https://docs.anthropic.com/en/docs/claude-code/mcp" TargetMode="External"/><Relationship Id="rId159" Type="http://schemas.openxmlformats.org/officeDocument/2006/relationships/hyperlink" Target="https://microsoft.github.io/autogen/0.2/docs/Use-Cases/agent_chat" TargetMode="External"/><Relationship Id="rId170" Type="http://schemas.openxmlformats.org/officeDocument/2006/relationships/hyperlink" Target="https://www.nist.gov/publications/contingency-planning-guide-information-technology-systems" TargetMode="External"/><Relationship Id="rId107" Type="http://schemas.openxmlformats.org/officeDocument/2006/relationships/hyperlink" Target="https://ollama.readthedocs.io/en/api/" TargetMode="External"/><Relationship Id="rId11" Type="http://schemas.openxmlformats.org/officeDocument/2006/relationships/hyperlink" Target="https://docs.docker.com/engine/security/userns-remap/" TargetMode="External"/><Relationship Id="rId32" Type="http://schemas.openxmlformats.org/officeDocument/2006/relationships/hyperlink" Target="https://docs.searxng.org/" TargetMode="External"/><Relationship Id="rId53" Type="http://schemas.openxmlformats.org/officeDocument/2006/relationships/hyperlink" Target="https://www.eia.gov/electricity/state/" TargetMode="External"/><Relationship Id="rId74" Type="http://schemas.openxmlformats.org/officeDocument/2006/relationships/hyperlink" Target="https://www.nist.gov/publications/artificial-intelligence-risk-management-framework-ai-rmf-10" TargetMode="External"/><Relationship Id="rId128" Type="http://schemas.openxmlformats.org/officeDocument/2006/relationships/hyperlink" Target="https://nist-sp-800-53-r5.bsafes.com/docs/3-1-access-control/ac-6-least-privilege/" TargetMode="External"/><Relationship Id="rId149" Type="http://schemas.openxmlformats.org/officeDocument/2006/relationships/hyperlink" Target="https://www.nyserda.ny.gov/Energy-Prices/Electricity/Monthly-Avg-Electricity-Residential" TargetMode="External"/><Relationship Id="rId5" Type="http://schemas.openxmlformats.org/officeDocument/2006/relationships/hyperlink" Target="https://docs.anthropic.com/en/docs/mcp" TargetMode="External"/><Relationship Id="rId95" Type="http://schemas.openxmlformats.org/officeDocument/2006/relationships/hyperlink" Target="https://nist-sp-800-53-r5.bsafes.com/docs/3-3-audit-and-accountability/au-9-protection-of-audit-information/" TargetMode="External"/><Relationship Id="rId160" Type="http://schemas.openxmlformats.org/officeDocument/2006/relationships/hyperlink" Target="https://docs.crewai.com/en/concepts/tasks" TargetMode="External"/><Relationship Id="rId22" Type="http://schemas.openxmlformats.org/officeDocument/2006/relationships/hyperlink" Target="https://docs.searxng.org/" TargetMode="External"/><Relationship Id="rId43" Type="http://schemas.openxmlformats.org/officeDocument/2006/relationships/hyperlink" Target="https://www.nist.gov/publications/guide-computer-security-log-management" TargetMode="External"/><Relationship Id="rId64" Type="http://schemas.openxmlformats.org/officeDocument/2006/relationships/hyperlink" Target="https://nist-sp-800-53-r5.bsafes.com/docs/3-3-audit-and-accountability/au-9-protection-of-audit-information/" TargetMode="External"/><Relationship Id="rId118" Type="http://schemas.openxmlformats.org/officeDocument/2006/relationships/hyperlink" Target="https://owasp.org/www-project-top-10-for-large-language-model-applications/" TargetMode="External"/><Relationship Id="rId139" Type="http://schemas.openxmlformats.org/officeDocument/2006/relationships/hyperlink" Target="https://docs.anthropic.com/en/docs/claude-code/mcp" TargetMode="External"/><Relationship Id="rId85" Type="http://schemas.openxmlformats.org/officeDocument/2006/relationships/hyperlink" Target="https://docs.anthropic.com/en/docs/mcp" TargetMode="External"/><Relationship Id="rId150" Type="http://schemas.openxmlformats.org/officeDocument/2006/relationships/hyperlink" Target="https://www.nyserda.ny.gov/Energy-Prices/Electricity/Monthly-Avg-Electricity-Residential" TargetMode="External"/><Relationship Id="rId171" Type="http://schemas.openxmlformats.org/officeDocument/2006/relationships/hyperlink" Target="https://www.nist.gov/publications/contingency-planning-guide-information-technology-systems" TargetMode="External"/><Relationship Id="rId12" Type="http://schemas.openxmlformats.org/officeDocument/2006/relationships/hyperlink" Target="https://www.nvidia.com/en-me/geforce/graphics-cards/50-series/rtx-5080/" TargetMode="External"/><Relationship Id="rId33" Type="http://schemas.openxmlformats.org/officeDocument/2006/relationships/hyperlink" Target="https://development.neo4j.dev/docs/getting-started/whats-neo4j/" TargetMode="External"/><Relationship Id="rId108" Type="http://schemas.openxmlformats.org/officeDocument/2006/relationships/hyperlink" Target="https://ollama.readthedocs.io/en/api/" TargetMode="External"/><Relationship Id="rId129" Type="http://schemas.openxmlformats.org/officeDocument/2006/relationships/hyperlink" Target="https://nist-sp-800-53-r5.bsafes.com/docs/3-1-access-control/ac-6-least-privilege/" TargetMode="External"/><Relationship Id="rId54" Type="http://schemas.openxmlformats.org/officeDocument/2006/relationships/hyperlink" Target="https://www.nvidia.com/en-me/geforce/graphics-cards/50-series/rtx-5080/" TargetMode="External"/><Relationship Id="rId75" Type="http://schemas.openxmlformats.org/officeDocument/2006/relationships/hyperlink" Target="https://www.nist.gov/publications/guide-computer-security-log-management" TargetMode="External"/><Relationship Id="rId96" Type="http://schemas.openxmlformats.org/officeDocument/2006/relationships/hyperlink" Target="https://nist-sp-800-53-r5.bsafes.com/docs/3-3-audit-and-accountability/au-9-protection-of-audit-information/" TargetMode="External"/><Relationship Id="rId140" Type="http://schemas.openxmlformats.org/officeDocument/2006/relationships/hyperlink" Target="https://docs.anthropic.com/en/docs/claude-code/mcp" TargetMode="External"/><Relationship Id="rId161" Type="http://schemas.openxmlformats.org/officeDocument/2006/relationships/hyperlink" Target="https://docs.crewai.com/en/concepts/tasks" TargetMode="External"/><Relationship Id="rId1" Type="http://schemas.openxmlformats.org/officeDocument/2006/relationships/numbering" Target="numbering.xml"/><Relationship Id="rId6" Type="http://schemas.openxmlformats.org/officeDocument/2006/relationships/hyperlink" Target="https://docs.anthropic.com/en/docs/mcp" TargetMode="External"/><Relationship Id="rId23" Type="http://schemas.openxmlformats.org/officeDocument/2006/relationships/hyperlink" Target="https://docs.ollama.com/openai" TargetMode="External"/><Relationship Id="rId28" Type="http://schemas.openxmlformats.org/officeDocument/2006/relationships/hyperlink" Target="https://owasp.org/www-project-top-10-for-large-language-model-applications/" TargetMode="External"/><Relationship Id="rId49" Type="http://schemas.openxmlformats.org/officeDocument/2006/relationships/hyperlink" Target="https://opentelemetry.io/docs/concepts/signals/traces/" TargetMode="External"/><Relationship Id="rId114" Type="http://schemas.openxmlformats.org/officeDocument/2006/relationships/hyperlink" Target="https://www.nist.gov/publications/artificial-intelligence-risk-management-framework-ai-rmf-10" TargetMode="External"/><Relationship Id="rId119" Type="http://schemas.openxmlformats.org/officeDocument/2006/relationships/hyperlink" Target="https://docs.ollama.com/openai" TargetMode="External"/><Relationship Id="rId44" Type="http://schemas.openxmlformats.org/officeDocument/2006/relationships/hyperlink" Target="https://nist-sp-800-53-r5.bsafes.com/docs/3-3-audit-and-accountability/au-9-protection-of-audit-information/" TargetMode="External"/><Relationship Id="rId60" Type="http://schemas.openxmlformats.org/officeDocument/2006/relationships/hyperlink" Target="https://lmstudio.ai/docs/app/api/endpoints/openai/" TargetMode="External"/><Relationship Id="rId65" Type="http://schemas.openxmlformats.org/officeDocument/2006/relationships/hyperlink" Target="https://neo4j.com/docs/operations-manual/current/installation/windows/" TargetMode="External"/><Relationship Id="rId81" Type="http://schemas.openxmlformats.org/officeDocument/2006/relationships/hyperlink" Target="https://www.nist.gov/publications/contingency-planning-guide-information-technology-systems" TargetMode="External"/><Relationship Id="rId86" Type="http://schemas.openxmlformats.org/officeDocument/2006/relationships/hyperlink" Target="https://docs.anthropic.com/en/docs/mcp" TargetMode="External"/><Relationship Id="rId130" Type="http://schemas.openxmlformats.org/officeDocument/2006/relationships/hyperlink" Target="https://nist-sp-800-53-r5.bsafes.com/docs/3-1-access-control/ac-6-least-privilege/" TargetMode="External"/><Relationship Id="rId135" Type="http://schemas.openxmlformats.org/officeDocument/2006/relationships/hyperlink" Target="https://docs.searxng.org/" TargetMode="External"/><Relationship Id="rId151" Type="http://schemas.openxmlformats.org/officeDocument/2006/relationships/hyperlink" Target="https://www.eia.gov/electricity/state/" TargetMode="External"/><Relationship Id="rId156" Type="http://schemas.openxmlformats.org/officeDocument/2006/relationships/hyperlink" Target="https://neo4j.com/docs/operations-manual/current/installation/windows/" TargetMode="External"/><Relationship Id="rId172" Type="http://schemas.openxmlformats.org/officeDocument/2006/relationships/hyperlink" Target="https://www.nist.gov/publications/contingency-planning-guide-information-technology-systems" TargetMode="External"/><Relationship Id="rId13" Type="http://schemas.openxmlformats.org/officeDocument/2006/relationships/hyperlink" Target="https://ollama.readthedocs.io/en/api/" TargetMode="External"/><Relationship Id="rId18" Type="http://schemas.openxmlformats.org/officeDocument/2006/relationships/hyperlink" Target="https://owasp.org/www-project-top-10-for-large-language-model-applications/" TargetMode="External"/><Relationship Id="rId39" Type="http://schemas.openxmlformats.org/officeDocument/2006/relationships/hyperlink" Target="https://docs.docker.com/reference/cli/docker/container/run" TargetMode="External"/><Relationship Id="rId109" Type="http://schemas.openxmlformats.org/officeDocument/2006/relationships/hyperlink" Target="https://ollama.readthedocs.io/en/api/" TargetMode="External"/><Relationship Id="rId34" Type="http://schemas.openxmlformats.org/officeDocument/2006/relationships/hyperlink" Target="https://docs.anthropic.com/en/docs/claude-code/mcp" TargetMode="External"/><Relationship Id="rId50" Type="http://schemas.openxmlformats.org/officeDocument/2006/relationships/hyperlink" Target="https://nist-sp-800-53-r5.bsafes.com/docs/3-1-access-control/ac-6-least-privilege/" TargetMode="External"/><Relationship Id="rId55" Type="http://schemas.openxmlformats.org/officeDocument/2006/relationships/hyperlink" Target="https://ollama.readthedocs.io/en/api/" TargetMode="External"/><Relationship Id="rId76" Type="http://schemas.openxmlformats.org/officeDocument/2006/relationships/hyperlink" Target="https://www.nist.gov/publications/standards-security-categorization-federal-information-and-information-systems" TargetMode="External"/><Relationship Id="rId97" Type="http://schemas.openxmlformats.org/officeDocument/2006/relationships/hyperlink" Target="https://nist-sp-800-53-r5.bsafes.com/docs/3-3-audit-and-accountability/au-9-protection-of-audit-information/" TargetMode="External"/><Relationship Id="rId104" Type="http://schemas.openxmlformats.org/officeDocument/2006/relationships/hyperlink" Target="https://www.nvidia.com/en-me/geforce/graphics-cards/50-series/rtx-5080/" TargetMode="External"/><Relationship Id="rId120" Type="http://schemas.openxmlformats.org/officeDocument/2006/relationships/hyperlink" Target="https://docs.ollama.com/openai" TargetMode="External"/><Relationship Id="rId125" Type="http://schemas.openxmlformats.org/officeDocument/2006/relationships/hyperlink" Target="https://www.nist.gov/publications/guide-computer-security-log-management" TargetMode="External"/><Relationship Id="rId141" Type="http://schemas.openxmlformats.org/officeDocument/2006/relationships/hyperlink" Target="https://docs.docker.com/reference/cli/docker/container/run" TargetMode="External"/><Relationship Id="rId146" Type="http://schemas.openxmlformats.org/officeDocument/2006/relationships/hyperlink" Target="https://www.w3.org/TR/trace-context/" TargetMode="External"/><Relationship Id="rId167" Type="http://schemas.openxmlformats.org/officeDocument/2006/relationships/hyperlink" Target="https://aws.amazon.com/about-aws/whats-new/2024/10/metas-llama-31-8b-70b-models-fine-tuning-amazon-bedrock/" TargetMode="External"/><Relationship Id="rId7" Type="http://schemas.openxmlformats.org/officeDocument/2006/relationships/hyperlink" Target="https://docs.anthropic.com/en/docs/mcp" TargetMode="External"/><Relationship Id="rId71" Type="http://schemas.openxmlformats.org/officeDocument/2006/relationships/hyperlink" Target="https://arxiv.org/abs/2406.11931" TargetMode="External"/><Relationship Id="rId92" Type="http://schemas.openxmlformats.org/officeDocument/2006/relationships/hyperlink" Target="https://www.nist.gov/publications/standards-security-categorization-federal-information-and-information-systems" TargetMode="External"/><Relationship Id="rId162" Type="http://schemas.openxmlformats.org/officeDocument/2006/relationships/hyperlink" Target="https://qwen2.org/qwen2-5/" TargetMode="External"/><Relationship Id="rId2" Type="http://schemas.openxmlformats.org/officeDocument/2006/relationships/styles" Target="styles.xml"/><Relationship Id="rId29" Type="http://schemas.openxmlformats.org/officeDocument/2006/relationships/hyperlink" Target="https://nist-sp-800-53-r5.bsafes.com/docs/3-1-access-control/ac-6-least-privilege/" TargetMode="External"/><Relationship Id="rId24" Type="http://schemas.openxmlformats.org/officeDocument/2006/relationships/hyperlink" Target="https://docs.anthropic.com/en/docs/mcp" TargetMode="External"/><Relationship Id="rId40" Type="http://schemas.openxmlformats.org/officeDocument/2006/relationships/hyperlink" Target="https://docs.anthropic.com/en/docs/claude-code/team" TargetMode="External"/><Relationship Id="rId45" Type="http://schemas.openxmlformats.org/officeDocument/2006/relationships/hyperlink" Target="https://www.w3.org/TR/trace-context/" TargetMode="External"/><Relationship Id="rId66" Type="http://schemas.openxmlformats.org/officeDocument/2006/relationships/hyperlink" Target="https://microsoft.github.io/autogen/0.2/docs/Use-Cases/agent_chat" TargetMode="External"/><Relationship Id="rId87" Type="http://schemas.openxmlformats.org/officeDocument/2006/relationships/hyperlink" Target="https://docs.anthropic.com/en/docs/mcp" TargetMode="External"/><Relationship Id="rId110" Type="http://schemas.openxmlformats.org/officeDocument/2006/relationships/hyperlink" Target="https://ollama.readthedocs.io/en/api/" TargetMode="External"/><Relationship Id="rId115" Type="http://schemas.openxmlformats.org/officeDocument/2006/relationships/hyperlink" Target="https://www.nist.gov/publications/artificial-intelligence-risk-management-framework-ai-rmf-10" TargetMode="External"/><Relationship Id="rId131" Type="http://schemas.openxmlformats.org/officeDocument/2006/relationships/hyperlink" Target="https://nist-sp-800-53-r5.bsafes.com/docs/3-1-access-control/ac-6-least-privilege/" TargetMode="External"/><Relationship Id="rId136" Type="http://schemas.openxmlformats.org/officeDocument/2006/relationships/hyperlink" Target="https://development.neo4j.dev/docs/getting-started/whats-neo4j/" TargetMode="External"/><Relationship Id="rId157" Type="http://schemas.openxmlformats.org/officeDocument/2006/relationships/hyperlink" Target="https://microsoft.github.io/autogen/0.2/docs/Use-Cases/agent_chat" TargetMode="External"/><Relationship Id="rId61" Type="http://schemas.openxmlformats.org/officeDocument/2006/relationships/hyperlink" Target="https://docs.ollama.com/openai" TargetMode="External"/><Relationship Id="rId82" Type="http://schemas.openxmlformats.org/officeDocument/2006/relationships/hyperlink" Target="https://microsoft.github.io/autogen/0.2/docs/Use-Cases/agent_chat" TargetMode="External"/><Relationship Id="rId152" Type="http://schemas.openxmlformats.org/officeDocument/2006/relationships/hyperlink" Target="https://www.eia.gov/electricity/state/" TargetMode="External"/><Relationship Id="rId173" Type="http://schemas.openxmlformats.org/officeDocument/2006/relationships/fontTable" Target="fontTable.xml"/><Relationship Id="rId19" Type="http://schemas.openxmlformats.org/officeDocument/2006/relationships/hyperlink" Target="https://docs.ollama.com/openai" TargetMode="External"/><Relationship Id="rId14" Type="http://schemas.openxmlformats.org/officeDocument/2006/relationships/hyperlink" Target="https://www.nist.gov/publications/artificial-intelligence-risk-management-framework-ai-rmf-10" TargetMode="External"/><Relationship Id="rId30" Type="http://schemas.openxmlformats.org/officeDocument/2006/relationships/hyperlink" Target="https://owasp.org/www-project-top-10-for-large-language-model-applications/" TargetMode="External"/><Relationship Id="rId35" Type="http://schemas.openxmlformats.org/officeDocument/2006/relationships/hyperlink" Target="https://owasp.org/www-project-top-10-for-large-language-model-applications/" TargetMode="External"/><Relationship Id="rId56" Type="http://schemas.openxmlformats.org/officeDocument/2006/relationships/hyperlink" Target="https://ollama.readthedocs.io/en/api/" TargetMode="External"/><Relationship Id="rId77" Type="http://schemas.openxmlformats.org/officeDocument/2006/relationships/hyperlink" Target="https://nist-sp-800-53-r5.bsafes.com/docs/3-3-audit-and-accountability/au-9-protection-of-audit-information/" TargetMode="External"/><Relationship Id="rId100" Type="http://schemas.openxmlformats.org/officeDocument/2006/relationships/hyperlink" Target="https://docs.docker.com/engine/security/userns-remap/" TargetMode="External"/><Relationship Id="rId105" Type="http://schemas.openxmlformats.org/officeDocument/2006/relationships/hyperlink" Target="https://www.nvidia.com/en-me/geforce/graphics-cards/50-series/rtx-5080/" TargetMode="External"/><Relationship Id="rId126" Type="http://schemas.openxmlformats.org/officeDocument/2006/relationships/hyperlink" Target="https://www.nist.gov/publications/guide-computer-security-log-management" TargetMode="External"/><Relationship Id="rId147" Type="http://schemas.openxmlformats.org/officeDocument/2006/relationships/hyperlink" Target="https://opentelemetry.io/docs/concepts/signals/traces/" TargetMode="External"/><Relationship Id="rId168" Type="http://schemas.openxmlformats.org/officeDocument/2006/relationships/hyperlink" Target="https://arxiv.org/abs/2406.11931" TargetMode="External"/><Relationship Id="rId8" Type="http://schemas.openxmlformats.org/officeDocument/2006/relationships/hyperlink" Target="https://docs.anthropic.com/en/docs/mcp" TargetMode="External"/><Relationship Id="rId51" Type="http://schemas.openxmlformats.org/officeDocument/2006/relationships/hyperlink" Target="https://www.nvidia.com/en-me/geforce/graphics-cards/50-series/rtx-5080/" TargetMode="External"/><Relationship Id="rId72" Type="http://schemas.openxmlformats.org/officeDocument/2006/relationships/hyperlink" Target="https://www.nist.gov/publications/contingency-planning-guide-information-technology-systems" TargetMode="External"/><Relationship Id="rId93" Type="http://schemas.openxmlformats.org/officeDocument/2006/relationships/hyperlink" Target="https://www.nist.gov/publications/standards-security-categorization-federal-information-and-information-systems" TargetMode="External"/><Relationship Id="rId98" Type="http://schemas.openxmlformats.org/officeDocument/2006/relationships/hyperlink" Target="https://nist-sp-800-53-r5.bsafes.com/docs/3-3-audit-and-accountability/au-9-protection-of-audit-information/" TargetMode="External"/><Relationship Id="rId121" Type="http://schemas.openxmlformats.org/officeDocument/2006/relationships/hyperlink" Target="https://docs.ollama.com/openai" TargetMode="External"/><Relationship Id="rId142" Type="http://schemas.openxmlformats.org/officeDocument/2006/relationships/hyperlink" Target="https://docs.docker.com/reference/cli/docker/container/run" TargetMode="External"/><Relationship Id="rId163" Type="http://schemas.openxmlformats.org/officeDocument/2006/relationships/hyperlink" Target="https://qwen2.org/qwen2-5/" TargetMode="External"/><Relationship Id="rId3" Type="http://schemas.openxmlformats.org/officeDocument/2006/relationships/settings" Target="settings.xml"/><Relationship Id="rId25" Type="http://schemas.openxmlformats.org/officeDocument/2006/relationships/hyperlink" Target="https://nist-sp-800-53-r5.bsafes.com/docs/3-3-audit-and-accountability/au-9-protection-of-audit-information/" TargetMode="External"/><Relationship Id="rId46" Type="http://schemas.openxmlformats.org/officeDocument/2006/relationships/hyperlink" Target="https://nist-sp-800-53-r5.bsafes.com/docs/3-3-audit-and-accountability/au-9-protection-of-audit-information/" TargetMode="External"/><Relationship Id="rId67" Type="http://schemas.openxmlformats.org/officeDocument/2006/relationships/hyperlink" Target="https://docs.crewai.com/en/concepts/tasks" TargetMode="External"/><Relationship Id="rId116" Type="http://schemas.openxmlformats.org/officeDocument/2006/relationships/hyperlink" Target="https://www.nist.gov/publications/artificial-intelligence-risk-management-framework-ai-rmf-10" TargetMode="External"/><Relationship Id="rId137" Type="http://schemas.openxmlformats.org/officeDocument/2006/relationships/hyperlink" Target="https://development.neo4j.dev/docs/getting-started/whats-neo4j/" TargetMode="External"/><Relationship Id="rId158" Type="http://schemas.openxmlformats.org/officeDocument/2006/relationships/hyperlink" Target="https://microsoft.github.io/autogen/0.2/docs/Use-Cases/agent_chat" TargetMode="External"/><Relationship Id="rId20" Type="http://schemas.openxmlformats.org/officeDocument/2006/relationships/hyperlink" Target="https://www.nist.gov/publications/guide-computer-security-log-management" TargetMode="External"/><Relationship Id="rId41" Type="http://schemas.openxmlformats.org/officeDocument/2006/relationships/hyperlink" Target="https://docs.anthropic.com/en/docs/mcp" TargetMode="External"/><Relationship Id="rId62" Type="http://schemas.openxmlformats.org/officeDocument/2006/relationships/hyperlink" Target="https://docs.ollama.com/openai" TargetMode="External"/><Relationship Id="rId83" Type="http://schemas.openxmlformats.org/officeDocument/2006/relationships/hyperlink" Target="https://docs.anthropic.com/en/docs/mcp" TargetMode="External"/><Relationship Id="rId88" Type="http://schemas.openxmlformats.org/officeDocument/2006/relationships/hyperlink" Target="https://docs.anthropic.com/en/docs/mcp" TargetMode="External"/><Relationship Id="rId111" Type="http://schemas.openxmlformats.org/officeDocument/2006/relationships/hyperlink" Target="https://ollama.readthedocs.io/en/api/" TargetMode="External"/><Relationship Id="rId132" Type="http://schemas.openxmlformats.org/officeDocument/2006/relationships/hyperlink" Target="https://docs.searxng.org/" TargetMode="External"/><Relationship Id="rId153" Type="http://schemas.openxmlformats.org/officeDocument/2006/relationships/hyperlink" Target="https://lmstudio.ai/docs/app/api/endpoints/openai/" TargetMode="External"/><Relationship Id="rId174" Type="http://schemas.openxmlformats.org/officeDocument/2006/relationships/theme" Target="theme/theme1.xml"/><Relationship Id="rId15" Type="http://schemas.openxmlformats.org/officeDocument/2006/relationships/hyperlink" Target="https://www.nist.gov/publications/standards-security-categorization-federal-information-and-information-systems" TargetMode="External"/><Relationship Id="rId36" Type="http://schemas.openxmlformats.org/officeDocument/2006/relationships/hyperlink" Target="https://nist-sp-800-53-r5.bsafes.com/docs/3-1-access-control/ac-6-least-privilege/" TargetMode="External"/><Relationship Id="rId57" Type="http://schemas.openxmlformats.org/officeDocument/2006/relationships/hyperlink" Target="https://www.nvidia.com/en-me/geforce/graphics-cards/50-series/rtx-5080/" TargetMode="External"/><Relationship Id="rId106" Type="http://schemas.openxmlformats.org/officeDocument/2006/relationships/hyperlink" Target="https://ollama.readthedocs.io/en/api/" TargetMode="External"/><Relationship Id="rId127" Type="http://schemas.openxmlformats.org/officeDocument/2006/relationships/hyperlink" Target="https://nist-sp-800-53-r5.bsafes.com/docs/3-1-access-control/ac-6-least-privilege/" TargetMode="External"/><Relationship Id="rId10" Type="http://schemas.openxmlformats.org/officeDocument/2006/relationships/hyperlink" Target="https://nist-sp-800-53-r5.bsafes.com/docs/3-3-audit-and-accountability/au-9-protection-of-audit-information/" TargetMode="External"/><Relationship Id="rId31" Type="http://schemas.openxmlformats.org/officeDocument/2006/relationships/hyperlink" Target="https://www.nist.gov/publications/guide-computer-security-log-management" TargetMode="External"/><Relationship Id="rId52" Type="http://schemas.openxmlformats.org/officeDocument/2006/relationships/hyperlink" Target="https://www.nyserda.ny.gov/Energy-Prices/Electricity/Monthly-Avg-Electricity-Residential" TargetMode="External"/><Relationship Id="rId73" Type="http://schemas.openxmlformats.org/officeDocument/2006/relationships/hyperlink" Target="https://nist-sp-800-53-r5.bsafes.com/docs/3-3-audit-and-accountability/au-9-protection-of-audit-information/" TargetMode="External"/><Relationship Id="rId78" Type="http://schemas.openxmlformats.org/officeDocument/2006/relationships/hyperlink" Target="https://docs.docker.com/engine/security/userns-remap/" TargetMode="External"/><Relationship Id="rId94" Type="http://schemas.openxmlformats.org/officeDocument/2006/relationships/hyperlink" Target="https://nist-sp-800-53-r5.bsafes.com/docs/3-3-audit-and-accountability/au-9-protection-of-audit-information/" TargetMode="External"/><Relationship Id="rId99" Type="http://schemas.openxmlformats.org/officeDocument/2006/relationships/hyperlink" Target="https://docs.docker.com/engine/security/userns-remap/" TargetMode="External"/><Relationship Id="rId101" Type="http://schemas.openxmlformats.org/officeDocument/2006/relationships/hyperlink" Target="https://docs.docker.com/engine/security/userns-remap/" TargetMode="External"/><Relationship Id="rId122" Type="http://schemas.openxmlformats.org/officeDocument/2006/relationships/hyperlink" Target="https://docs.ollama.com/openai" TargetMode="External"/><Relationship Id="rId143" Type="http://schemas.openxmlformats.org/officeDocument/2006/relationships/hyperlink" Target="https://docs.anthropic.com/en/docs/claude-code/team" TargetMode="External"/><Relationship Id="rId148" Type="http://schemas.openxmlformats.org/officeDocument/2006/relationships/hyperlink" Target="https://opentelemetry.io/docs/concepts/signals/traces/" TargetMode="External"/><Relationship Id="rId164" Type="http://schemas.openxmlformats.org/officeDocument/2006/relationships/hyperlink" Target="https://registry.ollama.ai/library/phi3%3Amini" TargetMode="External"/><Relationship Id="rId169" Type="http://schemas.openxmlformats.org/officeDocument/2006/relationships/hyperlink" Target="https://arxiv.org/abs/2406.11931" TargetMode="External"/><Relationship Id="rId4" Type="http://schemas.openxmlformats.org/officeDocument/2006/relationships/webSettings" Target="webSettings.xml"/><Relationship Id="rId9" Type="http://schemas.openxmlformats.org/officeDocument/2006/relationships/hyperlink" Target="https://www.nist.gov/publications/standards-security-categorization-federal-information-and-information-systems" TargetMode="External"/><Relationship Id="rId26" Type="http://schemas.openxmlformats.org/officeDocument/2006/relationships/hyperlink" Target="https://www.nist.gov/publications/standards-security-categorization-federal-information-and-information-systems" TargetMode="External"/><Relationship Id="rId47" Type="http://schemas.openxmlformats.org/officeDocument/2006/relationships/hyperlink" Target="https://www.nist.gov/publications/guide-computer-security-log-management" TargetMode="External"/><Relationship Id="rId68" Type="http://schemas.openxmlformats.org/officeDocument/2006/relationships/hyperlink" Target="https://qwen2.org/qwen2-5/" TargetMode="External"/><Relationship Id="rId89" Type="http://schemas.openxmlformats.org/officeDocument/2006/relationships/hyperlink" Target="https://docs.anthropic.com/en/docs/mcp" TargetMode="External"/><Relationship Id="rId112" Type="http://schemas.openxmlformats.org/officeDocument/2006/relationships/hyperlink" Target="https://ollama.readthedocs.io/en/api/" TargetMode="External"/><Relationship Id="rId133" Type="http://schemas.openxmlformats.org/officeDocument/2006/relationships/hyperlink" Target="https://docs.searxng.org/" TargetMode="External"/><Relationship Id="rId154" Type="http://schemas.openxmlformats.org/officeDocument/2006/relationships/hyperlink" Target="https://lmstudio.ai/docs/app/api/endpoints/openai/" TargetMode="External"/><Relationship Id="rId16" Type="http://schemas.openxmlformats.org/officeDocument/2006/relationships/hyperlink" Target="https://ollama.readthedocs.io/en/api/" TargetMode="External"/><Relationship Id="rId37" Type="http://schemas.openxmlformats.org/officeDocument/2006/relationships/hyperlink" Target="https://docs.anthropic.com/en/docs/mcp" TargetMode="External"/><Relationship Id="rId58" Type="http://schemas.openxmlformats.org/officeDocument/2006/relationships/hyperlink" Target="https://ollama.readthedocs.io/en/api/" TargetMode="External"/><Relationship Id="rId79" Type="http://schemas.openxmlformats.org/officeDocument/2006/relationships/hyperlink" Target="https://docs.searxng.org/" TargetMode="External"/><Relationship Id="rId102" Type="http://schemas.openxmlformats.org/officeDocument/2006/relationships/hyperlink" Target="https://www.nvidia.com/en-me/geforce/graphics-cards/50-series/rtx-5080/" TargetMode="External"/><Relationship Id="rId123" Type="http://schemas.openxmlformats.org/officeDocument/2006/relationships/hyperlink" Target="https://www.nist.gov/publications/guide-computer-security-log-management" TargetMode="External"/><Relationship Id="rId144" Type="http://schemas.openxmlformats.org/officeDocument/2006/relationships/hyperlink" Target="https://docs.anthropic.com/en/docs/claude-code/team" TargetMode="External"/><Relationship Id="rId90" Type="http://schemas.openxmlformats.org/officeDocument/2006/relationships/hyperlink" Target="https://www.nist.gov/publications/standards-security-categorization-federal-information-and-information-systems" TargetMode="External"/><Relationship Id="rId165" Type="http://schemas.openxmlformats.org/officeDocument/2006/relationships/hyperlink" Target="https://registry.ollama.ai/library/phi3%3Amini" TargetMode="External"/><Relationship Id="rId27" Type="http://schemas.openxmlformats.org/officeDocument/2006/relationships/hyperlink" Target="https://nist-sp-800-53-r5.bsafes.com/docs/3-3-audit-and-accountability/au-9-protection-of-audit-information/" TargetMode="External"/><Relationship Id="rId48" Type="http://schemas.openxmlformats.org/officeDocument/2006/relationships/hyperlink" Target="https://ollama.readthedocs.io/en/api/" TargetMode="External"/><Relationship Id="rId69" Type="http://schemas.openxmlformats.org/officeDocument/2006/relationships/hyperlink" Target="https://registry.ollama.ai/library/phi3%3Amini" TargetMode="External"/><Relationship Id="rId113" Type="http://schemas.openxmlformats.org/officeDocument/2006/relationships/hyperlink" Target="https://www.nist.gov/publications/artificial-intelligence-risk-management-framework-ai-rmf-10" TargetMode="External"/><Relationship Id="rId134" Type="http://schemas.openxmlformats.org/officeDocument/2006/relationships/hyperlink" Target="https://docs.searxng.org/" TargetMode="External"/><Relationship Id="rId80" Type="http://schemas.openxmlformats.org/officeDocument/2006/relationships/hyperlink" Target="https://ollama.readthedocs.io/en/api/" TargetMode="External"/><Relationship Id="rId155" Type="http://schemas.openxmlformats.org/officeDocument/2006/relationships/hyperlink" Target="https://neo4j.com/docs/operations-manual/current/installation/windows/" TargetMode="External"/><Relationship Id="rId17" Type="http://schemas.openxmlformats.org/officeDocument/2006/relationships/hyperlink" Target="https://www.nist.gov/publications/artificial-intelligence-risk-management-framework-ai-rmf-10" TargetMode="External"/><Relationship Id="rId38" Type="http://schemas.openxmlformats.org/officeDocument/2006/relationships/hyperlink" Target="https://docs.docker.com/engine/security/userns-remap/" TargetMode="External"/><Relationship Id="rId59" Type="http://schemas.openxmlformats.org/officeDocument/2006/relationships/hyperlink" Target="https://docs.searxng.org/" TargetMode="External"/><Relationship Id="rId103" Type="http://schemas.openxmlformats.org/officeDocument/2006/relationships/hyperlink" Target="https://www.nvidia.com/en-me/geforce/graphics-cards/50-series/rtx-5080/" TargetMode="External"/><Relationship Id="rId124" Type="http://schemas.openxmlformats.org/officeDocument/2006/relationships/hyperlink" Target="https://www.nist.gov/publications/guide-computer-security-log-management" TargetMode="External"/><Relationship Id="rId70" Type="http://schemas.openxmlformats.org/officeDocument/2006/relationships/hyperlink" Target="https://aws.amazon.com/about-aws/whats-new/2024/10/metas-llama-31-8b-70b-models-fine-tuning-amazon-bedrock/" TargetMode="External"/><Relationship Id="rId91" Type="http://schemas.openxmlformats.org/officeDocument/2006/relationships/hyperlink" Target="https://www.nist.gov/publications/standards-security-categorization-federal-information-and-information-systems" TargetMode="External"/><Relationship Id="rId145" Type="http://schemas.openxmlformats.org/officeDocument/2006/relationships/hyperlink" Target="https://www.w3.org/TR/trace-context/" TargetMode="External"/><Relationship Id="rId166" Type="http://schemas.openxmlformats.org/officeDocument/2006/relationships/hyperlink" Target="https://aws.amazon.com/about-aws/whats-new/2024/10/metas-llama-31-8b-70b-models-fine-tuning-amazon-bedro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5873</Words>
  <Characters>37060</Characters>
  <Application>Microsoft Office Word</Application>
  <DocSecurity>0</DocSecurity>
  <Lines>650</Lines>
  <Paragraphs>327</Paragraphs>
  <ScaleCrop>false</ScaleCrop>
  <Company/>
  <LinksUpToDate>false</LinksUpToDate>
  <CharactersWithSpaces>42606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2026-03-02T03:53:00Z</dcterms:created>
  <dcterms:modified xsi:type="dcterms:W3CDTF">2026-03-02T03:53:00Z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