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1948" w14:textId="77777777" w:rsidR="00D21D62" w:rsidRDefault="00000000">
      <w:pPr>
        <w:pStyle w:val="Heading1"/>
      </w:pPr>
      <w:bookmarkStart w:id="0" w:name="header"/>
      <w:bookmarkStart w:id="1" w:name="X9c909c203f1fc71a10fc7552cf728fea6641486"/>
      <w:bookmarkStart w:id="2" w:name="content"/>
      <w:bookmarkEnd w:id="0"/>
      <w:r>
        <w:t>Version 2 — Sovereign Intelligence Architecture for RLC</w:t>
      </w:r>
    </w:p>
    <w:p w14:paraId="4D5D946E" w14:textId="77777777" w:rsidR="00D21D62" w:rsidRDefault="00000000">
      <w:pPr>
        <w:pStyle w:val="Heading2"/>
      </w:pPr>
      <w:bookmarkStart w:id="3" w:name="executive-summary"/>
      <w:r>
        <w:t>Executive summary</w:t>
      </w:r>
    </w:p>
    <w:p w14:paraId="1A141F6C" w14:textId="77777777" w:rsidR="00D21D62" w:rsidRDefault="00000000">
      <w:pPr>
        <w:pStyle w:val="FirstParagraph"/>
      </w:pPr>
      <w:r>
        <w:t xml:space="preserve">Version 2 reframes the RLC LLM stack as </w:t>
      </w:r>
      <w:r>
        <w:rPr>
          <w:b/>
          <w:bCs/>
        </w:rPr>
        <w:t>sovereign infrastructure</w:t>
      </w:r>
      <w:r>
        <w:t xml:space="preserve">: a system where </w:t>
      </w:r>
      <w:r>
        <w:rPr>
          <w:i/>
          <w:iCs/>
        </w:rPr>
        <w:t>data movement, tool execution, and decision provenance</w:t>
      </w:r>
      <w:r>
        <w:t xml:space="preserve"> are governed by an enforceable </w:t>
      </w:r>
      <w:r>
        <w:rPr>
          <w:b/>
          <w:bCs/>
        </w:rPr>
        <w:t>control plane</w:t>
      </w:r>
      <w:r>
        <w:t xml:space="preserve">, not by informal “use local when sensitive” habits. This is consistent with how your current autonomous pipeline documentation already treats LLM calls: every call is routed, logged, and tied to sensitivity, with tamper-evident audit trails and defined tier boundaries. </w:t>
      </w:r>
      <w:hyperlink r:id="rId5">
        <w:r>
          <w:rPr>
            <w:rStyle w:val="Hyperlink"/>
          </w:rPr>
          <w:t>[1]</w:t>
        </w:r>
      </w:hyperlink>
    </w:p>
    <w:p w14:paraId="11063573" w14:textId="77777777" w:rsidR="00D21D62" w:rsidRDefault="00000000">
      <w:pPr>
        <w:pStyle w:val="BodyText"/>
      </w:pPr>
      <w:r>
        <w:t>Three architectural moves define V2:</w:t>
      </w:r>
    </w:p>
    <w:p w14:paraId="363D2DA2" w14:textId="77777777" w:rsidR="00D21D62" w:rsidRDefault="00000000">
      <w:pPr>
        <w:pStyle w:val="BodyText"/>
      </w:pPr>
      <w:r>
        <w:t xml:space="preserve">First, formalize the operating model as </w:t>
      </w:r>
      <w:r>
        <w:rPr>
          <w:b/>
          <w:bCs/>
        </w:rPr>
        <w:t>three execution tiers (S/H/C) plus a control plane</w:t>
      </w:r>
      <w:r>
        <w:t xml:space="preserve">. Your pipeline guide explicitly maps “Sovereign Local / Hybrid Local / Cloud Extended” to what runs where and requires that LLM calls be mediated through a model router and logged. </w:t>
      </w:r>
      <w:hyperlink r:id="rId6">
        <w:r>
          <w:rPr>
            <w:rStyle w:val="Hyperlink"/>
          </w:rPr>
          <w:t>[1]</w:t>
        </w:r>
      </w:hyperlink>
    </w:p>
    <w:p w14:paraId="640C63CF" w14:textId="77777777" w:rsidR="00D21D62" w:rsidRDefault="00000000">
      <w:pPr>
        <w:pStyle w:val="BodyText"/>
      </w:pPr>
      <w:r>
        <w:t xml:space="preserve">Second, implement </w:t>
      </w:r>
      <w:r>
        <w:rPr>
          <w:b/>
          <w:bCs/>
        </w:rPr>
        <w:t>provider-agnostic model routing</w:t>
      </w:r>
      <w:r>
        <w:t xml:space="preserve"> through stable interfaces, so you can swap local runtimes (e.g., Ollama vs LM Studio) and optionally cloud providers without changing agent code. This is practical today because both Ollama and LM Studio expose OpenAI-compatible endpoints that allow you to re-use standard clients by changing only the base URL. </w:t>
      </w:r>
      <w:hyperlink r:id="rId7">
        <w:r>
          <w:rPr>
            <w:rStyle w:val="Hyperlink"/>
          </w:rPr>
          <w:t>[2]</w:t>
        </w:r>
      </w:hyperlink>
    </w:p>
    <w:p w14:paraId="4A5DF2BC" w14:textId="77777777" w:rsidR="00D21D62" w:rsidRDefault="00000000">
      <w:pPr>
        <w:pStyle w:val="BodyText"/>
      </w:pPr>
      <w:r>
        <w:t xml:space="preserve">Third, elevate governance: adopt a </w:t>
      </w:r>
      <w:r>
        <w:rPr>
          <w:b/>
          <w:bCs/>
        </w:rPr>
        <w:t>Levels 0–4 sensitivity schema</w:t>
      </w:r>
      <w:r>
        <w:t xml:space="preserve">, </w:t>
      </w:r>
      <w:r>
        <w:rPr>
          <w:b/>
          <w:bCs/>
        </w:rPr>
        <w:t>mandatory redaction/failover rules</w:t>
      </w:r>
      <w:r>
        <w:t xml:space="preserve">, </w:t>
      </w:r>
      <w:r>
        <w:rPr>
          <w:b/>
          <w:bCs/>
        </w:rPr>
        <w:t>cryptographically protected audit logs</w:t>
      </w:r>
      <w:r>
        <w:t xml:space="preserve">, and </w:t>
      </w:r>
      <w:r>
        <w:rPr>
          <w:b/>
          <w:bCs/>
        </w:rPr>
        <w:t>least-privilege containerized execution</w:t>
      </w:r>
      <w:r>
        <w:t xml:space="preserve">, aligning with recognized control guidance (e.g., NIST least privilege and audit-log protection expectations). </w:t>
      </w:r>
      <w:hyperlink r:id="rId8">
        <w:r>
          <w:rPr>
            <w:rStyle w:val="Hyperlink"/>
          </w:rPr>
          <w:t>[3]</w:t>
        </w:r>
      </w:hyperlink>
    </w:p>
    <w:p w14:paraId="1135FDC7" w14:textId="77777777" w:rsidR="00D21D62" w:rsidRDefault="00000000">
      <w:pPr>
        <w:pStyle w:val="BodyText"/>
      </w:pPr>
      <w:r>
        <w:t>The result is a V2 guide that reads like an internal doctrine and operating manual: clear tier boundaries, explicit routing/approval logic, measurable SLOs, resilience plans (PITR/DR), and a 12‑month roadmap—grounded in your existing RLC-Agent pipeline design artifacts and the highest-quality public sources.</w:t>
      </w:r>
    </w:p>
    <w:p w14:paraId="5F5568D9" w14:textId="77777777" w:rsidR="00D21D62" w:rsidRDefault="00000000">
      <w:pPr>
        <w:pStyle w:val="Heading2"/>
      </w:pPr>
      <w:bookmarkStart w:id="4" w:name="information-needs-and-evidence-base"/>
      <w:bookmarkEnd w:id="3"/>
      <w:r>
        <w:t>Information needs and evidence base</w:t>
      </w:r>
    </w:p>
    <w:p w14:paraId="6AA43774" w14:textId="77777777" w:rsidR="00D21D62" w:rsidRDefault="00000000">
      <w:pPr>
        <w:pStyle w:val="Heading3"/>
      </w:pPr>
      <w:bookmarkStart w:id="5" w:name="specific-information-needs"/>
      <w:r>
        <w:t>Specific information needs</w:t>
      </w:r>
    </w:p>
    <w:p w14:paraId="38F04930" w14:textId="77777777" w:rsidR="00D21D62" w:rsidRDefault="00000000">
      <w:pPr>
        <w:pStyle w:val="FirstParagraph"/>
      </w:pPr>
      <w:r>
        <w:t>To rewrite the RLC guide into a formal V2 document, the most load-bearing information needs are:</w:t>
      </w:r>
    </w:p>
    <w:p w14:paraId="75348D6D" w14:textId="77777777" w:rsidR="00D21D62" w:rsidRDefault="00000000">
      <w:pPr>
        <w:pStyle w:val="Compact"/>
        <w:numPr>
          <w:ilvl w:val="0"/>
          <w:numId w:val="2"/>
        </w:numPr>
      </w:pPr>
      <w:r>
        <w:t xml:space="preserve">The </w:t>
      </w:r>
      <w:r>
        <w:rPr>
          <w:b/>
          <w:bCs/>
        </w:rPr>
        <w:t>actual current RLC-Agent architecture</w:t>
      </w:r>
      <w:r>
        <w:t xml:space="preserve"> (agents, collectors, services, DB layers, and how LLM calls are orchestrated).</w:t>
      </w:r>
    </w:p>
    <w:p w14:paraId="7C228A60" w14:textId="77777777" w:rsidR="00D21D62" w:rsidRDefault="00000000">
      <w:pPr>
        <w:pStyle w:val="Compact"/>
        <w:numPr>
          <w:ilvl w:val="0"/>
          <w:numId w:val="2"/>
        </w:numPr>
      </w:pPr>
      <w:r>
        <w:t xml:space="preserve">The </w:t>
      </w:r>
      <w:r>
        <w:rPr>
          <w:b/>
          <w:bCs/>
        </w:rPr>
        <w:t>tier model and control plane responsibilities</w:t>
      </w:r>
      <w:r>
        <w:t xml:space="preserve"> (classifier/policy/router/tool-gateway/auditor/failover), plus what already exists vs what is planned.</w:t>
      </w:r>
    </w:p>
    <w:p w14:paraId="542387C6" w14:textId="77777777" w:rsidR="00D21D62" w:rsidRDefault="00000000">
      <w:pPr>
        <w:pStyle w:val="Compact"/>
        <w:numPr>
          <w:ilvl w:val="0"/>
          <w:numId w:val="2"/>
        </w:numPr>
      </w:pPr>
      <w:r>
        <w:lastRenderedPageBreak/>
        <w:t xml:space="preserve">A </w:t>
      </w:r>
      <w:r>
        <w:rPr>
          <w:b/>
          <w:bCs/>
        </w:rPr>
        <w:t>sensitivity schema (Levels 0–4)</w:t>
      </w:r>
      <w:r>
        <w:t xml:space="preserve"> and the corresponding </w:t>
      </w:r>
      <w:r>
        <w:rPr>
          <w:b/>
          <w:bCs/>
        </w:rPr>
        <w:t>routing constraints</w:t>
      </w:r>
      <w:r>
        <w:t xml:space="preserve"> (including “never send credentials” rules).</w:t>
      </w:r>
    </w:p>
    <w:p w14:paraId="721C9D5B" w14:textId="77777777" w:rsidR="00D21D62" w:rsidRDefault="00000000">
      <w:pPr>
        <w:pStyle w:val="Compact"/>
        <w:numPr>
          <w:ilvl w:val="0"/>
          <w:numId w:val="2"/>
        </w:numPr>
      </w:pPr>
      <w:r>
        <w:t xml:space="preserve">A </w:t>
      </w:r>
      <w:r>
        <w:rPr>
          <w:b/>
          <w:bCs/>
        </w:rPr>
        <w:t>logging/audit schema</w:t>
      </w:r>
      <w:r>
        <w:t xml:space="preserve"> (fields, hashing/chaining, retention, and integrity controls) that is credible against established security guidance.</w:t>
      </w:r>
    </w:p>
    <w:p w14:paraId="4ECD9183" w14:textId="77777777" w:rsidR="00D21D62" w:rsidRDefault="00000000">
      <w:pPr>
        <w:pStyle w:val="Compact"/>
        <w:numPr>
          <w:ilvl w:val="0"/>
          <w:numId w:val="2"/>
        </w:numPr>
      </w:pPr>
      <w:r>
        <w:t xml:space="preserve">A quantified </w:t>
      </w:r>
      <w:r>
        <w:rPr>
          <w:b/>
          <w:bCs/>
        </w:rPr>
        <w:t>performance + economics model</w:t>
      </w:r>
      <w:r>
        <w:t>, including tokens/sec telemetry methodology, end-to-end chain latency accounting, and RTX 5080 24/7 energy costs.</w:t>
      </w:r>
    </w:p>
    <w:p w14:paraId="3F542655" w14:textId="77777777" w:rsidR="00D21D62" w:rsidRDefault="00000000">
      <w:pPr>
        <w:pStyle w:val="Compact"/>
        <w:numPr>
          <w:ilvl w:val="0"/>
          <w:numId w:val="2"/>
        </w:numPr>
      </w:pPr>
      <w:r>
        <w:t xml:space="preserve">The operational hardening layer: </w:t>
      </w:r>
      <w:r>
        <w:rPr>
          <w:b/>
          <w:bCs/>
        </w:rPr>
        <w:t>containerization, least privilege</w:t>
      </w:r>
      <w:r>
        <w:t xml:space="preserve">, </w:t>
      </w:r>
      <w:r>
        <w:rPr>
          <w:b/>
          <w:bCs/>
        </w:rPr>
        <w:t>failover tiers + redaction</w:t>
      </w:r>
      <w:r>
        <w:t xml:space="preserve">, </w:t>
      </w:r>
      <w:r>
        <w:rPr>
          <w:b/>
          <w:bCs/>
        </w:rPr>
        <w:t>DR/backups</w:t>
      </w:r>
      <w:r>
        <w:t>, and a governance cadence and roadmap.</w:t>
      </w:r>
    </w:p>
    <w:p w14:paraId="1A4F5942" w14:textId="77777777" w:rsidR="00D21D62" w:rsidRDefault="00000000">
      <w:pPr>
        <w:pStyle w:val="Heading3"/>
      </w:pPr>
      <w:bookmarkStart w:id="6" w:name="X3cec76fb277a5975a73d77424b62146b471aa2e"/>
      <w:bookmarkEnd w:id="5"/>
      <w:r>
        <w:t>Diversified discovery scan across connectors and web</w:t>
      </w:r>
    </w:p>
    <w:p w14:paraId="711FEC4D" w14:textId="77777777" w:rsidR="00D21D62" w:rsidRDefault="00000000">
      <w:pPr>
        <w:pStyle w:val="FirstParagraph"/>
      </w:pPr>
      <w:r>
        <w:t xml:space="preserve">You requested the research begin by using enabled connectors via </w:t>
      </w:r>
      <w:r>
        <w:rPr>
          <w:rStyle w:val="VerbatimChar"/>
        </w:rPr>
        <w:t>api_tool</w:t>
      </w:r>
      <w:r>
        <w:t>—</w:t>
      </w:r>
      <w:r>
        <w:rPr>
          <w:b/>
          <w:bCs/>
        </w:rPr>
        <w:t>Notion, GitHub, Dropbox</w:t>
      </w:r>
      <w:r>
        <w:t>—before consulting web sources.</w:t>
      </w:r>
    </w:p>
    <w:p w14:paraId="70B93012" w14:textId="77777777" w:rsidR="00D21D62" w:rsidRDefault="00000000">
      <w:pPr>
        <w:pStyle w:val="Compact"/>
        <w:numPr>
          <w:ilvl w:val="0"/>
          <w:numId w:val="3"/>
        </w:numPr>
      </w:pPr>
      <w:r>
        <w:rPr>
          <w:b/>
          <w:bCs/>
        </w:rPr>
        <w:t>Dropbox connector (queried and deepened)</w:t>
      </w:r>
      <w:r>
        <w:t xml:space="preserve">: located and pulled the internal architecture documents that already define the control plane, tiers S/H/C, sensitivity levels, model router, and </w:t>
      </w:r>
      <w:r>
        <w:rPr>
          <w:rStyle w:val="VerbatimChar"/>
        </w:rPr>
        <w:t>core.llm_call_log</w:t>
      </w:r>
      <w:r>
        <w:t xml:space="preserve"> schema. </w:t>
      </w:r>
      <w:hyperlink r:id="rId9">
        <w:r>
          <w:rPr>
            <w:rStyle w:val="Hyperlink"/>
          </w:rPr>
          <w:t>[1]</w:t>
        </w:r>
      </w:hyperlink>
    </w:p>
    <w:p w14:paraId="0B76042D" w14:textId="77777777" w:rsidR="00D21D62" w:rsidRDefault="00000000">
      <w:pPr>
        <w:pStyle w:val="Compact"/>
        <w:numPr>
          <w:ilvl w:val="0"/>
          <w:numId w:val="3"/>
        </w:numPr>
      </w:pPr>
      <w:r>
        <w:rPr>
          <w:b/>
          <w:bCs/>
        </w:rPr>
        <w:t>GitHub connector (queried and prioritized)</w:t>
      </w:r>
      <w:r>
        <w:t xml:space="preserve">: confirmed the repository </w:t>
      </w:r>
      <w:r>
        <w:rPr>
          <w:rStyle w:val="VerbatimChar"/>
        </w:rPr>
        <w:t>torealden/RLC-Agent</w:t>
      </w:r>
      <w:r>
        <w:t xml:space="preserve"> is present and public, and retrieved the repo’s README through the GitHub connector. (No other GitHub repos were used for RLC-Agent.)</w:t>
      </w:r>
    </w:p>
    <w:p w14:paraId="498AD989" w14:textId="77777777" w:rsidR="00D21D62" w:rsidRDefault="00000000">
      <w:pPr>
        <w:pStyle w:val="Compact"/>
        <w:numPr>
          <w:ilvl w:val="0"/>
          <w:numId w:val="3"/>
        </w:numPr>
      </w:pPr>
      <w:r>
        <w:rPr>
          <w:b/>
          <w:bCs/>
        </w:rPr>
        <w:t>Notion connector (attempted)</w:t>
      </w:r>
      <w:r>
        <w:t xml:space="preserve">: Notion access failed with a 401 “API token is invalid,” so V2 treats Notion integration as </w:t>
      </w:r>
      <w:r>
        <w:rPr>
          <w:i/>
          <w:iCs/>
        </w:rPr>
        <w:t>architecturally supported but currently unavailable in this research session</w:t>
      </w:r>
      <w:r>
        <w:t xml:space="preserve"> (and therefore “environment-dependent”).</w:t>
      </w:r>
    </w:p>
    <w:p w14:paraId="6EC83688" w14:textId="77777777" w:rsidR="00D21D62" w:rsidRDefault="00000000">
      <w:pPr>
        <w:pStyle w:val="FirstParagraph"/>
      </w:pPr>
      <w:r>
        <w:t xml:space="preserve">After covering connectors, the scan broadened to </w:t>
      </w:r>
      <w:r>
        <w:rPr>
          <w:b/>
          <w:bCs/>
        </w:rPr>
        <w:t>primary/official web sources</w:t>
      </w:r>
      <w:r>
        <w:t xml:space="preserve">: NIST special publications and control guidance (log management, contingency planning, AI RMF), OWASP LLM Top 10, Docker security docs, Anthropic MCP docs, Ollama/LM Studio documentation, SearxNG docs, Neo4j docs, Postgres PITR docs, OpenTelemetry and W3C trace context, NVIDIA RTX 5080 official specs, and authoritative electricity price datasets. </w:t>
      </w:r>
      <w:hyperlink r:id="rId10">
        <w:r>
          <w:rPr>
            <w:rStyle w:val="Hyperlink"/>
          </w:rPr>
          <w:t>[4]</w:t>
        </w:r>
      </w:hyperlink>
    </w:p>
    <w:p w14:paraId="11E0F07A" w14:textId="77777777" w:rsidR="00D21D62" w:rsidRDefault="00000000">
      <w:pPr>
        <w:pStyle w:val="Heading3"/>
      </w:pPr>
      <w:bookmarkStart w:id="7" w:name="triage-and-deepening-logic"/>
      <w:bookmarkEnd w:id="6"/>
      <w:r>
        <w:t>Triage and deepening logic</w:t>
      </w:r>
    </w:p>
    <w:p w14:paraId="7D762F8A" w14:textId="77777777" w:rsidR="00D21D62" w:rsidRDefault="00000000">
      <w:pPr>
        <w:pStyle w:val="FirstParagraph"/>
      </w:pPr>
      <w:r>
        <w:t>The triage rule for V2 is: use internal docs as the “system truth” for what RLC has actually designed/built, then use public sources only to strengthen rigor where policy, security, telemetry, and cost modeling require external authority.</w:t>
      </w:r>
    </w:p>
    <w:p w14:paraId="3A0ABC51" w14:textId="77777777" w:rsidR="00D21D62" w:rsidRDefault="00000000">
      <w:pPr>
        <w:pStyle w:val="Compact"/>
        <w:numPr>
          <w:ilvl w:val="0"/>
          <w:numId w:val="4"/>
        </w:numPr>
      </w:pPr>
      <w:r>
        <w:rPr>
          <w:b/>
          <w:bCs/>
        </w:rPr>
        <w:t>Primary internal anchors</w:t>
      </w:r>
      <w:r>
        <w:t xml:space="preserve">: Autonomous pipeline control-plane design, tier mapping, and audit schema; companion LLM architecture guide describing tool/data-flow boundaries and local performance assumptions. </w:t>
      </w:r>
      <w:hyperlink r:id="rId11">
        <w:r>
          <w:rPr>
            <w:rStyle w:val="Hyperlink"/>
          </w:rPr>
          <w:t>[1]</w:t>
        </w:r>
      </w:hyperlink>
    </w:p>
    <w:p w14:paraId="48E73A94" w14:textId="77777777" w:rsidR="00D21D62" w:rsidRDefault="00000000">
      <w:pPr>
        <w:pStyle w:val="Compact"/>
        <w:numPr>
          <w:ilvl w:val="0"/>
          <w:numId w:val="4"/>
        </w:numPr>
      </w:pPr>
      <w:r>
        <w:rPr>
          <w:b/>
          <w:bCs/>
        </w:rPr>
        <w:t>Primary external anchors</w:t>
      </w:r>
      <w:r>
        <w:t xml:space="preserve">: NIST log management and contingency planning; OWASP LLM Top 10; NIST SP 800‑53 control concepts for least privilege and audit log protection; vendor/runtime docs for MCP, SearxNG, Ollama, LM Studio; Postgres PITR; RTX 5080 power specs; NYSERDA/EIA electricity price data. </w:t>
      </w:r>
      <w:hyperlink r:id="rId12">
        <w:r>
          <w:rPr>
            <w:rStyle w:val="Hyperlink"/>
          </w:rPr>
          <w:t>[5]</w:t>
        </w:r>
      </w:hyperlink>
    </w:p>
    <w:p w14:paraId="69BF20B8" w14:textId="77777777" w:rsidR="00D21D62" w:rsidRDefault="00000000">
      <w:pPr>
        <w:pStyle w:val="FirstParagraph"/>
      </w:pPr>
      <w:r>
        <w:lastRenderedPageBreak/>
        <w:t>Evidence is sufficient when (a) the V2 rewrite can faithfully describe RLC’s existing architecture and planned upgrades, and (b) every governance/security/performance claim is backed by a primary source or clearly labeled as an assumption.</w:t>
      </w:r>
    </w:p>
    <w:p w14:paraId="645734B1" w14:textId="77777777" w:rsidR="00D21D62" w:rsidRDefault="00000000">
      <w:pPr>
        <w:pStyle w:val="Heading2"/>
      </w:pPr>
      <w:bookmarkStart w:id="8" w:name="system-architecture"/>
      <w:bookmarkEnd w:id="4"/>
      <w:bookmarkEnd w:id="7"/>
      <w:r>
        <w:t>System architecture</w:t>
      </w:r>
    </w:p>
    <w:p w14:paraId="008D6231" w14:textId="77777777" w:rsidR="00D21D62" w:rsidRDefault="00000000">
      <w:pPr>
        <w:pStyle w:val="Heading3"/>
      </w:pPr>
      <w:bookmarkStart w:id="9" w:name="X8ccc855c7752b05c1ebb5e16bc6d670a1298445"/>
      <w:r>
        <w:t>Architectural doctrine: three tiers plus control plane</w:t>
      </w:r>
    </w:p>
    <w:p w14:paraId="4AFC96E4" w14:textId="77777777" w:rsidR="00D21D62" w:rsidRDefault="00000000">
      <w:pPr>
        <w:pStyle w:val="FirstParagraph"/>
      </w:pPr>
      <w:r>
        <w:t>The internal pipeline architecture already expresses the target end state as:</w:t>
      </w:r>
    </w:p>
    <w:p w14:paraId="57357F4C" w14:textId="77777777" w:rsidR="00D21D62" w:rsidRDefault="00000000">
      <w:pPr>
        <w:pStyle w:val="Compact"/>
        <w:numPr>
          <w:ilvl w:val="0"/>
          <w:numId w:val="5"/>
        </w:numPr>
      </w:pPr>
      <w:r>
        <w:rPr>
          <w:b/>
          <w:bCs/>
        </w:rPr>
        <w:t>Tier S — Sovereign Local</w:t>
      </w:r>
      <w:r>
        <w:t xml:space="preserve"> (no internet): sensitive narrative generation using proprietary contexts; Level ≥2 data processing stays local; Level 4 never touches an LLM. </w:t>
      </w:r>
      <w:hyperlink r:id="rId13">
        <w:r>
          <w:rPr>
            <w:rStyle w:val="Hyperlink"/>
          </w:rPr>
          <w:t>[1]</w:t>
        </w:r>
      </w:hyperlink>
    </w:p>
    <w:p w14:paraId="3A615D14" w14:textId="77777777" w:rsidR="00D21D62" w:rsidRDefault="00000000">
      <w:pPr>
        <w:pStyle w:val="Compact"/>
        <w:numPr>
          <w:ilvl w:val="0"/>
          <w:numId w:val="5"/>
        </w:numPr>
      </w:pPr>
      <w:r>
        <w:rPr>
          <w:b/>
          <w:bCs/>
        </w:rPr>
        <w:t>Tier H — Hybrid Local</w:t>
      </w:r>
      <w:r>
        <w:t xml:space="preserve"> (constrained egress): collectors that must reach government APIs, enrichment, scheduling, and similar ingestion services. </w:t>
      </w:r>
      <w:hyperlink r:id="rId14">
        <w:r>
          <w:rPr>
            <w:rStyle w:val="Hyperlink"/>
          </w:rPr>
          <w:t>[1]</w:t>
        </w:r>
      </w:hyperlink>
    </w:p>
    <w:p w14:paraId="443C9345" w14:textId="77777777" w:rsidR="00D21D62" w:rsidRDefault="00000000">
      <w:pPr>
        <w:pStyle w:val="Compact"/>
        <w:numPr>
          <w:ilvl w:val="0"/>
          <w:numId w:val="5"/>
        </w:numPr>
      </w:pPr>
      <w:r>
        <w:rPr>
          <w:b/>
          <w:bCs/>
        </w:rPr>
        <w:t>Tier C — Cloud Extended</w:t>
      </w:r>
      <w:r>
        <w:t xml:space="preserve">: cloud LLM calls for Level 0–1 analysis (public/market data) with redaction gates and call logging. </w:t>
      </w:r>
      <w:hyperlink r:id="rId15">
        <w:r>
          <w:rPr>
            <w:rStyle w:val="Hyperlink"/>
          </w:rPr>
          <w:t>[1]</w:t>
        </w:r>
      </w:hyperlink>
    </w:p>
    <w:p w14:paraId="62EA9116" w14:textId="77777777" w:rsidR="00D21D62" w:rsidRDefault="00000000">
      <w:pPr>
        <w:pStyle w:val="FirstParagraph"/>
      </w:pPr>
      <w:r>
        <w:t xml:space="preserve">V2 should keep these tier names (S/H/C) because they are </w:t>
      </w:r>
      <w:r>
        <w:rPr>
          <w:i/>
          <w:iCs/>
        </w:rPr>
        <w:t>operationally precise</w:t>
      </w:r>
      <w:r>
        <w:t xml:space="preserve"> (egress expectations are explicit), and then map them clearly to the “three-tier privacy model” described in the LLM Architecture Guide (local / cloud API / managed UI), so the organization has a single canonical tier vocabulary.</w:t>
      </w:r>
    </w:p>
    <w:p w14:paraId="5BCCDCB8" w14:textId="77777777" w:rsidR="00D21D62" w:rsidRDefault="00000000">
      <w:pPr>
        <w:pStyle w:val="Heading3"/>
      </w:pPr>
      <w:bookmarkStart w:id="10" w:name="control-plane-responsibilities"/>
      <w:bookmarkEnd w:id="9"/>
      <w:r>
        <w:t>Control plane responsibilities</w:t>
      </w:r>
    </w:p>
    <w:p w14:paraId="5D3C75FA" w14:textId="77777777" w:rsidR="00D21D62" w:rsidRDefault="00000000">
      <w:pPr>
        <w:pStyle w:val="FirstParagraph"/>
      </w:pPr>
      <w:r>
        <w:t xml:space="preserve">Your pipeline doc defines a control plane with six functions (classifier, policy engine, model router, tool gateway, auditor/call logger, failover controller) and makes the Central Nervous System (CNS) tables/views the foundation for governance. </w:t>
      </w:r>
      <w:hyperlink r:id="rId16">
        <w:r>
          <w:rPr>
            <w:rStyle w:val="Hyperlink"/>
          </w:rPr>
          <w:t>[1]</w:t>
        </w:r>
      </w:hyperlink>
    </w:p>
    <w:p w14:paraId="7386F0AD" w14:textId="77777777" w:rsidR="00D21D62" w:rsidRDefault="00000000">
      <w:pPr>
        <w:pStyle w:val="BodyText"/>
      </w:pPr>
      <w:r>
        <w:t xml:space="preserve">V2 should formalize the control plane as the </w:t>
      </w:r>
      <w:r>
        <w:rPr>
          <w:i/>
          <w:iCs/>
        </w:rPr>
        <w:t>only</w:t>
      </w:r>
      <w:r>
        <w:t xml:space="preserve"> entrypoint for:</w:t>
      </w:r>
    </w:p>
    <w:p w14:paraId="1ACC1C87" w14:textId="77777777" w:rsidR="00D21D62" w:rsidRDefault="00000000">
      <w:pPr>
        <w:pStyle w:val="Compact"/>
        <w:numPr>
          <w:ilvl w:val="0"/>
          <w:numId w:val="6"/>
        </w:numPr>
      </w:pPr>
      <w:r>
        <w:rPr>
          <w:b/>
          <w:bCs/>
        </w:rPr>
        <w:t>Model calls</w:t>
      </w:r>
      <w:r>
        <w:t xml:space="preserve"> (local and cloud)</w:t>
      </w:r>
    </w:p>
    <w:p w14:paraId="236F2E4D" w14:textId="77777777" w:rsidR="00D21D62" w:rsidRDefault="00000000">
      <w:pPr>
        <w:pStyle w:val="Compact"/>
        <w:numPr>
          <w:ilvl w:val="0"/>
          <w:numId w:val="6"/>
        </w:numPr>
      </w:pPr>
      <w:r>
        <w:rPr>
          <w:b/>
          <w:bCs/>
        </w:rPr>
        <w:t>Tool execution</w:t>
      </w:r>
      <w:r>
        <w:t xml:space="preserve"> (DB queries, filesystem reads, collectors, graph queries)</w:t>
      </w:r>
    </w:p>
    <w:p w14:paraId="7B500FD8" w14:textId="77777777" w:rsidR="00D21D62" w:rsidRDefault="00000000">
      <w:pPr>
        <w:pStyle w:val="Compact"/>
        <w:numPr>
          <w:ilvl w:val="0"/>
          <w:numId w:val="6"/>
        </w:numPr>
      </w:pPr>
      <w:r>
        <w:rPr>
          <w:b/>
          <w:bCs/>
        </w:rPr>
        <w:t>Data sensitivity enforcement</w:t>
      </w:r>
    </w:p>
    <w:p w14:paraId="497CC36F" w14:textId="77777777" w:rsidR="00D21D62" w:rsidRDefault="00000000">
      <w:pPr>
        <w:pStyle w:val="Compact"/>
        <w:numPr>
          <w:ilvl w:val="0"/>
          <w:numId w:val="6"/>
        </w:numPr>
      </w:pPr>
      <w:r>
        <w:rPr>
          <w:b/>
          <w:bCs/>
        </w:rPr>
        <w:t>Auditing and traceability</w:t>
      </w:r>
    </w:p>
    <w:p w14:paraId="52625DCD" w14:textId="77777777" w:rsidR="00D21D62" w:rsidRDefault="00000000">
      <w:pPr>
        <w:pStyle w:val="Compact"/>
        <w:numPr>
          <w:ilvl w:val="0"/>
          <w:numId w:val="6"/>
        </w:numPr>
      </w:pPr>
      <w:r>
        <w:rPr>
          <w:b/>
          <w:bCs/>
        </w:rPr>
        <w:t>Failover decisions</w:t>
      </w:r>
    </w:p>
    <w:p w14:paraId="22B57191" w14:textId="77777777" w:rsidR="00D21D62" w:rsidRDefault="00000000">
      <w:pPr>
        <w:pStyle w:val="FirstParagraph"/>
      </w:pPr>
      <w:r>
        <w:t xml:space="preserve">This is not just “nice to have.” OWASP’s LLM Top 10 flags prompt injection, insecure plugin design, sensitive information disclosure, and excessive agency as leading risks—each one becomes materially worse if agents/tools are not governed by a policy gate. </w:t>
      </w:r>
      <w:hyperlink r:id="rId17">
        <w:r>
          <w:rPr>
            <w:rStyle w:val="Hyperlink"/>
          </w:rPr>
          <w:t>[6]</w:t>
        </w:r>
      </w:hyperlink>
    </w:p>
    <w:p w14:paraId="25D29754" w14:textId="77777777" w:rsidR="00D21D62" w:rsidRDefault="00000000">
      <w:pPr>
        <w:pStyle w:val="Heading3"/>
      </w:pPr>
      <w:bookmarkStart w:id="11" w:name="X6ddf88cef4a6b3dd3b63a9a717c4109c58873d6"/>
      <w:bookmarkEnd w:id="10"/>
      <w:r>
        <w:t>Architecture mermaid diagram: tiers plus control plane</w:t>
      </w:r>
    </w:p>
    <w:p w14:paraId="1B042837" w14:textId="77777777" w:rsidR="00D21D62" w:rsidRDefault="00000000">
      <w:pPr>
        <w:pStyle w:val="SourceCode"/>
      </w:pPr>
      <w:r>
        <w:rPr>
          <w:rStyle w:val="VerbatimChar"/>
        </w:rPr>
        <w:t>flowchart TB</w:t>
      </w:r>
      <w:r>
        <w:br/>
      </w:r>
      <w:r>
        <w:rPr>
          <w:rStyle w:val="VerbatimChar"/>
        </w:rPr>
        <w:t xml:space="preserve">  U[Analyst / Operator] --&gt; UI[Interfaces: CLI · MCP · Agents · Scheduler]</w:t>
      </w:r>
      <w:r>
        <w:br/>
      </w:r>
      <w:r>
        <w:br/>
      </w:r>
      <w:r>
        <w:rPr>
          <w:rStyle w:val="VerbatimChar"/>
        </w:rPr>
        <w:t xml:space="preserve">  UI --&gt; CP[Control Plane]</w:t>
      </w:r>
      <w:r>
        <w:br/>
      </w:r>
      <w:r>
        <w:lastRenderedPageBreak/>
        <w:br/>
      </w:r>
      <w:r>
        <w:rPr>
          <w:rStyle w:val="VerbatimChar"/>
        </w:rPr>
        <w:t xml:space="preserve">  subgraph CPBOX[Control Plane]</w:t>
      </w:r>
      <w:r>
        <w:br/>
      </w:r>
      <w:r>
        <w:rPr>
          <w:rStyle w:val="VerbatimChar"/>
        </w:rPr>
        <w:t xml:space="preserve">    CL[Classifier: sensitivity L0-L4 + task type]</w:t>
      </w:r>
      <w:r>
        <w:br/>
      </w:r>
      <w:r>
        <w:rPr>
          <w:rStyle w:val="VerbatimChar"/>
        </w:rPr>
        <w:t xml:space="preserve">    PE[Policy Engine: allow/ask/deny + redaction + approvals]</w:t>
      </w:r>
      <w:r>
        <w:br/>
      </w:r>
      <w:r>
        <w:rPr>
          <w:rStyle w:val="VerbatimChar"/>
        </w:rPr>
        <w:t xml:space="preserve">    MR[Model Router: provider-agnostic selection]</w:t>
      </w:r>
      <w:r>
        <w:br/>
      </w:r>
      <w:r>
        <w:rPr>
          <w:rStyle w:val="VerbatimChar"/>
        </w:rPr>
        <w:t xml:space="preserve">    TG[Tool Gateway: scoped tool access via MCP/adapters]</w:t>
      </w:r>
      <w:r>
        <w:br/>
      </w:r>
      <w:r>
        <w:rPr>
          <w:rStyle w:val="VerbatimChar"/>
        </w:rPr>
        <w:t xml:space="preserve">    AU[Auditor: call log + hash chaining + metrics]</w:t>
      </w:r>
      <w:r>
        <w:br/>
      </w:r>
      <w:r>
        <w:rPr>
          <w:rStyle w:val="VerbatimChar"/>
        </w:rPr>
        <w:t xml:space="preserve">    FO[Failover Controller: local→hybrid→cloud]</w:t>
      </w:r>
      <w:r>
        <w:br/>
      </w:r>
      <w:r>
        <w:rPr>
          <w:rStyle w:val="VerbatimChar"/>
        </w:rPr>
        <w:t xml:space="preserve">  end</w:t>
      </w:r>
      <w:r>
        <w:br/>
      </w:r>
      <w:r>
        <w:br/>
      </w:r>
      <w:r>
        <w:rPr>
          <w:rStyle w:val="VerbatimChar"/>
        </w:rPr>
        <w:t xml:space="preserve">  CP --&gt; CL --&gt; PE --&gt; MR --&gt; FO --&gt; AU</w:t>
      </w:r>
      <w:r>
        <w:br/>
      </w:r>
      <w:r>
        <w:rPr>
          <w:rStyle w:val="VerbatimChar"/>
        </w:rPr>
        <w:t xml:space="preserve">  PE --&gt; TG --&gt; AU</w:t>
      </w:r>
      <w:r>
        <w:br/>
      </w:r>
      <w:r>
        <w:br/>
      </w:r>
      <w:r>
        <w:rPr>
          <w:rStyle w:val="VerbatimChar"/>
        </w:rPr>
        <w:t xml:space="preserve">  subgraph TS[Tier S: Sovereign Local (no egress)]</w:t>
      </w:r>
      <w:r>
        <w:br/>
      </w:r>
      <w:r>
        <w:rPr>
          <w:rStyle w:val="VerbatimChar"/>
        </w:rPr>
        <w:t xml:space="preserve">    LLM1[Local LLM Runtime: Ollama/LM Studio]</w:t>
      </w:r>
      <w:r>
        <w:br/>
      </w:r>
      <w:r>
        <w:rPr>
          <w:rStyle w:val="VerbatimChar"/>
        </w:rPr>
        <w:t xml:space="preserve">    DB1[Local PostgreSQL + KG tables]</w:t>
      </w:r>
      <w:r>
        <w:br/>
      </w:r>
      <w:r>
        <w:rPr>
          <w:rStyle w:val="VerbatimChar"/>
        </w:rPr>
        <w:t xml:space="preserve">    FS1[Local files: prompts, reports, charts]</w:t>
      </w:r>
      <w:r>
        <w:br/>
      </w:r>
      <w:r>
        <w:rPr>
          <w:rStyle w:val="VerbatimChar"/>
        </w:rPr>
        <w:t xml:space="preserve">  end</w:t>
      </w:r>
      <w:r>
        <w:br/>
      </w:r>
      <w:r>
        <w:br/>
      </w:r>
      <w:r>
        <w:rPr>
          <w:rStyle w:val="VerbatimChar"/>
        </w:rPr>
        <w:t xml:space="preserve">  subgraph TH[Tier H: Hybrid Local (constrained egress)]</w:t>
      </w:r>
      <w:r>
        <w:br/>
      </w:r>
      <w:r>
        <w:rPr>
          <w:rStyle w:val="VerbatimChar"/>
        </w:rPr>
        <w:t xml:space="preserve">    COL[Collectors + Dispatcher + Enrichment]</w:t>
      </w:r>
      <w:r>
        <w:br/>
      </w:r>
      <w:r>
        <w:rPr>
          <w:rStyle w:val="VerbatimChar"/>
        </w:rPr>
        <w:t xml:space="preserve">    SEARCH[SearxNG (self-host search)]</w:t>
      </w:r>
      <w:r>
        <w:br/>
      </w:r>
      <w:r>
        <w:rPr>
          <w:rStyle w:val="VerbatimChar"/>
        </w:rPr>
        <w:t xml:space="preserve">    GRAPH[Neo4j (optional KG expander)]</w:t>
      </w:r>
      <w:r>
        <w:br/>
      </w:r>
      <w:r>
        <w:rPr>
          <w:rStyle w:val="VerbatimChar"/>
        </w:rPr>
        <w:t xml:space="preserve">  end</w:t>
      </w:r>
      <w:r>
        <w:br/>
      </w:r>
      <w:r>
        <w:br/>
      </w:r>
      <w:r>
        <w:rPr>
          <w:rStyle w:val="VerbatimChar"/>
        </w:rPr>
        <w:t xml:space="preserve">  subgraph TC[Tier C: Cloud Extended]</w:t>
      </w:r>
      <w:r>
        <w:br/>
      </w:r>
      <w:r>
        <w:rPr>
          <w:rStyle w:val="VerbatimChar"/>
        </w:rPr>
        <w:t xml:space="preserve">    API[Cloud LLM API calls]</w:t>
      </w:r>
      <w:r>
        <w:br/>
      </w:r>
      <w:r>
        <w:rPr>
          <w:rStyle w:val="VerbatimChar"/>
        </w:rPr>
        <w:t xml:space="preserve">  end</w:t>
      </w:r>
      <w:r>
        <w:br/>
      </w:r>
      <w:r>
        <w:br/>
      </w:r>
      <w:r>
        <w:rPr>
          <w:rStyle w:val="VerbatimChar"/>
        </w:rPr>
        <w:t xml:space="preserve">  MR --&gt; LLM1</w:t>
      </w:r>
      <w:r>
        <w:br/>
      </w:r>
      <w:r>
        <w:rPr>
          <w:rStyle w:val="VerbatimChar"/>
        </w:rPr>
        <w:t xml:space="preserve">  TG --&gt; DB1</w:t>
      </w:r>
      <w:r>
        <w:br/>
      </w:r>
      <w:r>
        <w:rPr>
          <w:rStyle w:val="VerbatimChar"/>
        </w:rPr>
        <w:t xml:space="preserve">  TG --&gt; FS1</w:t>
      </w:r>
      <w:r>
        <w:br/>
      </w:r>
      <w:r>
        <w:rPr>
          <w:rStyle w:val="VerbatimChar"/>
        </w:rPr>
        <w:t xml:space="preserve">  FO --&gt; COL</w:t>
      </w:r>
      <w:r>
        <w:br/>
      </w:r>
      <w:r>
        <w:rPr>
          <w:rStyle w:val="VerbatimChar"/>
        </w:rPr>
        <w:t xml:space="preserve">  TG --&gt; SEARCH</w:t>
      </w:r>
      <w:r>
        <w:br/>
      </w:r>
      <w:r>
        <w:rPr>
          <w:rStyle w:val="VerbatimChar"/>
        </w:rPr>
        <w:t xml:space="preserve">  TG --&gt; GRAPH</w:t>
      </w:r>
      <w:r>
        <w:br/>
      </w:r>
      <w:r>
        <w:rPr>
          <w:rStyle w:val="VerbatimChar"/>
        </w:rPr>
        <w:t xml:space="preserve">  FO --&gt; API</w:t>
      </w:r>
    </w:p>
    <w:p w14:paraId="09879063" w14:textId="77777777" w:rsidR="00D21D62" w:rsidRDefault="00000000">
      <w:pPr>
        <w:pStyle w:val="Heading3"/>
      </w:pPr>
      <w:bookmarkStart w:id="12" w:name="Xf25eb1470050d5954486bf4b1f5e0673edd4c27"/>
      <w:bookmarkEnd w:id="11"/>
      <w:r>
        <w:t>Model routing abstraction: portability by interface</w:t>
      </w:r>
    </w:p>
    <w:p w14:paraId="30BAE79A" w14:textId="77777777" w:rsidR="00D21D62" w:rsidRDefault="00000000">
      <w:pPr>
        <w:pStyle w:val="FirstParagraph"/>
      </w:pPr>
      <w:r>
        <w:t>A V2 “sovereign” router should treat model endpoints as interchangeable providers behind one contract:</w:t>
      </w:r>
    </w:p>
    <w:p w14:paraId="0D53DD49" w14:textId="77777777" w:rsidR="00D21D62" w:rsidRDefault="00000000">
      <w:pPr>
        <w:pStyle w:val="Compact"/>
        <w:numPr>
          <w:ilvl w:val="0"/>
          <w:numId w:val="7"/>
        </w:numPr>
      </w:pPr>
      <w:r>
        <w:rPr>
          <w:b/>
          <w:bCs/>
        </w:rPr>
        <w:t>Local runtime portability</w:t>
      </w:r>
      <w:r>
        <w:t>:</w:t>
      </w:r>
    </w:p>
    <w:p w14:paraId="655CE0EE" w14:textId="77777777" w:rsidR="00D21D62" w:rsidRDefault="00000000">
      <w:pPr>
        <w:pStyle w:val="Compact"/>
        <w:numPr>
          <w:ilvl w:val="0"/>
          <w:numId w:val="7"/>
        </w:numPr>
      </w:pPr>
      <w:r>
        <w:t xml:space="preserve">Ollama supports portions of the OpenAI API (e.g., </w:t>
      </w:r>
      <w:r>
        <w:rPr>
          <w:rStyle w:val="VerbatimChar"/>
        </w:rPr>
        <w:t>/v1/chat/completions</w:t>
      </w:r>
      <w:r>
        <w:t xml:space="preserve">, </w:t>
      </w:r>
      <w:r>
        <w:rPr>
          <w:rStyle w:val="VerbatimChar"/>
        </w:rPr>
        <w:t>/v1/responses</w:t>
      </w:r>
      <w:r>
        <w:t xml:space="preserve">) so existing OpenAI client libraries can be reused by changing </w:t>
      </w:r>
      <w:r>
        <w:rPr>
          <w:rStyle w:val="VerbatimChar"/>
        </w:rPr>
        <w:t>base_url</w:t>
      </w:r>
      <w:r>
        <w:t xml:space="preserve">. </w:t>
      </w:r>
      <w:hyperlink r:id="rId18">
        <w:r>
          <w:rPr>
            <w:rStyle w:val="Hyperlink"/>
          </w:rPr>
          <w:t>[7]</w:t>
        </w:r>
      </w:hyperlink>
    </w:p>
    <w:p w14:paraId="372DF922" w14:textId="77777777" w:rsidR="00D21D62" w:rsidRDefault="00000000">
      <w:pPr>
        <w:numPr>
          <w:ilvl w:val="0"/>
          <w:numId w:val="7"/>
        </w:numPr>
      </w:pPr>
      <w:r>
        <w:lastRenderedPageBreak/>
        <w:t>LM Studio also exposes OpenAI-compatible endpoints (</w:t>
      </w:r>
      <w:r>
        <w:rPr>
          <w:rStyle w:val="VerbatimChar"/>
        </w:rPr>
        <w:t>/v1/models</w:t>
      </w:r>
      <w:r>
        <w:t xml:space="preserve">, </w:t>
      </w:r>
      <w:r>
        <w:rPr>
          <w:rStyle w:val="VerbatimChar"/>
        </w:rPr>
        <w:t>/v1/chat/completions</w:t>
      </w:r>
      <w:r>
        <w:t xml:space="preserve">, </w:t>
      </w:r>
      <w:r>
        <w:rPr>
          <w:rStyle w:val="VerbatimChar"/>
        </w:rPr>
        <w:t>/v1/embeddings</w:t>
      </w:r>
      <w:r>
        <w:t xml:space="preserve">, etc.) specifically to enable drop-in reuse of standard OpenAI clients by pointing at </w:t>
      </w:r>
      <w:r>
        <w:rPr>
          <w:rStyle w:val="VerbatimChar"/>
        </w:rPr>
        <w:t>http://localhost:1234/v1</w:t>
      </w:r>
      <w:r>
        <w:t xml:space="preserve">. </w:t>
      </w:r>
      <w:hyperlink r:id="rId19">
        <w:r>
          <w:rPr>
            <w:rStyle w:val="Hyperlink"/>
          </w:rPr>
          <w:t>[8]</w:t>
        </w:r>
      </w:hyperlink>
    </w:p>
    <w:p w14:paraId="79BB4BB0" w14:textId="77777777" w:rsidR="00D21D62" w:rsidRDefault="00000000">
      <w:pPr>
        <w:numPr>
          <w:ilvl w:val="0"/>
          <w:numId w:val="7"/>
        </w:numPr>
      </w:pPr>
      <w:r>
        <w:rPr>
          <w:b/>
          <w:bCs/>
        </w:rPr>
        <w:t>Tool gateway standardization</w:t>
      </w:r>
      <w:r>
        <w:t xml:space="preserve">: adopt MCP as the canonical “tool bus” for agents. MCP is explicitly designed as an open protocol to standardize how applications provide tools/context to LLMs, which fits the control-plane idea (centralized tool governance, decentralized tool implementation). </w:t>
      </w:r>
      <w:hyperlink r:id="rId20">
        <w:r>
          <w:rPr>
            <w:rStyle w:val="Hyperlink"/>
          </w:rPr>
          <w:t>[9]</w:t>
        </w:r>
      </w:hyperlink>
    </w:p>
    <w:p w14:paraId="2153A3F0" w14:textId="77777777" w:rsidR="00D21D62" w:rsidRDefault="00000000">
      <w:pPr>
        <w:pStyle w:val="FirstParagraph"/>
      </w:pPr>
      <w:r>
        <w:t>This abstraction is the mechanism that makes “future-proofing” real: when new local models/runtimes arrive, you swap endpoints and router weights—without rewriting every agent.</w:t>
      </w:r>
    </w:p>
    <w:p w14:paraId="20C4F18D" w14:textId="77777777" w:rsidR="00D21D62" w:rsidRDefault="00000000">
      <w:pPr>
        <w:pStyle w:val="Heading3"/>
      </w:pPr>
      <w:bookmarkStart w:id="13" w:name="model-router-decision-table"/>
      <w:bookmarkEnd w:id="12"/>
      <w:r>
        <w:t>Model-router decision table</w:t>
      </w:r>
    </w:p>
    <w:p w14:paraId="3E736D03" w14:textId="77777777" w:rsidR="00D21D62" w:rsidRDefault="00000000">
      <w:pPr>
        <w:pStyle w:val="FirstParagraph"/>
      </w:pPr>
      <w:r>
        <w:t>V2 should include a decision table that is simple enough to operationalize, but rich enough to support policy enforcement and graceful degradation.</w:t>
      </w:r>
    </w:p>
    <w:tbl>
      <w:tblPr>
        <w:tblStyle w:val="Table"/>
        <w:tblW w:w="0" w:type="auto"/>
        <w:tblLook w:val="0020" w:firstRow="1" w:lastRow="0" w:firstColumn="0" w:lastColumn="0" w:noHBand="0" w:noVBand="0"/>
      </w:tblPr>
      <w:tblGrid>
        <w:gridCol w:w="2762"/>
        <w:gridCol w:w="2984"/>
        <w:gridCol w:w="3614"/>
      </w:tblGrid>
      <w:tr w:rsidR="00D21D62" w14:paraId="49951FA1" w14:textId="77777777" w:rsidTr="00D21D62">
        <w:trPr>
          <w:cnfStyle w:val="100000000000" w:firstRow="1" w:lastRow="0" w:firstColumn="0" w:lastColumn="0" w:oddVBand="0" w:evenVBand="0" w:oddHBand="0" w:evenHBand="0" w:firstRowFirstColumn="0" w:firstRowLastColumn="0" w:lastRowFirstColumn="0" w:lastRowLastColumn="0"/>
          <w:tblHeader/>
        </w:trPr>
        <w:tc>
          <w:tcPr>
            <w:tcW w:w="0" w:type="auto"/>
          </w:tcPr>
          <w:p w14:paraId="6D29EE2B" w14:textId="77777777" w:rsidR="00D21D62" w:rsidRDefault="00000000">
            <w:pPr>
              <w:pStyle w:val="Compact"/>
            </w:pPr>
            <w:r>
              <w:t>Input conditions</w:t>
            </w:r>
          </w:p>
        </w:tc>
        <w:tc>
          <w:tcPr>
            <w:tcW w:w="0" w:type="auto"/>
          </w:tcPr>
          <w:p w14:paraId="7CA2DEE7" w14:textId="77777777" w:rsidR="00D21D62" w:rsidRDefault="00000000">
            <w:pPr>
              <w:pStyle w:val="Compact"/>
            </w:pPr>
            <w:r>
              <w:t>Router output</w:t>
            </w:r>
          </w:p>
        </w:tc>
        <w:tc>
          <w:tcPr>
            <w:tcW w:w="0" w:type="auto"/>
          </w:tcPr>
          <w:p w14:paraId="0F4E4AB8" w14:textId="77777777" w:rsidR="00D21D62" w:rsidRDefault="00000000">
            <w:pPr>
              <w:pStyle w:val="Compact"/>
            </w:pPr>
            <w:r>
              <w:t>Notes</w:t>
            </w:r>
          </w:p>
        </w:tc>
      </w:tr>
      <w:tr w:rsidR="00D21D62" w14:paraId="18B480CA" w14:textId="77777777">
        <w:tc>
          <w:tcPr>
            <w:tcW w:w="0" w:type="auto"/>
          </w:tcPr>
          <w:p w14:paraId="78EB3276" w14:textId="77777777" w:rsidR="00D21D62" w:rsidRDefault="00000000">
            <w:pPr>
              <w:pStyle w:val="Compact"/>
            </w:pPr>
            <w:r>
              <w:t>Sensitivity = 4 (credentials/secrets)</w:t>
            </w:r>
          </w:p>
        </w:tc>
        <w:tc>
          <w:tcPr>
            <w:tcW w:w="0" w:type="auto"/>
          </w:tcPr>
          <w:p w14:paraId="71FBC3F0" w14:textId="77777777" w:rsidR="00D21D62" w:rsidRDefault="00000000">
            <w:pPr>
              <w:pStyle w:val="Compact"/>
            </w:pPr>
            <w:r>
              <w:rPr>
                <w:b/>
                <w:bCs/>
              </w:rPr>
              <w:t>No LLM allowed</w:t>
            </w:r>
            <w:r>
              <w:t>; block and log security event</w:t>
            </w:r>
          </w:p>
        </w:tc>
        <w:tc>
          <w:tcPr>
            <w:tcW w:w="0" w:type="auto"/>
          </w:tcPr>
          <w:p w14:paraId="6298BDC1" w14:textId="77777777" w:rsidR="00D21D62" w:rsidRDefault="00000000">
            <w:pPr>
              <w:pStyle w:val="Compact"/>
            </w:pPr>
            <w:r>
              <w:t xml:space="preserve">Your internal standard already states Level 4 must never be sent to any LLM. </w:t>
            </w:r>
            <w:hyperlink r:id="rId21">
              <w:r>
                <w:rPr>
                  <w:rStyle w:val="Hyperlink"/>
                </w:rPr>
                <w:t>[1]</w:t>
              </w:r>
            </w:hyperlink>
          </w:p>
        </w:tc>
      </w:tr>
      <w:tr w:rsidR="00D21D62" w14:paraId="464F49B9" w14:textId="77777777">
        <w:tc>
          <w:tcPr>
            <w:tcW w:w="0" w:type="auto"/>
          </w:tcPr>
          <w:p w14:paraId="5FBD7988" w14:textId="77777777" w:rsidR="00D21D62" w:rsidRDefault="00000000">
            <w:pPr>
              <w:pStyle w:val="Compact"/>
            </w:pPr>
            <w:r>
              <w:t>Sensitivity ≥ 2</w:t>
            </w:r>
          </w:p>
        </w:tc>
        <w:tc>
          <w:tcPr>
            <w:tcW w:w="0" w:type="auto"/>
          </w:tcPr>
          <w:p w14:paraId="02EC406F" w14:textId="77777777" w:rsidR="00D21D62" w:rsidRDefault="00000000">
            <w:pPr>
              <w:pStyle w:val="Compact"/>
            </w:pPr>
            <w:r>
              <w:t>Route to Tier S local model</w:t>
            </w:r>
          </w:p>
        </w:tc>
        <w:tc>
          <w:tcPr>
            <w:tcW w:w="0" w:type="auto"/>
          </w:tcPr>
          <w:p w14:paraId="3C7096A0" w14:textId="77777777" w:rsidR="00D21D62" w:rsidRDefault="00000000">
            <w:pPr>
              <w:pStyle w:val="Compact"/>
            </w:pPr>
            <w:r>
              <w:t xml:space="preserve">Internal rules already require sensitivity ≥2 stay local (no cloud). </w:t>
            </w:r>
            <w:hyperlink r:id="rId22">
              <w:r>
                <w:rPr>
                  <w:rStyle w:val="Hyperlink"/>
                </w:rPr>
                <w:t>[1]</w:t>
              </w:r>
            </w:hyperlink>
          </w:p>
        </w:tc>
      </w:tr>
      <w:tr w:rsidR="00D21D62" w14:paraId="6EDDFDC0" w14:textId="77777777">
        <w:tc>
          <w:tcPr>
            <w:tcW w:w="0" w:type="auto"/>
          </w:tcPr>
          <w:p w14:paraId="6ACC27A1" w14:textId="77777777" w:rsidR="00D21D62" w:rsidRDefault="00000000">
            <w:pPr>
              <w:pStyle w:val="Compact"/>
            </w:pPr>
            <w:r>
              <w:t>Sensitivity 0–1, cloud allowed, cloud healthy</w:t>
            </w:r>
          </w:p>
        </w:tc>
        <w:tc>
          <w:tcPr>
            <w:tcW w:w="0" w:type="auto"/>
          </w:tcPr>
          <w:p w14:paraId="35193B22" w14:textId="77777777" w:rsidR="00D21D62" w:rsidRDefault="00000000">
            <w:pPr>
              <w:pStyle w:val="Compact"/>
            </w:pPr>
            <w:r>
              <w:t>Route to Tier C cloud model best-fit (e.g., Sonnet/Haiku/Opus)</w:t>
            </w:r>
          </w:p>
        </w:tc>
        <w:tc>
          <w:tcPr>
            <w:tcW w:w="0" w:type="auto"/>
          </w:tcPr>
          <w:p w14:paraId="23FE53B5" w14:textId="77777777" w:rsidR="00D21D62" w:rsidRDefault="00000000">
            <w:pPr>
              <w:pStyle w:val="Compact"/>
            </w:pPr>
            <w:r>
              <w:t xml:space="preserve">Cloud pricing should be sourced from Anthropic’s official pricing. </w:t>
            </w:r>
            <w:hyperlink r:id="rId23">
              <w:r>
                <w:rPr>
                  <w:rStyle w:val="Hyperlink"/>
                </w:rPr>
                <w:t>[10]</w:t>
              </w:r>
            </w:hyperlink>
          </w:p>
        </w:tc>
      </w:tr>
      <w:tr w:rsidR="00D21D62" w14:paraId="05E94A1A" w14:textId="77777777">
        <w:tc>
          <w:tcPr>
            <w:tcW w:w="0" w:type="auto"/>
          </w:tcPr>
          <w:p w14:paraId="555C9507" w14:textId="77777777" w:rsidR="00D21D62" w:rsidRDefault="00000000">
            <w:pPr>
              <w:pStyle w:val="Compact"/>
            </w:pPr>
            <w:r>
              <w:t>Sensitivity 0–1, cloud allowed, cloud degraded</w:t>
            </w:r>
          </w:p>
        </w:tc>
        <w:tc>
          <w:tcPr>
            <w:tcW w:w="0" w:type="auto"/>
          </w:tcPr>
          <w:p w14:paraId="5BCE0522" w14:textId="77777777" w:rsidR="00D21D62" w:rsidRDefault="00000000">
            <w:pPr>
              <w:pStyle w:val="Compact"/>
            </w:pPr>
            <w:r>
              <w:t>Fail over to Tier S/H local equivalent (smaller model if needed)</w:t>
            </w:r>
          </w:p>
        </w:tc>
        <w:tc>
          <w:tcPr>
            <w:tcW w:w="0" w:type="auto"/>
          </w:tcPr>
          <w:p w14:paraId="09A7D028" w14:textId="77777777" w:rsidR="00D21D62" w:rsidRDefault="00000000">
            <w:pPr>
              <w:pStyle w:val="Compact"/>
            </w:pPr>
            <w:r>
              <w:t xml:space="preserve">Your pipeline doc describes fallbacks and logging </w:t>
            </w:r>
            <w:r>
              <w:rPr>
                <w:rStyle w:val="VerbatimChar"/>
              </w:rPr>
              <w:t>status='fallback'</w:t>
            </w:r>
            <w:r>
              <w:t xml:space="preserve">. </w:t>
            </w:r>
            <w:hyperlink r:id="rId24">
              <w:r>
                <w:rPr>
                  <w:rStyle w:val="Hyperlink"/>
                </w:rPr>
                <w:t>[1]</w:t>
              </w:r>
            </w:hyperlink>
          </w:p>
        </w:tc>
      </w:tr>
      <w:tr w:rsidR="00D21D62" w14:paraId="0A6CDC30" w14:textId="77777777">
        <w:tc>
          <w:tcPr>
            <w:tcW w:w="0" w:type="auto"/>
          </w:tcPr>
          <w:p w14:paraId="61CC8A6E" w14:textId="77777777" w:rsidR="00D21D62" w:rsidRDefault="00000000">
            <w:pPr>
              <w:pStyle w:val="Compact"/>
            </w:pPr>
            <w:r>
              <w:t>Task type = web retrieval</w:t>
            </w:r>
          </w:p>
        </w:tc>
        <w:tc>
          <w:tcPr>
            <w:tcW w:w="0" w:type="auto"/>
          </w:tcPr>
          <w:p w14:paraId="7EE786A2" w14:textId="77777777" w:rsidR="00D21D62" w:rsidRDefault="00000000">
            <w:pPr>
              <w:pStyle w:val="Compact"/>
            </w:pPr>
            <w:r>
              <w:t>Route through Tier H via SearxNG</w:t>
            </w:r>
          </w:p>
        </w:tc>
        <w:tc>
          <w:tcPr>
            <w:tcW w:w="0" w:type="auto"/>
          </w:tcPr>
          <w:p w14:paraId="1324EB8B" w14:textId="77777777" w:rsidR="00D21D62" w:rsidRDefault="00000000">
            <w:pPr>
              <w:pStyle w:val="Compact"/>
            </w:pPr>
            <w:r>
              <w:t xml:space="preserve">SearxNG explicitly positions private, self-hosted meta-search (engines aggregated; no profiling). </w:t>
            </w:r>
            <w:hyperlink r:id="rId25">
              <w:r>
                <w:rPr>
                  <w:rStyle w:val="Hyperlink"/>
                </w:rPr>
                <w:t>[11]</w:t>
              </w:r>
            </w:hyperlink>
          </w:p>
        </w:tc>
      </w:tr>
      <w:tr w:rsidR="00D21D62" w14:paraId="6D51E9D8" w14:textId="77777777">
        <w:tc>
          <w:tcPr>
            <w:tcW w:w="0" w:type="auto"/>
          </w:tcPr>
          <w:p w14:paraId="0D47C2C1" w14:textId="77777777" w:rsidR="00D21D62" w:rsidRDefault="00000000">
            <w:pPr>
              <w:pStyle w:val="Compact"/>
            </w:pPr>
            <w:r>
              <w:t>Task type = graph reasoning</w:t>
            </w:r>
          </w:p>
        </w:tc>
        <w:tc>
          <w:tcPr>
            <w:tcW w:w="0" w:type="auto"/>
          </w:tcPr>
          <w:p w14:paraId="15072B20" w14:textId="77777777" w:rsidR="00D21D62" w:rsidRDefault="00000000">
            <w:pPr>
              <w:pStyle w:val="Compact"/>
            </w:pPr>
            <w:r>
              <w:t>Tier H Neo4j (optional) + Tier S inference</w:t>
            </w:r>
          </w:p>
        </w:tc>
        <w:tc>
          <w:tcPr>
            <w:tcW w:w="0" w:type="auto"/>
          </w:tcPr>
          <w:p w14:paraId="4F0E2944" w14:textId="77777777" w:rsidR="00D21D62" w:rsidRDefault="00000000">
            <w:pPr>
              <w:pStyle w:val="Compact"/>
            </w:pPr>
            <w:r>
              <w:t xml:space="preserve">Neo4j graph DB models data as nodes/relationships and supports relationship traversal patterns. </w:t>
            </w:r>
            <w:hyperlink r:id="rId26">
              <w:r>
                <w:rPr>
                  <w:rStyle w:val="Hyperlink"/>
                </w:rPr>
                <w:t>[12]</w:t>
              </w:r>
            </w:hyperlink>
          </w:p>
        </w:tc>
      </w:tr>
      <w:tr w:rsidR="00D21D62" w14:paraId="7B498FC9" w14:textId="77777777">
        <w:tc>
          <w:tcPr>
            <w:tcW w:w="0" w:type="auto"/>
          </w:tcPr>
          <w:p w14:paraId="7A8502FE" w14:textId="77777777" w:rsidR="00D21D62" w:rsidRDefault="00000000">
            <w:pPr>
              <w:pStyle w:val="Compact"/>
            </w:pPr>
            <w:r>
              <w:t>Tool call required</w:t>
            </w:r>
          </w:p>
        </w:tc>
        <w:tc>
          <w:tcPr>
            <w:tcW w:w="0" w:type="auto"/>
          </w:tcPr>
          <w:p w14:paraId="5BD0D078" w14:textId="77777777" w:rsidR="00D21D62" w:rsidRDefault="00000000">
            <w:pPr>
              <w:pStyle w:val="Compact"/>
            </w:pPr>
            <w:r>
              <w:t>Enforce via MCP tool gateway + least privilege</w:t>
            </w:r>
          </w:p>
        </w:tc>
        <w:tc>
          <w:tcPr>
            <w:tcW w:w="0" w:type="auto"/>
          </w:tcPr>
          <w:p w14:paraId="74DA71B8" w14:textId="77777777" w:rsidR="00D21D62" w:rsidRDefault="00000000">
            <w:pPr>
              <w:pStyle w:val="Compact"/>
            </w:pPr>
            <w:r>
              <w:t xml:space="preserve">MCP standardizes tool connectivity; governance must prevent excessive agency and unsafe plugins. </w:t>
            </w:r>
            <w:hyperlink r:id="rId27">
              <w:r>
                <w:rPr>
                  <w:rStyle w:val="Hyperlink"/>
                </w:rPr>
                <w:t>[13]</w:t>
              </w:r>
            </w:hyperlink>
          </w:p>
        </w:tc>
      </w:tr>
    </w:tbl>
    <w:p w14:paraId="501DFA3E" w14:textId="77777777" w:rsidR="00D21D62" w:rsidRDefault="00000000">
      <w:pPr>
        <w:pStyle w:val="Heading2"/>
      </w:pPr>
      <w:bookmarkStart w:id="14" w:name="governance-safety-and-auditability"/>
      <w:bookmarkEnd w:id="8"/>
      <w:bookmarkEnd w:id="13"/>
      <w:r>
        <w:lastRenderedPageBreak/>
        <w:t>Governance, safety, and auditability</w:t>
      </w:r>
    </w:p>
    <w:p w14:paraId="29160FD7" w14:textId="77777777" w:rsidR="00D21D62" w:rsidRDefault="00000000">
      <w:pPr>
        <w:pStyle w:val="Heading3"/>
      </w:pPr>
      <w:bookmarkStart w:id="15" w:name="Xe38b7a974e9428be3c2c41a5c137bd285ba754a"/>
      <w:r>
        <w:t>Sensitivity classification schema levels 0–4</w:t>
      </w:r>
    </w:p>
    <w:p w14:paraId="4E6A737C" w14:textId="77777777" w:rsidR="00D21D62" w:rsidRDefault="00000000">
      <w:pPr>
        <w:pStyle w:val="FirstParagraph"/>
      </w:pPr>
      <w:r>
        <w:t xml:space="preserve">Your internal documents already define a 0–4 scheme (Public → Market → Internal → Confidential → Credential) and tie it directly to routing behavior—including “Level 4 never sent to any LLM.” </w:t>
      </w:r>
      <w:hyperlink r:id="rId28">
        <w:r>
          <w:rPr>
            <w:rStyle w:val="Hyperlink"/>
          </w:rPr>
          <w:t>[1]</w:t>
        </w:r>
      </w:hyperlink>
    </w:p>
    <w:p w14:paraId="64DD47B8" w14:textId="77777777" w:rsidR="00D21D62" w:rsidRDefault="00000000">
      <w:pPr>
        <w:pStyle w:val="BodyText"/>
      </w:pPr>
      <w:r>
        <w:t>V2 should preserve this taxonomy and add two clarifications for rigor:</w:t>
      </w:r>
    </w:p>
    <w:p w14:paraId="1815385C" w14:textId="77777777" w:rsidR="00D21D62" w:rsidRDefault="00000000">
      <w:pPr>
        <w:pStyle w:val="Compact"/>
        <w:numPr>
          <w:ilvl w:val="0"/>
          <w:numId w:val="8"/>
        </w:numPr>
      </w:pPr>
      <w:r>
        <w:t xml:space="preserve">Treat </w:t>
      </w:r>
      <w:r>
        <w:rPr>
          <w:b/>
          <w:bCs/>
        </w:rPr>
        <w:t>“PII / regulated data”</w:t>
      </w:r>
      <w:r>
        <w:t xml:space="preserve"> as Level 3 or Level 4 depending on materiality and legal exposure (the internal scheme currently centers on credentials and client data; V2 should explicitly cover regulated data classes).</w:t>
      </w:r>
    </w:p>
    <w:p w14:paraId="011FE516" w14:textId="77777777" w:rsidR="00D21D62" w:rsidRDefault="00000000">
      <w:pPr>
        <w:pStyle w:val="Compact"/>
        <w:numPr>
          <w:ilvl w:val="0"/>
          <w:numId w:val="8"/>
        </w:numPr>
      </w:pPr>
      <w:r>
        <w:t xml:space="preserve">Make </w:t>
      </w:r>
      <w:r>
        <w:rPr>
          <w:b/>
          <w:bCs/>
        </w:rPr>
        <w:t>sensitivity a property of inputs, derived artifacts, and tool outputs</w:t>
      </w:r>
      <w:r>
        <w:t xml:space="preserve"> (e.g., KG contexts can be Level 1 or Level 2 depending on whether they encode proprietary analysis).</w:t>
      </w:r>
    </w:p>
    <w:p w14:paraId="3FA4314B" w14:textId="77777777" w:rsidR="00D21D62" w:rsidRDefault="00000000">
      <w:pPr>
        <w:pStyle w:val="Heading3"/>
      </w:pPr>
      <w:bookmarkStart w:id="16" w:name="sensitivity-to-routing-mapping-table"/>
      <w:bookmarkEnd w:id="15"/>
      <w:r>
        <w:t>Sensitivity-to-routing mapping table</w:t>
      </w:r>
    </w:p>
    <w:tbl>
      <w:tblPr>
        <w:tblStyle w:val="Table"/>
        <w:tblW w:w="0" w:type="auto"/>
        <w:tblLook w:val="0020" w:firstRow="1" w:lastRow="0" w:firstColumn="0" w:lastColumn="0" w:noHBand="0" w:noVBand="0"/>
      </w:tblPr>
      <w:tblGrid>
        <w:gridCol w:w="760"/>
        <w:gridCol w:w="1495"/>
        <w:gridCol w:w="2484"/>
        <w:gridCol w:w="1930"/>
        <w:gridCol w:w="2691"/>
      </w:tblGrid>
      <w:tr w:rsidR="00D21D62" w14:paraId="589A3D1E" w14:textId="77777777" w:rsidTr="00D21D62">
        <w:trPr>
          <w:cnfStyle w:val="100000000000" w:firstRow="1" w:lastRow="0" w:firstColumn="0" w:lastColumn="0" w:oddVBand="0" w:evenVBand="0" w:oddHBand="0" w:evenHBand="0" w:firstRowFirstColumn="0" w:firstRowLastColumn="0" w:lastRowFirstColumn="0" w:lastRowLastColumn="0"/>
          <w:tblHeader/>
        </w:trPr>
        <w:tc>
          <w:tcPr>
            <w:tcW w:w="0" w:type="auto"/>
          </w:tcPr>
          <w:p w14:paraId="1903DBD9" w14:textId="77777777" w:rsidR="00D21D62" w:rsidRDefault="00000000">
            <w:pPr>
              <w:pStyle w:val="Compact"/>
            </w:pPr>
            <w:r>
              <w:t>Level</w:t>
            </w:r>
          </w:p>
        </w:tc>
        <w:tc>
          <w:tcPr>
            <w:tcW w:w="0" w:type="auto"/>
          </w:tcPr>
          <w:p w14:paraId="4415CB5B" w14:textId="77777777" w:rsidR="00D21D62" w:rsidRDefault="00000000">
            <w:pPr>
              <w:pStyle w:val="Compact"/>
            </w:pPr>
            <w:r>
              <w:t>Label</w:t>
            </w:r>
          </w:p>
        </w:tc>
        <w:tc>
          <w:tcPr>
            <w:tcW w:w="0" w:type="auto"/>
          </w:tcPr>
          <w:p w14:paraId="13272C64" w14:textId="77777777" w:rsidR="00D21D62" w:rsidRDefault="00000000">
            <w:pPr>
              <w:pStyle w:val="Compact"/>
            </w:pPr>
            <w:r>
              <w:t>Typical content</w:t>
            </w:r>
          </w:p>
        </w:tc>
        <w:tc>
          <w:tcPr>
            <w:tcW w:w="0" w:type="auto"/>
          </w:tcPr>
          <w:p w14:paraId="60DEB2FF" w14:textId="77777777" w:rsidR="00D21D62" w:rsidRDefault="00000000">
            <w:pPr>
              <w:pStyle w:val="Compact"/>
            </w:pPr>
            <w:r>
              <w:t>Default allowed tiers</w:t>
            </w:r>
          </w:p>
        </w:tc>
        <w:tc>
          <w:tcPr>
            <w:tcW w:w="0" w:type="auto"/>
          </w:tcPr>
          <w:p w14:paraId="5A85C317" w14:textId="77777777" w:rsidR="00D21D62" w:rsidRDefault="00000000">
            <w:pPr>
              <w:pStyle w:val="Compact"/>
            </w:pPr>
            <w:r>
              <w:t>Audit/logging stance</w:t>
            </w:r>
          </w:p>
        </w:tc>
      </w:tr>
      <w:tr w:rsidR="00D21D62" w14:paraId="670BA15A" w14:textId="77777777">
        <w:tc>
          <w:tcPr>
            <w:tcW w:w="0" w:type="auto"/>
          </w:tcPr>
          <w:p w14:paraId="30279A17" w14:textId="77777777" w:rsidR="00D21D62" w:rsidRDefault="00000000">
            <w:pPr>
              <w:pStyle w:val="Compact"/>
            </w:pPr>
            <w:r>
              <w:t>0</w:t>
            </w:r>
          </w:p>
        </w:tc>
        <w:tc>
          <w:tcPr>
            <w:tcW w:w="0" w:type="auto"/>
          </w:tcPr>
          <w:p w14:paraId="7A4F374C" w14:textId="77777777" w:rsidR="00D21D62" w:rsidRDefault="00000000">
            <w:pPr>
              <w:pStyle w:val="Compact"/>
            </w:pPr>
            <w:r>
              <w:t>Public</w:t>
            </w:r>
          </w:p>
        </w:tc>
        <w:tc>
          <w:tcPr>
            <w:tcW w:w="0" w:type="auto"/>
          </w:tcPr>
          <w:p w14:paraId="4C0961BC" w14:textId="77777777" w:rsidR="00D21D62" w:rsidRDefault="00000000">
            <w:pPr>
              <w:pStyle w:val="Compact"/>
            </w:pPr>
            <w:r>
              <w:t>Government releases, published reports</w:t>
            </w:r>
          </w:p>
        </w:tc>
        <w:tc>
          <w:tcPr>
            <w:tcW w:w="0" w:type="auto"/>
          </w:tcPr>
          <w:p w14:paraId="1EF73E58" w14:textId="77777777" w:rsidR="00D21D62" w:rsidRDefault="00000000">
            <w:pPr>
              <w:pStyle w:val="Compact"/>
            </w:pPr>
            <w:r>
              <w:t>S / H / C</w:t>
            </w:r>
          </w:p>
        </w:tc>
        <w:tc>
          <w:tcPr>
            <w:tcW w:w="0" w:type="auto"/>
          </w:tcPr>
          <w:p w14:paraId="0E1F6FAB" w14:textId="77777777" w:rsidR="00D21D62" w:rsidRDefault="00000000">
            <w:pPr>
              <w:pStyle w:val="Compact"/>
            </w:pPr>
            <w:r>
              <w:t xml:space="preserve">Full logs allowed (still avoid secrets) </w:t>
            </w:r>
            <w:hyperlink r:id="rId29">
              <w:r>
                <w:rPr>
                  <w:rStyle w:val="Hyperlink"/>
                </w:rPr>
                <w:t>[1]</w:t>
              </w:r>
            </w:hyperlink>
          </w:p>
        </w:tc>
      </w:tr>
      <w:tr w:rsidR="00D21D62" w14:paraId="61AFE628" w14:textId="77777777">
        <w:tc>
          <w:tcPr>
            <w:tcW w:w="0" w:type="auto"/>
          </w:tcPr>
          <w:p w14:paraId="4439D64F" w14:textId="77777777" w:rsidR="00D21D62" w:rsidRDefault="00000000">
            <w:pPr>
              <w:pStyle w:val="Compact"/>
            </w:pPr>
            <w:r>
              <w:t>1</w:t>
            </w:r>
          </w:p>
        </w:tc>
        <w:tc>
          <w:tcPr>
            <w:tcW w:w="0" w:type="auto"/>
          </w:tcPr>
          <w:p w14:paraId="79DF5BA7" w14:textId="77777777" w:rsidR="00D21D62" w:rsidRDefault="00000000">
            <w:pPr>
              <w:pStyle w:val="Compact"/>
            </w:pPr>
            <w:r>
              <w:t>Market</w:t>
            </w:r>
          </w:p>
        </w:tc>
        <w:tc>
          <w:tcPr>
            <w:tcW w:w="0" w:type="auto"/>
          </w:tcPr>
          <w:p w14:paraId="08CC1666" w14:textId="77777777" w:rsidR="00D21D62" w:rsidRDefault="00000000">
            <w:pPr>
              <w:pStyle w:val="Compact"/>
            </w:pPr>
            <w:r>
              <w:t>Public but commercially valuable (prices/spreads)</w:t>
            </w:r>
          </w:p>
        </w:tc>
        <w:tc>
          <w:tcPr>
            <w:tcW w:w="0" w:type="auto"/>
          </w:tcPr>
          <w:p w14:paraId="1883FCEE" w14:textId="77777777" w:rsidR="00D21D62" w:rsidRDefault="00000000">
            <w:pPr>
              <w:pStyle w:val="Compact"/>
            </w:pPr>
            <w:r>
              <w:t>S / H / C</w:t>
            </w:r>
          </w:p>
        </w:tc>
        <w:tc>
          <w:tcPr>
            <w:tcW w:w="0" w:type="auto"/>
          </w:tcPr>
          <w:p w14:paraId="1A8B00F1" w14:textId="77777777" w:rsidR="00D21D62" w:rsidRDefault="00000000">
            <w:pPr>
              <w:pStyle w:val="Compact"/>
            </w:pPr>
            <w:r>
              <w:t xml:space="preserve">Full logs allowed; consider partial redaction in shared environments </w:t>
            </w:r>
            <w:hyperlink r:id="rId30">
              <w:r>
                <w:rPr>
                  <w:rStyle w:val="Hyperlink"/>
                </w:rPr>
                <w:t>[1]</w:t>
              </w:r>
            </w:hyperlink>
          </w:p>
        </w:tc>
      </w:tr>
      <w:tr w:rsidR="00D21D62" w14:paraId="5152CD7C" w14:textId="77777777">
        <w:tc>
          <w:tcPr>
            <w:tcW w:w="0" w:type="auto"/>
          </w:tcPr>
          <w:p w14:paraId="341D66BF" w14:textId="77777777" w:rsidR="00D21D62" w:rsidRDefault="00000000">
            <w:pPr>
              <w:pStyle w:val="Compact"/>
            </w:pPr>
            <w:r>
              <w:t>2</w:t>
            </w:r>
          </w:p>
        </w:tc>
        <w:tc>
          <w:tcPr>
            <w:tcW w:w="0" w:type="auto"/>
          </w:tcPr>
          <w:p w14:paraId="66FB7B89" w14:textId="77777777" w:rsidR="00D21D62" w:rsidRDefault="00000000">
            <w:pPr>
              <w:pStyle w:val="Compact"/>
            </w:pPr>
            <w:r>
              <w:t>Internal</w:t>
            </w:r>
          </w:p>
        </w:tc>
        <w:tc>
          <w:tcPr>
            <w:tcW w:w="0" w:type="auto"/>
          </w:tcPr>
          <w:p w14:paraId="58BF21EA" w14:textId="77777777" w:rsidR="00D21D62" w:rsidRDefault="00000000">
            <w:pPr>
              <w:pStyle w:val="Compact"/>
            </w:pPr>
            <w:r>
              <w:t>Proprietary analysis, internal drafts, proprietary KG contexts</w:t>
            </w:r>
          </w:p>
        </w:tc>
        <w:tc>
          <w:tcPr>
            <w:tcW w:w="0" w:type="auto"/>
          </w:tcPr>
          <w:p w14:paraId="37850478" w14:textId="77777777" w:rsidR="00D21D62" w:rsidRDefault="00000000">
            <w:pPr>
              <w:pStyle w:val="Compact"/>
            </w:pPr>
            <w:r>
              <w:t xml:space="preserve">S (default), H (if needed), </w:t>
            </w:r>
            <w:r>
              <w:rPr>
                <w:b/>
                <w:bCs/>
              </w:rPr>
              <w:t>no C</w:t>
            </w:r>
          </w:p>
        </w:tc>
        <w:tc>
          <w:tcPr>
            <w:tcW w:w="0" w:type="auto"/>
          </w:tcPr>
          <w:p w14:paraId="0509501B" w14:textId="77777777" w:rsidR="00D21D62" w:rsidRDefault="00000000">
            <w:pPr>
              <w:pStyle w:val="Compact"/>
            </w:pPr>
            <w:r>
              <w:t xml:space="preserve">Metadata-only logs + hashes for prompts/outputs </w:t>
            </w:r>
            <w:hyperlink r:id="rId31">
              <w:r>
                <w:rPr>
                  <w:rStyle w:val="Hyperlink"/>
                </w:rPr>
                <w:t>[1]</w:t>
              </w:r>
            </w:hyperlink>
          </w:p>
        </w:tc>
      </w:tr>
      <w:tr w:rsidR="00D21D62" w14:paraId="3B9BE2DF" w14:textId="77777777">
        <w:tc>
          <w:tcPr>
            <w:tcW w:w="0" w:type="auto"/>
          </w:tcPr>
          <w:p w14:paraId="70A1F84B" w14:textId="77777777" w:rsidR="00D21D62" w:rsidRDefault="00000000">
            <w:pPr>
              <w:pStyle w:val="Compact"/>
            </w:pPr>
            <w:r>
              <w:t>3</w:t>
            </w:r>
          </w:p>
        </w:tc>
        <w:tc>
          <w:tcPr>
            <w:tcW w:w="0" w:type="auto"/>
          </w:tcPr>
          <w:p w14:paraId="10BF44D1" w14:textId="77777777" w:rsidR="00D21D62" w:rsidRDefault="00000000">
            <w:pPr>
              <w:pStyle w:val="Compact"/>
            </w:pPr>
            <w:r>
              <w:t>Confidential</w:t>
            </w:r>
          </w:p>
        </w:tc>
        <w:tc>
          <w:tcPr>
            <w:tcW w:w="0" w:type="auto"/>
          </w:tcPr>
          <w:p w14:paraId="14BFCB3D" w14:textId="77777777" w:rsidR="00D21D62" w:rsidRDefault="00000000">
            <w:pPr>
              <w:pStyle w:val="Compact"/>
            </w:pPr>
            <w:r>
              <w:t>Client data, internal positions, active signals</w:t>
            </w:r>
          </w:p>
        </w:tc>
        <w:tc>
          <w:tcPr>
            <w:tcW w:w="0" w:type="auto"/>
          </w:tcPr>
          <w:p w14:paraId="1CE49750" w14:textId="77777777" w:rsidR="00D21D62" w:rsidRDefault="00000000">
            <w:pPr>
              <w:pStyle w:val="Compact"/>
            </w:pPr>
            <w:r>
              <w:t>S only (H allowed only if strictly necessary and still no cloud)</w:t>
            </w:r>
          </w:p>
        </w:tc>
        <w:tc>
          <w:tcPr>
            <w:tcW w:w="0" w:type="auto"/>
          </w:tcPr>
          <w:p w14:paraId="088D9BBA" w14:textId="77777777" w:rsidR="00D21D62" w:rsidRDefault="00000000">
            <w:pPr>
              <w:pStyle w:val="Compact"/>
            </w:pPr>
            <w:r>
              <w:t xml:space="preserve">Metadata-only + encryption at rest + tighter access controls </w:t>
            </w:r>
            <w:hyperlink r:id="rId32">
              <w:r>
                <w:rPr>
                  <w:rStyle w:val="Hyperlink"/>
                </w:rPr>
                <w:t>[1]</w:t>
              </w:r>
            </w:hyperlink>
          </w:p>
        </w:tc>
      </w:tr>
      <w:tr w:rsidR="00D21D62" w14:paraId="6FD61D1D" w14:textId="77777777">
        <w:tc>
          <w:tcPr>
            <w:tcW w:w="0" w:type="auto"/>
          </w:tcPr>
          <w:p w14:paraId="665B569B" w14:textId="77777777" w:rsidR="00D21D62" w:rsidRDefault="00000000">
            <w:pPr>
              <w:pStyle w:val="Compact"/>
            </w:pPr>
            <w:r>
              <w:t>4</w:t>
            </w:r>
          </w:p>
        </w:tc>
        <w:tc>
          <w:tcPr>
            <w:tcW w:w="0" w:type="auto"/>
          </w:tcPr>
          <w:p w14:paraId="59167117" w14:textId="77777777" w:rsidR="00D21D62" w:rsidRDefault="00000000">
            <w:pPr>
              <w:pStyle w:val="Compact"/>
            </w:pPr>
            <w:r>
              <w:t>Credential</w:t>
            </w:r>
          </w:p>
        </w:tc>
        <w:tc>
          <w:tcPr>
            <w:tcW w:w="0" w:type="auto"/>
          </w:tcPr>
          <w:p w14:paraId="4CFD7811" w14:textId="77777777" w:rsidR="00D21D62" w:rsidRDefault="00000000">
            <w:pPr>
              <w:pStyle w:val="Compact"/>
            </w:pPr>
            <w:r>
              <w:t>API keys, passwords, connection strings</w:t>
            </w:r>
          </w:p>
        </w:tc>
        <w:tc>
          <w:tcPr>
            <w:tcW w:w="0" w:type="auto"/>
          </w:tcPr>
          <w:p w14:paraId="32F3EF8E" w14:textId="77777777" w:rsidR="00D21D62" w:rsidRDefault="00000000">
            <w:pPr>
              <w:pStyle w:val="Compact"/>
            </w:pPr>
            <w:r>
              <w:rPr>
                <w:b/>
                <w:bCs/>
              </w:rPr>
              <w:t>No LLM</w:t>
            </w:r>
          </w:p>
        </w:tc>
        <w:tc>
          <w:tcPr>
            <w:tcW w:w="0" w:type="auto"/>
          </w:tcPr>
          <w:p w14:paraId="5339EA16" w14:textId="77777777" w:rsidR="00D21D62" w:rsidRDefault="00000000">
            <w:pPr>
              <w:pStyle w:val="Compact"/>
            </w:pPr>
            <w:r>
              <w:t xml:space="preserve">Log blocked attempt + security event </w:t>
            </w:r>
            <w:hyperlink r:id="rId33">
              <w:r>
                <w:rPr>
                  <w:rStyle w:val="Hyperlink"/>
                </w:rPr>
                <w:t>[1]</w:t>
              </w:r>
            </w:hyperlink>
          </w:p>
        </w:tc>
      </w:tr>
    </w:tbl>
    <w:p w14:paraId="0427DA8C" w14:textId="77777777" w:rsidR="00D21D62" w:rsidRDefault="00000000">
      <w:pPr>
        <w:pStyle w:val="Heading3"/>
      </w:pPr>
      <w:bookmarkStart w:id="17" w:name="X6a22c02dedec37eec3008ea502dc7eb4ef1bb6a"/>
      <w:bookmarkEnd w:id="16"/>
      <w:r>
        <w:t>Audit logging schema: fields, hashing, retention, integrity</w:t>
      </w:r>
    </w:p>
    <w:p w14:paraId="07F7EDD3" w14:textId="77777777" w:rsidR="00D21D62" w:rsidRDefault="00000000">
      <w:pPr>
        <w:pStyle w:val="FirstParagraph"/>
      </w:pPr>
      <w:r>
        <w:t xml:space="preserve">Your pipeline guide already specifies a concrete </w:t>
      </w:r>
      <w:r>
        <w:rPr>
          <w:rStyle w:val="VerbatimChar"/>
        </w:rPr>
        <w:t>core.llm_call_log</w:t>
      </w:r>
      <w:r>
        <w:t xml:space="preserve"> schema with: model identifiers, sensitivity, prompt template/version, prompt/output hashes, token counts, latency, estimated cost, fallback model tracking, and </w:t>
      </w:r>
      <w:r>
        <w:rPr>
          <w:b/>
          <w:bCs/>
        </w:rPr>
        <w:t>hash chaining</w:t>
      </w:r>
      <w:r>
        <w:t xml:space="preserve"> (</w:t>
      </w:r>
      <w:r>
        <w:rPr>
          <w:rStyle w:val="VerbatimChar"/>
        </w:rPr>
        <w:t>record_hash</w:t>
      </w:r>
      <w:r>
        <w:t xml:space="preserve">, </w:t>
      </w:r>
      <w:r>
        <w:rPr>
          <w:rStyle w:val="VerbatimChar"/>
        </w:rPr>
        <w:t>chain_hash</w:t>
      </w:r>
      <w:r>
        <w:t xml:space="preserve">). </w:t>
      </w:r>
      <w:hyperlink r:id="rId34">
        <w:r>
          <w:rPr>
            <w:rStyle w:val="Hyperlink"/>
          </w:rPr>
          <w:t>[1]</w:t>
        </w:r>
      </w:hyperlink>
    </w:p>
    <w:p w14:paraId="4D6B7DA3" w14:textId="77777777" w:rsidR="00D21D62" w:rsidRDefault="00000000">
      <w:pPr>
        <w:pStyle w:val="BodyText"/>
      </w:pPr>
      <w:r>
        <w:lastRenderedPageBreak/>
        <w:t>V2 should keep that schema and explicitly align it to recognized audit control intent:</w:t>
      </w:r>
    </w:p>
    <w:p w14:paraId="2FBFA2B8" w14:textId="77777777" w:rsidR="00D21D62" w:rsidRDefault="00000000">
      <w:pPr>
        <w:pStyle w:val="Compact"/>
        <w:numPr>
          <w:ilvl w:val="0"/>
          <w:numId w:val="9"/>
        </w:numPr>
      </w:pPr>
      <w:r>
        <w:t xml:space="preserve">NIST SP 800‑92 emphasizes implementing and maintaining effective log management practices and infrastructure, including process and governance, not just “having logs.” </w:t>
      </w:r>
      <w:hyperlink r:id="rId35">
        <w:r>
          <w:rPr>
            <w:rStyle w:val="Hyperlink"/>
          </w:rPr>
          <w:t>[14]</w:t>
        </w:r>
      </w:hyperlink>
    </w:p>
    <w:p w14:paraId="65D231C7" w14:textId="77777777" w:rsidR="00D21D62" w:rsidRDefault="00000000">
      <w:pPr>
        <w:pStyle w:val="Compact"/>
        <w:numPr>
          <w:ilvl w:val="0"/>
          <w:numId w:val="9"/>
        </w:numPr>
      </w:pPr>
      <w:r>
        <w:t xml:space="preserve">NIST SP 800‑53 AU‑9 requires protecting audit information and tooling from unauthorized access/modification/deletion and includes enhancements such as storing logs on separate systems and cryptographic integrity protections. </w:t>
      </w:r>
      <w:hyperlink r:id="rId36">
        <w:r>
          <w:rPr>
            <w:rStyle w:val="Hyperlink"/>
          </w:rPr>
          <w:t>[15]</w:t>
        </w:r>
      </w:hyperlink>
    </w:p>
    <w:p w14:paraId="4BCC7D54" w14:textId="77777777" w:rsidR="00D21D62" w:rsidRDefault="00000000">
      <w:pPr>
        <w:pStyle w:val="Compact"/>
        <w:numPr>
          <w:ilvl w:val="0"/>
          <w:numId w:val="9"/>
        </w:numPr>
      </w:pPr>
      <w:r>
        <w:t xml:space="preserve">Your hash chaining maps cleanly to AU‑9’s cryptographic protection enhancement concept (tamper-evidence via cryptographic mechanisms). </w:t>
      </w:r>
      <w:hyperlink r:id="rId37">
        <w:r>
          <w:rPr>
            <w:rStyle w:val="Hyperlink"/>
          </w:rPr>
          <w:t>[15]</w:t>
        </w:r>
      </w:hyperlink>
    </w:p>
    <w:p w14:paraId="7EF0D7C7" w14:textId="77777777" w:rsidR="00D21D62" w:rsidRDefault="00000000">
      <w:pPr>
        <w:pStyle w:val="Heading4"/>
      </w:pPr>
      <w:bookmarkStart w:id="18" w:name="recommended-v2-logging-additions"/>
      <w:r>
        <w:t>Recommended V2 logging additions</w:t>
      </w:r>
    </w:p>
    <w:p w14:paraId="7892EC71" w14:textId="77777777" w:rsidR="00D21D62" w:rsidRDefault="00000000">
      <w:pPr>
        <w:pStyle w:val="FirstParagraph"/>
      </w:pPr>
      <w:r>
        <w:t>To make the audit trail more operationally complete:</w:t>
      </w:r>
    </w:p>
    <w:p w14:paraId="3785B4B2" w14:textId="77777777" w:rsidR="00D21D62" w:rsidRDefault="00000000">
      <w:pPr>
        <w:pStyle w:val="Compact"/>
        <w:numPr>
          <w:ilvl w:val="0"/>
          <w:numId w:val="10"/>
        </w:numPr>
      </w:pPr>
      <w:r>
        <w:rPr>
          <w:b/>
          <w:bCs/>
        </w:rPr>
        <w:t>Tracing identifiers</w:t>
      </w:r>
      <w:r>
        <w:t xml:space="preserve">: add </w:t>
      </w:r>
      <w:r>
        <w:rPr>
          <w:rStyle w:val="VerbatimChar"/>
        </w:rPr>
        <w:t>trace_id</w:t>
      </w:r>
      <w:r>
        <w:t xml:space="preserve"> / </w:t>
      </w:r>
      <w:r>
        <w:rPr>
          <w:rStyle w:val="VerbatimChar"/>
        </w:rPr>
        <w:t>span_id</w:t>
      </w:r>
      <w:r>
        <w:t xml:space="preserve"> consistent with W3C Trace Context so multi-step chains can be reconstructed end-to-end. </w:t>
      </w:r>
      <w:hyperlink r:id="rId38">
        <w:r>
          <w:rPr>
            <w:rStyle w:val="Hyperlink"/>
          </w:rPr>
          <w:t>[16]</w:t>
        </w:r>
      </w:hyperlink>
    </w:p>
    <w:p w14:paraId="1F71DE11" w14:textId="77777777" w:rsidR="00D21D62" w:rsidRDefault="00000000">
      <w:pPr>
        <w:pStyle w:val="Compact"/>
        <w:numPr>
          <w:ilvl w:val="0"/>
          <w:numId w:val="10"/>
        </w:numPr>
      </w:pPr>
      <w:r>
        <w:rPr>
          <w:b/>
          <w:bCs/>
        </w:rPr>
        <w:t>Tool-call manifest hashes</w:t>
      </w:r>
      <w:r>
        <w:t xml:space="preserve">: for tool use, store tool names + a hash of tool inputs/outputs at Level ≥2 (store full payload only at Level 0–1). This reduces “insecure output handling” risks by making tool execution auditable. </w:t>
      </w:r>
      <w:hyperlink r:id="rId39">
        <w:r>
          <w:rPr>
            <w:rStyle w:val="Hyperlink"/>
          </w:rPr>
          <w:t>[6]</w:t>
        </w:r>
      </w:hyperlink>
    </w:p>
    <w:p w14:paraId="6E60FE00" w14:textId="77777777" w:rsidR="00D21D62" w:rsidRDefault="00000000">
      <w:pPr>
        <w:pStyle w:val="Compact"/>
        <w:numPr>
          <w:ilvl w:val="0"/>
          <w:numId w:val="10"/>
        </w:numPr>
      </w:pPr>
      <w:r>
        <w:rPr>
          <w:b/>
          <w:bCs/>
        </w:rPr>
        <w:t>Retention policy by sensitivity</w:t>
      </w:r>
      <w:r>
        <w:t xml:space="preserve">: store raw prompts only for Level 0–1 (as your doc suggests), but retain hashes and metadata longer for Level ≥2 for reproducibility without disclosure. </w:t>
      </w:r>
      <w:hyperlink r:id="rId40">
        <w:r>
          <w:rPr>
            <w:rStyle w:val="Hyperlink"/>
          </w:rPr>
          <w:t>[1]</w:t>
        </w:r>
      </w:hyperlink>
    </w:p>
    <w:p w14:paraId="19FD3F50" w14:textId="77777777" w:rsidR="00D21D62" w:rsidRDefault="00000000">
      <w:pPr>
        <w:pStyle w:val="Heading3"/>
      </w:pPr>
      <w:bookmarkStart w:id="19" w:name="X0b9f907daae0e9910b9f84856e04e186980e2a4"/>
      <w:bookmarkEnd w:id="17"/>
      <w:bookmarkEnd w:id="18"/>
      <w:r>
        <w:t>Containerization and least privilege: mitigating local threats</w:t>
      </w:r>
    </w:p>
    <w:p w14:paraId="2372968A" w14:textId="77777777" w:rsidR="00D21D62" w:rsidRDefault="00000000">
      <w:pPr>
        <w:pStyle w:val="FirstParagraph"/>
      </w:pPr>
      <w:r>
        <w:t>V2 must explicitly address the “local threats” gap: sovereignty is not just “data doesn’t leave”; it is also “local agents can’t destroy or exfiltrate what they shouldn’t.”</w:t>
      </w:r>
    </w:p>
    <w:p w14:paraId="7E05E1A1" w14:textId="77777777" w:rsidR="00D21D62" w:rsidRDefault="00000000">
      <w:pPr>
        <w:pStyle w:val="BodyText"/>
      </w:pPr>
      <w:r>
        <w:t>Two external anchors make this rigorous:</w:t>
      </w:r>
    </w:p>
    <w:p w14:paraId="42ADD1DA" w14:textId="77777777" w:rsidR="00D21D62" w:rsidRDefault="00000000">
      <w:pPr>
        <w:pStyle w:val="Compact"/>
        <w:numPr>
          <w:ilvl w:val="0"/>
          <w:numId w:val="11"/>
        </w:numPr>
      </w:pPr>
      <w:r>
        <w:t xml:space="preserve">NIST least privilege (AC‑6) defines the requirement to allow only the access necessary for tasks, including for processes. </w:t>
      </w:r>
      <w:hyperlink r:id="rId41">
        <w:r>
          <w:rPr>
            <w:rStyle w:val="Hyperlink"/>
          </w:rPr>
          <w:t>[17]</w:t>
        </w:r>
      </w:hyperlink>
    </w:p>
    <w:p w14:paraId="2158757C" w14:textId="77777777" w:rsidR="00D21D62" w:rsidRDefault="00000000">
      <w:pPr>
        <w:pStyle w:val="Compact"/>
        <w:numPr>
          <w:ilvl w:val="0"/>
          <w:numId w:val="11"/>
        </w:numPr>
      </w:pPr>
      <w:r>
        <w:t xml:space="preserve">Docker user namespace remapping explains how container “root” can be mapped to an unprivileged host UID range, reducing privilege-escalation blast radius. </w:t>
      </w:r>
      <w:hyperlink r:id="rId42">
        <w:r>
          <w:rPr>
            <w:rStyle w:val="Hyperlink"/>
          </w:rPr>
          <w:t>[18]</w:t>
        </w:r>
      </w:hyperlink>
    </w:p>
    <w:p w14:paraId="599FCEFE" w14:textId="77777777" w:rsidR="00D21D62" w:rsidRDefault="00000000">
      <w:pPr>
        <w:pStyle w:val="Heading4"/>
      </w:pPr>
      <w:bookmarkStart w:id="20" w:name="Xaeaa832813008ed64c4c6c7c418b14173be7ab5"/>
      <w:r>
        <w:t>Recommended containment patterns (V2 baseline)</w:t>
      </w:r>
    </w:p>
    <w:p w14:paraId="62D4C1E9" w14:textId="77777777" w:rsidR="00D21D62" w:rsidRDefault="00000000">
      <w:pPr>
        <w:pStyle w:val="Compact"/>
        <w:numPr>
          <w:ilvl w:val="0"/>
          <w:numId w:val="12"/>
        </w:numPr>
      </w:pPr>
      <w:r>
        <w:rPr>
          <w:b/>
          <w:bCs/>
        </w:rPr>
        <w:t>Hard split by agent class</w:t>
      </w:r>
      <w:r>
        <w:t xml:space="preserve">: collectors, report generation, delivery, and DB maintenance run in separate containers/services with separate identities and scopes. This directly reduces OWASP “excessive agency” and “insecure plugin design” risk. </w:t>
      </w:r>
      <w:hyperlink r:id="rId43">
        <w:r>
          <w:rPr>
            <w:rStyle w:val="Hyperlink"/>
          </w:rPr>
          <w:t>[6]</w:t>
        </w:r>
      </w:hyperlink>
    </w:p>
    <w:p w14:paraId="171FE71B" w14:textId="77777777" w:rsidR="00D21D62" w:rsidRDefault="00000000">
      <w:pPr>
        <w:pStyle w:val="Compact"/>
        <w:numPr>
          <w:ilvl w:val="0"/>
          <w:numId w:val="12"/>
        </w:numPr>
      </w:pPr>
      <w:r>
        <w:rPr>
          <w:b/>
          <w:bCs/>
        </w:rPr>
        <w:t>Tier S network policy: default deny</w:t>
      </w:r>
      <w:r>
        <w:t xml:space="preserve"> (no outbound). Tier H: allowlist only government API endpoints and self-hosted services (SearxNG/Neo4j).</w:t>
      </w:r>
    </w:p>
    <w:p w14:paraId="3DF1BA05" w14:textId="77777777" w:rsidR="00D21D62" w:rsidRDefault="00000000">
      <w:pPr>
        <w:pStyle w:val="Compact"/>
        <w:numPr>
          <w:ilvl w:val="0"/>
          <w:numId w:val="12"/>
        </w:numPr>
      </w:pPr>
      <w:r>
        <w:rPr>
          <w:b/>
          <w:bCs/>
        </w:rPr>
        <w:t>Docker hardening defaults</w:t>
      </w:r>
      <w:r>
        <w:t xml:space="preserve">: enable user namespace remapping, run as non-root within containers, minimize writable mounts, and treat </w:t>
      </w:r>
      <w:r>
        <w:rPr>
          <w:rStyle w:val="VerbatimChar"/>
        </w:rPr>
        <w:t>.env</w:t>
      </w:r>
      <w:r>
        <w:t xml:space="preserve">/secrets as out-of-band injected configuration (never prompt text). </w:t>
      </w:r>
      <w:hyperlink r:id="rId44">
        <w:r>
          <w:rPr>
            <w:rStyle w:val="Hyperlink"/>
          </w:rPr>
          <w:t>[19]</w:t>
        </w:r>
      </w:hyperlink>
    </w:p>
    <w:p w14:paraId="7D7A2908" w14:textId="77777777" w:rsidR="00D21D62" w:rsidRDefault="00000000">
      <w:pPr>
        <w:pStyle w:val="Compact"/>
        <w:numPr>
          <w:ilvl w:val="0"/>
          <w:numId w:val="12"/>
        </w:numPr>
      </w:pPr>
      <w:r>
        <w:rPr>
          <w:b/>
          <w:bCs/>
        </w:rPr>
        <w:lastRenderedPageBreak/>
        <w:t>Write controls on risky actions</w:t>
      </w:r>
      <w:r>
        <w:t xml:space="preserve">: your internal MCP tool set already notes that </w:t>
      </w:r>
      <w:r>
        <w:rPr>
          <w:rStyle w:val="VerbatimChar"/>
        </w:rPr>
        <w:t>acknowledge_events</w:t>
      </w:r>
      <w:r>
        <w:t xml:space="preserve"> is the only write tool among certain CNS tools—V2 should generalize this principle: “writes require explicit scope and clear audit.” </w:t>
      </w:r>
      <w:hyperlink r:id="rId45">
        <w:r>
          <w:rPr>
            <w:rStyle w:val="Hyperlink"/>
          </w:rPr>
          <w:t>[1]</w:t>
        </w:r>
      </w:hyperlink>
    </w:p>
    <w:p w14:paraId="5285023B" w14:textId="77777777" w:rsidR="00D21D62" w:rsidRDefault="00000000">
      <w:pPr>
        <w:pStyle w:val="Heading3"/>
      </w:pPr>
      <w:bookmarkStart w:id="21" w:name="X293e71fd67b1713865f119e37b6bdbfa646ecc7"/>
      <w:bookmarkEnd w:id="19"/>
      <w:bookmarkEnd w:id="20"/>
      <w:r>
        <w:t>Failover tiers and redaction rules as safety controls</w:t>
      </w:r>
    </w:p>
    <w:p w14:paraId="53B361AE" w14:textId="77777777" w:rsidR="00D21D62" w:rsidRDefault="00000000">
      <w:pPr>
        <w:pStyle w:val="FirstParagraph"/>
      </w:pPr>
      <w:r>
        <w:t xml:space="preserve">Your pipeline guide already includes failover behavior (cloud timeouts → retry → fallback; local unavailable → fallback smaller local; all unavailable → template fallback) and specifies pre-flight redaction categories (secrets, deal identifiers, proprietary KG contexts, numeric masking). </w:t>
      </w:r>
      <w:hyperlink r:id="rId46">
        <w:r>
          <w:rPr>
            <w:rStyle w:val="Hyperlink"/>
          </w:rPr>
          <w:t>[1]</w:t>
        </w:r>
      </w:hyperlink>
    </w:p>
    <w:p w14:paraId="23B73EA8" w14:textId="77777777" w:rsidR="00D21D62" w:rsidRDefault="00000000">
      <w:pPr>
        <w:pStyle w:val="BodyText"/>
      </w:pPr>
      <w:r>
        <w:t>V2 should explicitly frame these as security controls, not only availability features:</w:t>
      </w:r>
    </w:p>
    <w:p w14:paraId="47EB82D4" w14:textId="77777777" w:rsidR="00D21D62" w:rsidRDefault="00000000">
      <w:pPr>
        <w:pStyle w:val="Compact"/>
        <w:numPr>
          <w:ilvl w:val="0"/>
          <w:numId w:val="13"/>
        </w:numPr>
      </w:pPr>
      <w:r>
        <w:t xml:space="preserve">OWASP identifies “sensitive information disclosure” and “prompt injection” as top risks; deterministic redaction plus tool gating reduces the chance that untrusted inputs cause data leakage or unsafe actions. </w:t>
      </w:r>
      <w:hyperlink r:id="rId47">
        <w:r>
          <w:rPr>
            <w:rStyle w:val="Hyperlink"/>
          </w:rPr>
          <w:t>[6]</w:t>
        </w:r>
      </w:hyperlink>
    </w:p>
    <w:p w14:paraId="3106EA04" w14:textId="77777777" w:rsidR="00D21D62" w:rsidRDefault="00000000">
      <w:pPr>
        <w:pStyle w:val="Heading2"/>
      </w:pPr>
      <w:bookmarkStart w:id="22" w:name="performance-and-cost-model"/>
      <w:bookmarkEnd w:id="14"/>
      <w:bookmarkEnd w:id="21"/>
      <w:r>
        <w:t>Performance and cost model</w:t>
      </w:r>
    </w:p>
    <w:p w14:paraId="714C5D9D" w14:textId="77777777" w:rsidR="00D21D62" w:rsidRDefault="00000000">
      <w:pPr>
        <w:pStyle w:val="Heading3"/>
      </w:pPr>
      <w:bookmarkStart w:id="23" w:name="X331c8ae2456f5a1c546cc9387568a03b7119f9b"/>
      <w:r>
        <w:t>Benchmarking methodology: tokens/sec and end-to-end chain latency</w:t>
      </w:r>
    </w:p>
    <w:p w14:paraId="19B038CA" w14:textId="77777777" w:rsidR="00D21D62" w:rsidRDefault="00000000">
      <w:pPr>
        <w:pStyle w:val="FirstParagraph"/>
      </w:pPr>
      <w:r>
        <w:t xml:space="preserve">V2 should define performance in terms of </w:t>
      </w:r>
      <w:r>
        <w:rPr>
          <w:b/>
          <w:bCs/>
        </w:rPr>
        <w:t>end-to-end chain latency</w:t>
      </w:r>
      <w:r>
        <w:t xml:space="preserve">, not just tokens/sec, because most delays occur between steps (tool calls, DB queries, scheduling, chart generation, doc assembly). Your autonomous pipeline walkthrough explicitly treats the workflow as a chain (collector → enrichment → analysis trigger → LLM call → charts → assembly → delivery) and provides latency targets and per-step timing examples. </w:t>
      </w:r>
      <w:hyperlink r:id="rId48">
        <w:r>
          <w:rPr>
            <w:rStyle w:val="Hyperlink"/>
          </w:rPr>
          <w:t>[1]</w:t>
        </w:r>
      </w:hyperlink>
    </w:p>
    <w:p w14:paraId="187F4E77" w14:textId="77777777" w:rsidR="00D21D62" w:rsidRDefault="00000000">
      <w:pPr>
        <w:pStyle w:val="BodyText"/>
      </w:pPr>
      <w:r>
        <w:t>For tokens/sec, instrument from runtime telemetry:</w:t>
      </w:r>
    </w:p>
    <w:p w14:paraId="66F1DDBB" w14:textId="77777777" w:rsidR="00D21D62" w:rsidRDefault="00000000">
      <w:pPr>
        <w:pStyle w:val="Compact"/>
        <w:numPr>
          <w:ilvl w:val="0"/>
          <w:numId w:val="14"/>
        </w:numPr>
      </w:pPr>
      <w:r>
        <w:t xml:space="preserve">Ollama documents “usage metrics” fields such as </w:t>
      </w:r>
      <w:r>
        <w:rPr>
          <w:rStyle w:val="VerbatimChar"/>
        </w:rPr>
        <w:t>total_duration</w:t>
      </w:r>
      <w:r>
        <w:t xml:space="preserve">, </w:t>
      </w:r>
      <w:r>
        <w:rPr>
          <w:rStyle w:val="VerbatimChar"/>
        </w:rPr>
        <w:t>prompt_eval_count</w:t>
      </w:r>
      <w:r>
        <w:t xml:space="preserve">, </w:t>
      </w:r>
      <w:r>
        <w:rPr>
          <w:rStyle w:val="VerbatimChar"/>
        </w:rPr>
        <w:t>prompt_eval_duration</w:t>
      </w:r>
      <w:r>
        <w:t xml:space="preserve">, </w:t>
      </w:r>
      <w:r>
        <w:rPr>
          <w:rStyle w:val="VerbatimChar"/>
        </w:rPr>
        <w:t>eval_count</w:t>
      </w:r>
      <w:r>
        <w:t xml:space="preserve">, </w:t>
      </w:r>
      <w:r>
        <w:rPr>
          <w:rStyle w:val="VerbatimChar"/>
        </w:rPr>
        <w:t>eval_duration</w:t>
      </w:r>
      <w:r>
        <w:t xml:space="preserve"> (nanoseconds). This allows computing effective prompt throughput and decode throughput per call. </w:t>
      </w:r>
      <w:hyperlink r:id="rId49">
        <w:r>
          <w:rPr>
            <w:rStyle w:val="Hyperlink"/>
          </w:rPr>
          <w:t>[20]</w:t>
        </w:r>
      </w:hyperlink>
    </w:p>
    <w:p w14:paraId="67D4391B" w14:textId="77777777" w:rsidR="00D21D62" w:rsidRDefault="00000000">
      <w:pPr>
        <w:pStyle w:val="Heading4"/>
      </w:pPr>
      <w:bookmarkStart w:id="24" w:name="Xc915af43685c5310865a2250339341ee801911e"/>
      <w:r>
        <w:t>Recommended benchmark definitions for RLC</w:t>
      </w:r>
    </w:p>
    <w:p w14:paraId="539FA968" w14:textId="77777777" w:rsidR="00D21D62" w:rsidRDefault="00000000">
      <w:pPr>
        <w:pStyle w:val="FirstParagraph"/>
      </w:pPr>
      <w:r>
        <w:t>V2 should standardize three benchmark tiers:</w:t>
      </w:r>
    </w:p>
    <w:p w14:paraId="2F32EA80" w14:textId="77777777" w:rsidR="00D21D62" w:rsidRDefault="00000000">
      <w:pPr>
        <w:pStyle w:val="Compact"/>
        <w:numPr>
          <w:ilvl w:val="0"/>
          <w:numId w:val="15"/>
        </w:numPr>
      </w:pPr>
      <w:r>
        <w:rPr>
          <w:b/>
          <w:bCs/>
        </w:rPr>
        <w:t>Microbench</w:t>
      </w:r>
      <w:r>
        <w:t xml:space="preserve">: fixed input/output lengths for each “standard model tier” to estimate raw throughput. (Compute decode tok/s from </w:t>
      </w:r>
      <w:r>
        <w:rPr>
          <w:rStyle w:val="VerbatimChar"/>
        </w:rPr>
        <w:t>eval_count / eval_duration</w:t>
      </w:r>
      <w:r>
        <w:t xml:space="preserve">.) </w:t>
      </w:r>
      <w:hyperlink r:id="rId50">
        <w:r>
          <w:rPr>
            <w:rStyle w:val="Hyperlink"/>
          </w:rPr>
          <w:t>[20]</w:t>
        </w:r>
      </w:hyperlink>
    </w:p>
    <w:p w14:paraId="4F5B03AB" w14:textId="77777777" w:rsidR="00D21D62" w:rsidRDefault="00000000">
      <w:pPr>
        <w:pStyle w:val="Compact"/>
        <w:numPr>
          <w:ilvl w:val="0"/>
          <w:numId w:val="15"/>
        </w:numPr>
      </w:pPr>
      <w:r>
        <w:rPr>
          <w:b/>
          <w:bCs/>
        </w:rPr>
        <w:t>Stepbench</w:t>
      </w:r>
      <w:r>
        <w:t>: one tool-augmented step (DB query + LLM analysis + validation).</w:t>
      </w:r>
    </w:p>
    <w:p w14:paraId="71A8A8C9" w14:textId="77777777" w:rsidR="00D21D62" w:rsidRDefault="00000000">
      <w:pPr>
        <w:pStyle w:val="Compact"/>
        <w:numPr>
          <w:ilvl w:val="0"/>
          <w:numId w:val="15"/>
        </w:numPr>
      </w:pPr>
      <w:r>
        <w:rPr>
          <w:b/>
          <w:bCs/>
        </w:rPr>
        <w:t>Chainbench</w:t>
      </w:r>
      <w:r>
        <w:t xml:space="preserve">: representative “report pipeline” chains (WASDE day chain, weekly synthesis chain). Your pipeline doc already specifies SLO targets like end-to-end &lt; 5 minutes for WASDE and p95 &lt; 30 seconds for the narrative LLM call. </w:t>
      </w:r>
      <w:hyperlink r:id="rId51">
        <w:r>
          <w:rPr>
            <w:rStyle w:val="Hyperlink"/>
          </w:rPr>
          <w:t>[1]</w:t>
        </w:r>
      </w:hyperlink>
    </w:p>
    <w:p w14:paraId="6E6015E9" w14:textId="77777777" w:rsidR="00D21D62" w:rsidRDefault="00000000">
      <w:pPr>
        <w:pStyle w:val="Heading3"/>
      </w:pPr>
      <w:bookmarkStart w:id="25" w:name="recommended-instrumentation-metrics"/>
      <w:bookmarkEnd w:id="23"/>
      <w:bookmarkEnd w:id="24"/>
      <w:r>
        <w:t>Recommended instrumentation metrics</w:t>
      </w:r>
    </w:p>
    <w:p w14:paraId="77358540" w14:textId="77777777" w:rsidR="00D21D62" w:rsidRDefault="00000000">
      <w:pPr>
        <w:pStyle w:val="FirstParagraph"/>
      </w:pPr>
      <w:r>
        <w:t>The V2 guide should mandate consistent instrumentation, including:</w:t>
      </w:r>
    </w:p>
    <w:p w14:paraId="5B45E0F5" w14:textId="77777777" w:rsidR="00D21D62" w:rsidRDefault="00000000">
      <w:pPr>
        <w:pStyle w:val="Compact"/>
        <w:numPr>
          <w:ilvl w:val="0"/>
          <w:numId w:val="16"/>
        </w:numPr>
      </w:pPr>
      <w:r>
        <w:lastRenderedPageBreak/>
        <w:t>Latency p50/p95 for: model calls, tool calls, and whole pipelines.</w:t>
      </w:r>
    </w:p>
    <w:p w14:paraId="22D408D2" w14:textId="77777777" w:rsidR="00D21D62" w:rsidRDefault="00000000">
      <w:pPr>
        <w:pStyle w:val="Compact"/>
        <w:numPr>
          <w:ilvl w:val="0"/>
          <w:numId w:val="16"/>
        </w:numPr>
      </w:pPr>
      <w:r>
        <w:t>Token usage: tokens_in/tokens_out by task type and by tier.</w:t>
      </w:r>
    </w:p>
    <w:p w14:paraId="3B6336C2" w14:textId="77777777" w:rsidR="00D21D62" w:rsidRDefault="00000000">
      <w:pPr>
        <w:pStyle w:val="Compact"/>
        <w:numPr>
          <w:ilvl w:val="0"/>
          <w:numId w:val="16"/>
        </w:numPr>
      </w:pPr>
      <w:r>
        <w:t>Error rates: by component (router, collector, DB, LM runtime), including fallback counts.</w:t>
      </w:r>
    </w:p>
    <w:p w14:paraId="68387B7A" w14:textId="77777777" w:rsidR="00D21D62" w:rsidRDefault="00000000">
      <w:pPr>
        <w:pStyle w:val="Compact"/>
        <w:numPr>
          <w:ilvl w:val="0"/>
          <w:numId w:val="16"/>
        </w:numPr>
      </w:pPr>
      <w:r>
        <w:t>Resource metrics: GPU utilization/VRAM/power, CPU, IO, queue depth.</w:t>
      </w:r>
    </w:p>
    <w:p w14:paraId="59E5F0B4" w14:textId="77777777" w:rsidR="00D21D62" w:rsidRDefault="00000000">
      <w:pPr>
        <w:pStyle w:val="Compact"/>
        <w:numPr>
          <w:ilvl w:val="0"/>
          <w:numId w:val="16"/>
        </w:numPr>
      </w:pPr>
      <w:r>
        <w:t>Trace completeness: percent of operations with valid trace IDs/spans.</w:t>
      </w:r>
    </w:p>
    <w:p w14:paraId="65500D1E" w14:textId="77777777" w:rsidR="00D21D62" w:rsidRDefault="00000000">
      <w:pPr>
        <w:pStyle w:val="FirstParagraph"/>
      </w:pPr>
      <w:r>
        <w:t xml:space="preserve">OpenTelemetry defines traces/spans as the representation of request paths through systems and gives the conceptual model that fits agent-chain observability. </w:t>
      </w:r>
      <w:hyperlink r:id="rId52">
        <w:r>
          <w:rPr>
            <w:rStyle w:val="Hyperlink"/>
          </w:rPr>
          <w:t>[21]</w:t>
        </w:r>
      </w:hyperlink>
      <w:r>
        <w:br/>
        <w:t>W3C Trace Context provides a portable header format (</w:t>
      </w:r>
      <w:r>
        <w:rPr>
          <w:rStyle w:val="VerbatimChar"/>
        </w:rPr>
        <w:t>traceparent</w:t>
      </w:r>
      <w:r>
        <w:t xml:space="preserve">, </w:t>
      </w:r>
      <w:r>
        <w:rPr>
          <w:rStyle w:val="VerbatimChar"/>
        </w:rPr>
        <w:t>tracestate</w:t>
      </w:r>
      <w:r>
        <w:t xml:space="preserve">) for interoperable request tracing across components. </w:t>
      </w:r>
      <w:hyperlink r:id="rId53">
        <w:r>
          <w:rPr>
            <w:rStyle w:val="Hyperlink"/>
          </w:rPr>
          <w:t>[16]</w:t>
        </w:r>
      </w:hyperlink>
    </w:p>
    <w:p w14:paraId="4B142F09" w14:textId="77777777" w:rsidR="00D21D62" w:rsidRDefault="00000000">
      <w:pPr>
        <w:pStyle w:val="Heading3"/>
      </w:pPr>
      <w:bookmarkStart w:id="26" w:name="X24064cbbf12e39155ebec1881b5f2369e101e35"/>
      <w:bookmarkEnd w:id="25"/>
      <w:r>
        <w:t>Cost/energy quantification for RTX 5080 24/7 operation</w:t>
      </w:r>
    </w:p>
    <w:p w14:paraId="605D3EC4" w14:textId="77777777" w:rsidR="00D21D62" w:rsidRDefault="00000000">
      <w:pPr>
        <w:pStyle w:val="FirstParagraph"/>
      </w:pPr>
      <w:r>
        <w:t>For energy modeling, V2 should anchor to official hardware specs:</w:t>
      </w:r>
    </w:p>
    <w:p w14:paraId="743DBE84" w14:textId="77777777" w:rsidR="00D21D62" w:rsidRDefault="00000000">
      <w:pPr>
        <w:pStyle w:val="Compact"/>
        <w:numPr>
          <w:ilvl w:val="0"/>
          <w:numId w:val="17"/>
        </w:numPr>
      </w:pPr>
      <w:r>
        <w:t xml:space="preserve">NVIDIA lists RTX 5080 </w:t>
      </w:r>
      <w:r>
        <w:rPr>
          <w:b/>
          <w:bCs/>
        </w:rPr>
        <w:t>Total Graphics Power (TGP) = 360W</w:t>
      </w:r>
      <w:r>
        <w:t xml:space="preserve"> and </w:t>
      </w:r>
      <w:r>
        <w:rPr>
          <w:b/>
          <w:bCs/>
        </w:rPr>
        <w:t>Required System Power = 850W</w:t>
      </w:r>
      <w:r>
        <w:t xml:space="preserve"> (reference configuration). </w:t>
      </w:r>
      <w:hyperlink r:id="rId54">
        <w:r>
          <w:rPr>
            <w:rStyle w:val="Hyperlink"/>
          </w:rPr>
          <w:t>[22]</w:t>
        </w:r>
      </w:hyperlink>
    </w:p>
    <w:p w14:paraId="7FC2BB92" w14:textId="77777777" w:rsidR="00D21D62" w:rsidRDefault="00000000">
      <w:pPr>
        <w:pStyle w:val="FirstParagraph"/>
      </w:pPr>
      <w:r>
        <w:t>Electricity cost should use authoritative price datasets:</w:t>
      </w:r>
    </w:p>
    <w:p w14:paraId="6CA2C659" w14:textId="77777777" w:rsidR="00D21D62" w:rsidRDefault="00000000">
      <w:pPr>
        <w:pStyle w:val="Compact"/>
        <w:numPr>
          <w:ilvl w:val="0"/>
          <w:numId w:val="18"/>
        </w:numPr>
      </w:pPr>
      <w:r>
        <w:t xml:space="preserve">NYSERDA publishes monthly average residential retail electricity prices for New York state from EIA’s Electric Power Monthly series (and includes “last updated” freshness). </w:t>
      </w:r>
      <w:hyperlink r:id="rId55">
        <w:r>
          <w:rPr>
            <w:rStyle w:val="Hyperlink"/>
          </w:rPr>
          <w:t>[23]</w:t>
        </w:r>
      </w:hyperlink>
    </w:p>
    <w:p w14:paraId="3BA03D58" w14:textId="77777777" w:rsidR="00D21D62" w:rsidRDefault="00000000">
      <w:pPr>
        <w:pStyle w:val="Compact"/>
        <w:numPr>
          <w:ilvl w:val="0"/>
          <w:numId w:val="18"/>
        </w:numPr>
      </w:pPr>
      <w:r>
        <w:t xml:space="preserve">EIA state electricity profiles provide annual average retail prices and release dates, useful for cross-check and non-NY sensitivity analysis. </w:t>
      </w:r>
      <w:hyperlink r:id="rId56">
        <w:r>
          <w:rPr>
            <w:rStyle w:val="Hyperlink"/>
          </w:rPr>
          <w:t>[24]</w:t>
        </w:r>
      </w:hyperlink>
    </w:p>
    <w:p w14:paraId="0D5E19EF" w14:textId="77777777" w:rsidR="00D21D62" w:rsidRDefault="00000000">
      <w:pPr>
        <w:pStyle w:val="Heading4"/>
      </w:pPr>
      <w:bookmarkStart w:id="27" w:name="X567c8852608d4e838041831e2aa2807f1023861"/>
      <w:r>
        <w:t>Cost/energy scenarios table (24/7, 30‑day month = 720h)</w:t>
      </w:r>
    </w:p>
    <w:p w14:paraId="6E15ABCE" w14:textId="77777777" w:rsidR="00D21D62" w:rsidRDefault="00000000">
      <w:pPr>
        <w:pStyle w:val="FirstParagraph"/>
      </w:pPr>
      <w:r>
        <w:t>Assumption: “average draw” is the measured wall power of the inference machine while running continuously. Actual draw depends on utilization, CPU, and workload, so scenarios are intentionally range-based.</w:t>
      </w:r>
    </w:p>
    <w:p w14:paraId="506CF0B3" w14:textId="77777777" w:rsidR="00D21D62" w:rsidRDefault="00000000">
      <w:pPr>
        <w:pStyle w:val="BodyText"/>
      </w:pPr>
      <w:r>
        <w:t>Using NYSERDA’s 2025 values as a representative New York baseline (≈ 25–27 ¢/kWh), the monthly cost is:</w:t>
      </w:r>
    </w:p>
    <w:tbl>
      <w:tblPr>
        <w:tblStyle w:val="Table"/>
        <w:tblW w:w="0" w:type="auto"/>
        <w:tblLook w:val="0020" w:firstRow="1" w:lastRow="0" w:firstColumn="0" w:lastColumn="0" w:noHBand="0" w:noVBand="0"/>
      </w:tblPr>
      <w:tblGrid>
        <w:gridCol w:w="3304"/>
        <w:gridCol w:w="2155"/>
        <w:gridCol w:w="3901"/>
      </w:tblGrid>
      <w:tr w:rsidR="00D21D62" w14:paraId="413C4B63" w14:textId="77777777" w:rsidTr="00D21D62">
        <w:trPr>
          <w:cnfStyle w:val="100000000000" w:firstRow="1" w:lastRow="0" w:firstColumn="0" w:lastColumn="0" w:oddVBand="0" w:evenVBand="0" w:oddHBand="0" w:evenHBand="0" w:firstRowFirstColumn="0" w:firstRowLastColumn="0" w:lastRowFirstColumn="0" w:lastRowLastColumn="0"/>
          <w:tblHeader/>
        </w:trPr>
        <w:tc>
          <w:tcPr>
            <w:tcW w:w="0" w:type="auto"/>
          </w:tcPr>
          <w:p w14:paraId="7E5AEE65" w14:textId="77777777" w:rsidR="00D21D62" w:rsidRDefault="00000000">
            <w:pPr>
              <w:pStyle w:val="Compact"/>
              <w:jc w:val="right"/>
            </w:pPr>
            <w:r>
              <w:t>Average draw (W)</w:t>
            </w:r>
          </w:p>
        </w:tc>
        <w:tc>
          <w:tcPr>
            <w:tcW w:w="0" w:type="auto"/>
          </w:tcPr>
          <w:p w14:paraId="0178A410" w14:textId="77777777" w:rsidR="00D21D62" w:rsidRDefault="00000000">
            <w:pPr>
              <w:pStyle w:val="Compact"/>
              <w:jc w:val="right"/>
            </w:pPr>
            <w:r>
              <w:t>Monthly energy (kWh)</w:t>
            </w:r>
          </w:p>
        </w:tc>
        <w:tc>
          <w:tcPr>
            <w:tcW w:w="0" w:type="auto"/>
          </w:tcPr>
          <w:p w14:paraId="0C3AA799" w14:textId="77777777" w:rsidR="00D21D62" w:rsidRDefault="00000000">
            <w:pPr>
              <w:pStyle w:val="Compact"/>
              <w:jc w:val="right"/>
            </w:pPr>
            <w:r>
              <w:t>Monthly cost at $0.262/kWh (NY example)</w:t>
            </w:r>
          </w:p>
        </w:tc>
      </w:tr>
      <w:tr w:rsidR="00D21D62" w14:paraId="4C4629B1" w14:textId="77777777">
        <w:tc>
          <w:tcPr>
            <w:tcW w:w="0" w:type="auto"/>
          </w:tcPr>
          <w:p w14:paraId="4124D9C9" w14:textId="77777777" w:rsidR="00D21D62" w:rsidRDefault="00000000">
            <w:pPr>
              <w:pStyle w:val="Compact"/>
              <w:jc w:val="right"/>
            </w:pPr>
            <w:r>
              <w:t>150</w:t>
            </w:r>
          </w:p>
        </w:tc>
        <w:tc>
          <w:tcPr>
            <w:tcW w:w="0" w:type="auto"/>
          </w:tcPr>
          <w:p w14:paraId="3DC3DAD2" w14:textId="77777777" w:rsidR="00D21D62" w:rsidRDefault="00000000">
            <w:pPr>
              <w:pStyle w:val="Compact"/>
              <w:jc w:val="right"/>
            </w:pPr>
            <w:r>
              <w:t>108</w:t>
            </w:r>
          </w:p>
        </w:tc>
        <w:tc>
          <w:tcPr>
            <w:tcW w:w="0" w:type="auto"/>
          </w:tcPr>
          <w:p w14:paraId="1DAE8C39" w14:textId="77777777" w:rsidR="00D21D62" w:rsidRDefault="00000000">
            <w:pPr>
              <w:pStyle w:val="Compact"/>
              <w:jc w:val="right"/>
            </w:pPr>
            <w:r>
              <w:t>~$28</w:t>
            </w:r>
          </w:p>
        </w:tc>
      </w:tr>
      <w:tr w:rsidR="00D21D62" w14:paraId="3B86BD74" w14:textId="77777777">
        <w:tc>
          <w:tcPr>
            <w:tcW w:w="0" w:type="auto"/>
          </w:tcPr>
          <w:p w14:paraId="3ABA53FA" w14:textId="77777777" w:rsidR="00D21D62" w:rsidRDefault="00000000">
            <w:pPr>
              <w:pStyle w:val="Compact"/>
              <w:jc w:val="right"/>
            </w:pPr>
            <w:r>
              <w:t>250</w:t>
            </w:r>
          </w:p>
        </w:tc>
        <w:tc>
          <w:tcPr>
            <w:tcW w:w="0" w:type="auto"/>
          </w:tcPr>
          <w:p w14:paraId="19346E25" w14:textId="77777777" w:rsidR="00D21D62" w:rsidRDefault="00000000">
            <w:pPr>
              <w:pStyle w:val="Compact"/>
              <w:jc w:val="right"/>
            </w:pPr>
            <w:r>
              <w:t>180</w:t>
            </w:r>
          </w:p>
        </w:tc>
        <w:tc>
          <w:tcPr>
            <w:tcW w:w="0" w:type="auto"/>
          </w:tcPr>
          <w:p w14:paraId="0B72507F" w14:textId="77777777" w:rsidR="00D21D62" w:rsidRDefault="00000000">
            <w:pPr>
              <w:pStyle w:val="Compact"/>
              <w:jc w:val="right"/>
            </w:pPr>
            <w:r>
              <w:t>~$47</w:t>
            </w:r>
          </w:p>
        </w:tc>
      </w:tr>
      <w:tr w:rsidR="00D21D62" w14:paraId="0AADB423" w14:textId="77777777">
        <w:tc>
          <w:tcPr>
            <w:tcW w:w="0" w:type="auto"/>
          </w:tcPr>
          <w:p w14:paraId="3B1ED026" w14:textId="77777777" w:rsidR="00D21D62" w:rsidRDefault="00000000">
            <w:pPr>
              <w:pStyle w:val="Compact"/>
              <w:jc w:val="right"/>
            </w:pPr>
            <w:r>
              <w:t>360 (GPU TGP)</w:t>
            </w:r>
          </w:p>
        </w:tc>
        <w:tc>
          <w:tcPr>
            <w:tcW w:w="0" w:type="auto"/>
          </w:tcPr>
          <w:p w14:paraId="282426CF" w14:textId="77777777" w:rsidR="00D21D62" w:rsidRDefault="00000000">
            <w:pPr>
              <w:pStyle w:val="Compact"/>
              <w:jc w:val="right"/>
            </w:pPr>
            <w:r>
              <w:t>259.2</w:t>
            </w:r>
          </w:p>
        </w:tc>
        <w:tc>
          <w:tcPr>
            <w:tcW w:w="0" w:type="auto"/>
          </w:tcPr>
          <w:p w14:paraId="0DF1A759" w14:textId="77777777" w:rsidR="00D21D62" w:rsidRDefault="00000000">
            <w:pPr>
              <w:pStyle w:val="Compact"/>
              <w:jc w:val="right"/>
            </w:pPr>
            <w:r>
              <w:t>~$68</w:t>
            </w:r>
          </w:p>
        </w:tc>
      </w:tr>
      <w:tr w:rsidR="00D21D62" w14:paraId="699CA25F" w14:textId="77777777">
        <w:tc>
          <w:tcPr>
            <w:tcW w:w="0" w:type="auto"/>
          </w:tcPr>
          <w:p w14:paraId="44E45C09" w14:textId="77777777" w:rsidR="00D21D62" w:rsidRDefault="00000000">
            <w:pPr>
              <w:pStyle w:val="Compact"/>
              <w:jc w:val="right"/>
            </w:pPr>
            <w:r>
              <w:t>450</w:t>
            </w:r>
          </w:p>
        </w:tc>
        <w:tc>
          <w:tcPr>
            <w:tcW w:w="0" w:type="auto"/>
          </w:tcPr>
          <w:p w14:paraId="07AB9D64" w14:textId="77777777" w:rsidR="00D21D62" w:rsidRDefault="00000000">
            <w:pPr>
              <w:pStyle w:val="Compact"/>
              <w:jc w:val="right"/>
            </w:pPr>
            <w:r>
              <w:t>324</w:t>
            </w:r>
          </w:p>
        </w:tc>
        <w:tc>
          <w:tcPr>
            <w:tcW w:w="0" w:type="auto"/>
          </w:tcPr>
          <w:p w14:paraId="5DC1A9D1" w14:textId="77777777" w:rsidR="00D21D62" w:rsidRDefault="00000000">
            <w:pPr>
              <w:pStyle w:val="Compact"/>
              <w:jc w:val="right"/>
            </w:pPr>
            <w:r>
              <w:t>~$85</w:t>
            </w:r>
          </w:p>
        </w:tc>
      </w:tr>
      <w:tr w:rsidR="00D21D62" w14:paraId="478B0E6D" w14:textId="77777777">
        <w:tc>
          <w:tcPr>
            <w:tcW w:w="0" w:type="auto"/>
          </w:tcPr>
          <w:p w14:paraId="390E027C" w14:textId="77777777" w:rsidR="00D21D62" w:rsidRDefault="00000000">
            <w:pPr>
              <w:pStyle w:val="Compact"/>
              <w:jc w:val="right"/>
            </w:pPr>
            <w:r>
              <w:t>600</w:t>
            </w:r>
          </w:p>
        </w:tc>
        <w:tc>
          <w:tcPr>
            <w:tcW w:w="0" w:type="auto"/>
          </w:tcPr>
          <w:p w14:paraId="69821F11" w14:textId="77777777" w:rsidR="00D21D62" w:rsidRDefault="00000000">
            <w:pPr>
              <w:pStyle w:val="Compact"/>
              <w:jc w:val="right"/>
            </w:pPr>
            <w:r>
              <w:t>432</w:t>
            </w:r>
          </w:p>
        </w:tc>
        <w:tc>
          <w:tcPr>
            <w:tcW w:w="0" w:type="auto"/>
          </w:tcPr>
          <w:p w14:paraId="3FEECF14" w14:textId="77777777" w:rsidR="00D21D62" w:rsidRDefault="00000000">
            <w:pPr>
              <w:pStyle w:val="Compact"/>
              <w:jc w:val="right"/>
            </w:pPr>
            <w:r>
              <w:t>~$113</w:t>
            </w:r>
          </w:p>
        </w:tc>
      </w:tr>
      <w:tr w:rsidR="00D21D62" w14:paraId="6112222E" w14:textId="77777777">
        <w:tc>
          <w:tcPr>
            <w:tcW w:w="0" w:type="auto"/>
          </w:tcPr>
          <w:p w14:paraId="3CB55579" w14:textId="77777777" w:rsidR="00D21D62" w:rsidRDefault="00000000">
            <w:pPr>
              <w:pStyle w:val="Compact"/>
              <w:jc w:val="right"/>
            </w:pPr>
            <w:r>
              <w:t>850 (upper bound reference config)</w:t>
            </w:r>
          </w:p>
        </w:tc>
        <w:tc>
          <w:tcPr>
            <w:tcW w:w="0" w:type="auto"/>
          </w:tcPr>
          <w:p w14:paraId="139CCFB0" w14:textId="77777777" w:rsidR="00D21D62" w:rsidRDefault="00000000">
            <w:pPr>
              <w:pStyle w:val="Compact"/>
              <w:jc w:val="right"/>
            </w:pPr>
            <w:r>
              <w:t>612</w:t>
            </w:r>
          </w:p>
        </w:tc>
        <w:tc>
          <w:tcPr>
            <w:tcW w:w="0" w:type="auto"/>
          </w:tcPr>
          <w:p w14:paraId="01D8466B" w14:textId="77777777" w:rsidR="00D21D62" w:rsidRDefault="00000000">
            <w:pPr>
              <w:pStyle w:val="Compact"/>
              <w:jc w:val="right"/>
            </w:pPr>
            <w:r>
              <w:t>~$160</w:t>
            </w:r>
          </w:p>
        </w:tc>
      </w:tr>
    </w:tbl>
    <w:p w14:paraId="0FB6181B" w14:textId="77777777" w:rsidR="00D21D62" w:rsidRDefault="00000000">
      <w:pPr>
        <w:pStyle w:val="BodyText"/>
      </w:pPr>
      <w:r>
        <w:lastRenderedPageBreak/>
        <w:t xml:space="preserve">The 360W reference is grounded in NVIDIA TGP, while the 850W is the “required system power” guidance for a reference system (not a typical sustained consumption). </w:t>
      </w:r>
      <w:hyperlink r:id="rId57">
        <w:r>
          <w:rPr>
            <w:rStyle w:val="Hyperlink"/>
          </w:rPr>
          <w:t>[25]</w:t>
        </w:r>
      </w:hyperlink>
    </w:p>
    <w:p w14:paraId="57C782AC" w14:textId="77777777" w:rsidR="00D21D62" w:rsidRDefault="00000000">
      <w:pPr>
        <w:pStyle w:val="Heading3"/>
      </w:pPr>
      <w:bookmarkStart w:id="28" w:name="model-options-costs-and-trade-offs"/>
      <w:bookmarkEnd w:id="26"/>
      <w:bookmarkEnd w:id="27"/>
      <w:r>
        <w:t>Model options: costs and trade-offs</w:t>
      </w:r>
    </w:p>
    <w:p w14:paraId="1BECE989" w14:textId="77777777" w:rsidR="00D21D62" w:rsidRDefault="00000000">
      <w:pPr>
        <w:pStyle w:val="FirstParagraph"/>
      </w:pPr>
      <w:r>
        <w:t>Your internal guides already distinguish:</w:t>
      </w:r>
    </w:p>
    <w:p w14:paraId="6AC7F992" w14:textId="77777777" w:rsidR="00D21D62" w:rsidRDefault="00000000">
      <w:pPr>
        <w:pStyle w:val="Compact"/>
        <w:numPr>
          <w:ilvl w:val="0"/>
          <w:numId w:val="19"/>
        </w:numPr>
      </w:pPr>
      <w:r>
        <w:t>Local LLMs for sovereignty and 24/7 operations, with observed throughput (e.g., “184 tokens/sec” in your local setup) and a matrix of model sizes vs approximate VRAM and speed assumptions.</w:t>
      </w:r>
    </w:p>
    <w:p w14:paraId="14BE36D9" w14:textId="77777777" w:rsidR="00D21D62" w:rsidRDefault="00000000">
      <w:pPr>
        <w:pStyle w:val="Compact"/>
        <w:numPr>
          <w:ilvl w:val="0"/>
          <w:numId w:val="19"/>
        </w:numPr>
      </w:pPr>
      <w:r>
        <w:t>Cloud models for high reasoning quality and development-time leverage, with per-token charges.</w:t>
      </w:r>
    </w:p>
    <w:p w14:paraId="604AF062" w14:textId="77777777" w:rsidR="00D21D62" w:rsidRDefault="00000000">
      <w:pPr>
        <w:pStyle w:val="FirstParagraph"/>
      </w:pPr>
      <w:r>
        <w:t>For cloud pricing, V2 should cite official Anthropic sources:</w:t>
      </w:r>
    </w:p>
    <w:p w14:paraId="35F4B95E" w14:textId="77777777" w:rsidR="00D21D62" w:rsidRDefault="00000000">
      <w:pPr>
        <w:pStyle w:val="Compact"/>
        <w:numPr>
          <w:ilvl w:val="0"/>
          <w:numId w:val="20"/>
        </w:numPr>
      </w:pPr>
      <w:r>
        <w:t xml:space="preserve">Anthropic’s official pricing lists Claude Opus 4.1 at $15/MTok input and $75/MTok output; Claude Sonnet 4 at $3/MTok input and $15/MTok output (with tiers for very large prompts); and Claude Haiku 3.5 at $0.80/MTok input and $4/MTok output. </w:t>
      </w:r>
      <w:hyperlink r:id="rId58">
        <w:r>
          <w:rPr>
            <w:rStyle w:val="Hyperlink"/>
          </w:rPr>
          <w:t>[10]</w:t>
        </w:r>
      </w:hyperlink>
    </w:p>
    <w:p w14:paraId="087815DB" w14:textId="77777777" w:rsidR="00D21D62" w:rsidRDefault="00000000">
      <w:pPr>
        <w:pStyle w:val="Heading4"/>
      </w:pPr>
      <w:bookmarkStart w:id="29" w:name="model-options-vs-trade-offs-table"/>
      <w:r>
        <w:t>Model options vs trade-offs table</w:t>
      </w:r>
    </w:p>
    <w:tbl>
      <w:tblPr>
        <w:tblStyle w:val="Table"/>
        <w:tblW w:w="0" w:type="auto"/>
        <w:tblLook w:val="0020" w:firstRow="1" w:lastRow="0" w:firstColumn="0" w:lastColumn="0" w:noHBand="0" w:noVBand="0"/>
      </w:tblPr>
      <w:tblGrid>
        <w:gridCol w:w="2098"/>
        <w:gridCol w:w="1532"/>
        <w:gridCol w:w="3214"/>
        <w:gridCol w:w="1525"/>
        <w:gridCol w:w="991"/>
      </w:tblGrid>
      <w:tr w:rsidR="00D21D62" w14:paraId="111E9244" w14:textId="77777777" w:rsidTr="00D21D62">
        <w:trPr>
          <w:cnfStyle w:val="100000000000" w:firstRow="1" w:lastRow="0" w:firstColumn="0" w:lastColumn="0" w:oddVBand="0" w:evenVBand="0" w:oddHBand="0" w:evenHBand="0" w:firstRowFirstColumn="0" w:firstRowLastColumn="0" w:lastRowFirstColumn="0" w:lastRowLastColumn="0"/>
          <w:tblHeader/>
        </w:trPr>
        <w:tc>
          <w:tcPr>
            <w:tcW w:w="0" w:type="auto"/>
          </w:tcPr>
          <w:p w14:paraId="01EB29B6" w14:textId="77777777" w:rsidR="00D21D62" w:rsidRDefault="00000000">
            <w:pPr>
              <w:pStyle w:val="Compact"/>
            </w:pPr>
            <w:r>
              <w:t>Option</w:t>
            </w:r>
          </w:p>
        </w:tc>
        <w:tc>
          <w:tcPr>
            <w:tcW w:w="0" w:type="auto"/>
          </w:tcPr>
          <w:p w14:paraId="35ABD29B" w14:textId="77777777" w:rsidR="00D21D62" w:rsidRDefault="00000000">
            <w:pPr>
              <w:pStyle w:val="Compact"/>
            </w:pPr>
            <w:r>
              <w:t>Best for</w:t>
            </w:r>
          </w:p>
        </w:tc>
        <w:tc>
          <w:tcPr>
            <w:tcW w:w="0" w:type="auto"/>
          </w:tcPr>
          <w:p w14:paraId="1BBB5396" w14:textId="77777777" w:rsidR="00D21D62" w:rsidRDefault="00000000">
            <w:pPr>
              <w:pStyle w:val="Compact"/>
            </w:pPr>
            <w:r>
              <w:t>Key strengths</w:t>
            </w:r>
          </w:p>
        </w:tc>
        <w:tc>
          <w:tcPr>
            <w:tcW w:w="0" w:type="auto"/>
          </w:tcPr>
          <w:p w14:paraId="7C8272B6" w14:textId="77777777" w:rsidR="00D21D62" w:rsidRDefault="00000000">
            <w:pPr>
              <w:pStyle w:val="Compact"/>
            </w:pPr>
            <w:r>
              <w:t>Key trade-offs</w:t>
            </w:r>
          </w:p>
        </w:tc>
        <w:tc>
          <w:tcPr>
            <w:tcW w:w="0" w:type="auto"/>
          </w:tcPr>
          <w:p w14:paraId="3377AC6D" w14:textId="77777777" w:rsidR="00D21D62" w:rsidRDefault="00000000">
            <w:pPr>
              <w:pStyle w:val="Compact"/>
            </w:pPr>
            <w:r>
              <w:t>Sources</w:t>
            </w:r>
          </w:p>
        </w:tc>
      </w:tr>
      <w:tr w:rsidR="00D21D62" w14:paraId="0910924A" w14:textId="77777777">
        <w:tc>
          <w:tcPr>
            <w:tcW w:w="0" w:type="auto"/>
          </w:tcPr>
          <w:p w14:paraId="5CDDE4D0" w14:textId="77777777" w:rsidR="00D21D62" w:rsidRDefault="00000000">
            <w:pPr>
              <w:pStyle w:val="Compact"/>
            </w:pPr>
            <w:r>
              <w:t>Tier S local via Ollama</w:t>
            </w:r>
          </w:p>
        </w:tc>
        <w:tc>
          <w:tcPr>
            <w:tcW w:w="0" w:type="auto"/>
          </w:tcPr>
          <w:p w14:paraId="479FDC8C" w14:textId="77777777" w:rsidR="00D21D62" w:rsidRDefault="00000000">
            <w:pPr>
              <w:pStyle w:val="Compact"/>
            </w:pPr>
            <w:r>
              <w:t>Level ≥2 analysis, sovereign runtime chains</w:t>
            </w:r>
          </w:p>
        </w:tc>
        <w:tc>
          <w:tcPr>
            <w:tcW w:w="0" w:type="auto"/>
          </w:tcPr>
          <w:p w14:paraId="5ADCD0A8" w14:textId="77777777" w:rsidR="00D21D62" w:rsidRDefault="00000000">
            <w:pPr>
              <w:pStyle w:val="Compact"/>
            </w:pPr>
            <w:r>
              <w:t>No egress; measurable per-call usage fields; supports OpenAI-compatible endpoints for portability</w:t>
            </w:r>
          </w:p>
        </w:tc>
        <w:tc>
          <w:tcPr>
            <w:tcW w:w="0" w:type="auto"/>
          </w:tcPr>
          <w:p w14:paraId="643DA927" w14:textId="77777777" w:rsidR="00D21D62" w:rsidRDefault="00000000">
            <w:pPr>
              <w:pStyle w:val="Compact"/>
            </w:pPr>
            <w:r>
              <w:t>Lower ceiling vs frontier cloud; needs local ops hardening</w:t>
            </w:r>
          </w:p>
        </w:tc>
        <w:tc>
          <w:tcPr>
            <w:tcW w:w="0" w:type="auto"/>
          </w:tcPr>
          <w:p w14:paraId="2C8F1B21" w14:textId="77777777" w:rsidR="00D21D62" w:rsidRDefault="00000000">
            <w:pPr>
              <w:pStyle w:val="Compact"/>
            </w:pPr>
            <w:hyperlink r:id="rId59">
              <w:r>
                <w:rPr>
                  <w:rStyle w:val="Hyperlink"/>
                </w:rPr>
                <w:t>[26]</w:t>
              </w:r>
            </w:hyperlink>
          </w:p>
        </w:tc>
      </w:tr>
      <w:tr w:rsidR="00D21D62" w14:paraId="1D24D558" w14:textId="77777777">
        <w:tc>
          <w:tcPr>
            <w:tcW w:w="0" w:type="auto"/>
          </w:tcPr>
          <w:p w14:paraId="5BC8D76E" w14:textId="77777777" w:rsidR="00D21D62" w:rsidRDefault="00000000">
            <w:pPr>
              <w:pStyle w:val="Compact"/>
            </w:pPr>
            <w:r>
              <w:t>Tier S local via LM Studio</w:t>
            </w:r>
          </w:p>
        </w:tc>
        <w:tc>
          <w:tcPr>
            <w:tcW w:w="0" w:type="auto"/>
          </w:tcPr>
          <w:p w14:paraId="42FD79CB" w14:textId="77777777" w:rsidR="00D21D62" w:rsidRDefault="00000000">
            <w:pPr>
              <w:pStyle w:val="Compact"/>
            </w:pPr>
            <w:r>
              <w:t>Drop-in OpenAI client compatibility; controlled local inference</w:t>
            </w:r>
          </w:p>
        </w:tc>
        <w:tc>
          <w:tcPr>
            <w:tcW w:w="0" w:type="auto"/>
          </w:tcPr>
          <w:p w14:paraId="11362AA1" w14:textId="77777777" w:rsidR="00D21D62" w:rsidRDefault="00000000">
            <w:pPr>
              <w:pStyle w:val="Compact"/>
            </w:pPr>
            <w:r>
              <w:t>OpenAI endpoints (</w:t>
            </w:r>
            <w:r>
              <w:rPr>
                <w:rStyle w:val="VerbatimChar"/>
              </w:rPr>
              <w:t>/v1/chat/completions</w:t>
            </w:r>
            <w:r>
              <w:t>, etc.) for minimal integration friction</w:t>
            </w:r>
          </w:p>
        </w:tc>
        <w:tc>
          <w:tcPr>
            <w:tcW w:w="0" w:type="auto"/>
          </w:tcPr>
          <w:p w14:paraId="660E19B5" w14:textId="77777777" w:rsidR="00D21D62" w:rsidRDefault="00000000">
            <w:pPr>
              <w:pStyle w:val="Compact"/>
            </w:pPr>
            <w:r>
              <w:t>Same hardware constraints; requires local policy/ops discipline</w:t>
            </w:r>
          </w:p>
        </w:tc>
        <w:tc>
          <w:tcPr>
            <w:tcW w:w="0" w:type="auto"/>
          </w:tcPr>
          <w:p w14:paraId="45FD2FF0" w14:textId="77777777" w:rsidR="00D21D62" w:rsidRDefault="00000000">
            <w:pPr>
              <w:pStyle w:val="Compact"/>
            </w:pPr>
            <w:hyperlink r:id="rId60">
              <w:r>
                <w:rPr>
                  <w:rStyle w:val="Hyperlink"/>
                </w:rPr>
                <w:t>[27]</w:t>
              </w:r>
            </w:hyperlink>
          </w:p>
        </w:tc>
      </w:tr>
      <w:tr w:rsidR="00D21D62" w14:paraId="4D75BE87" w14:textId="77777777">
        <w:tc>
          <w:tcPr>
            <w:tcW w:w="0" w:type="auto"/>
          </w:tcPr>
          <w:p w14:paraId="29194B90" w14:textId="77777777" w:rsidR="00D21D62" w:rsidRDefault="00000000">
            <w:pPr>
              <w:pStyle w:val="Compact"/>
            </w:pPr>
            <w:r>
              <w:t>Tier C cloud Claude Sonnet/Opus/Haiku</w:t>
            </w:r>
          </w:p>
        </w:tc>
        <w:tc>
          <w:tcPr>
            <w:tcW w:w="0" w:type="auto"/>
          </w:tcPr>
          <w:p w14:paraId="4A74AECD" w14:textId="77777777" w:rsidR="00D21D62" w:rsidRDefault="00000000">
            <w:pPr>
              <w:pStyle w:val="Compact"/>
            </w:pPr>
            <w:r>
              <w:t>Level 0–1 synthesis, burst capacity, complex reasoning</w:t>
            </w:r>
          </w:p>
        </w:tc>
        <w:tc>
          <w:tcPr>
            <w:tcW w:w="0" w:type="auto"/>
          </w:tcPr>
          <w:p w14:paraId="7962BFFE" w14:textId="77777777" w:rsidR="00D21D62" w:rsidRDefault="00000000">
            <w:pPr>
              <w:pStyle w:val="Compact"/>
            </w:pPr>
            <w:r>
              <w:t>Highest reasoning quality; known pricing; prompt caching and batch pricing options</w:t>
            </w:r>
          </w:p>
        </w:tc>
        <w:tc>
          <w:tcPr>
            <w:tcW w:w="0" w:type="auto"/>
          </w:tcPr>
          <w:p w14:paraId="5C6C6517" w14:textId="77777777" w:rsidR="00D21D62" w:rsidRDefault="00000000">
            <w:pPr>
              <w:pStyle w:val="Compact"/>
            </w:pPr>
            <w:r>
              <w:t>Egress; governance must enforce redaction; ongoing variable cost</w:t>
            </w:r>
          </w:p>
        </w:tc>
        <w:tc>
          <w:tcPr>
            <w:tcW w:w="0" w:type="auto"/>
          </w:tcPr>
          <w:p w14:paraId="456EF9E6" w14:textId="77777777" w:rsidR="00D21D62" w:rsidRDefault="00000000">
            <w:pPr>
              <w:pStyle w:val="Compact"/>
            </w:pPr>
            <w:hyperlink r:id="rId61">
              <w:r>
                <w:rPr>
                  <w:rStyle w:val="Hyperlink"/>
                </w:rPr>
                <w:t>[10]</w:t>
              </w:r>
            </w:hyperlink>
          </w:p>
        </w:tc>
      </w:tr>
      <w:tr w:rsidR="00D21D62" w14:paraId="007BA7F8" w14:textId="77777777">
        <w:tc>
          <w:tcPr>
            <w:tcW w:w="0" w:type="auto"/>
          </w:tcPr>
          <w:p w14:paraId="391B0FF1" w14:textId="77777777" w:rsidR="00D21D62" w:rsidRDefault="00000000">
            <w:pPr>
              <w:pStyle w:val="Compact"/>
            </w:pPr>
            <w:r>
              <w:t>Tier H self-host SearxNG + Tier S model</w:t>
            </w:r>
          </w:p>
        </w:tc>
        <w:tc>
          <w:tcPr>
            <w:tcW w:w="0" w:type="auto"/>
          </w:tcPr>
          <w:p w14:paraId="5E3F74A7" w14:textId="77777777" w:rsidR="00D21D62" w:rsidRDefault="00000000">
            <w:pPr>
              <w:pStyle w:val="Compact"/>
            </w:pPr>
            <w:r>
              <w:t>Private web retrieval augmentatio</w:t>
            </w:r>
            <w:r>
              <w:lastRenderedPageBreak/>
              <w:t>n</w:t>
            </w:r>
          </w:p>
        </w:tc>
        <w:tc>
          <w:tcPr>
            <w:tcW w:w="0" w:type="auto"/>
          </w:tcPr>
          <w:p w14:paraId="436B1E48" w14:textId="77777777" w:rsidR="00D21D62" w:rsidRDefault="00000000">
            <w:pPr>
              <w:pStyle w:val="Compact"/>
            </w:pPr>
            <w:r>
              <w:lastRenderedPageBreak/>
              <w:t xml:space="preserve">Self-hosted metasearch; no profiling; supports a “retrieval layer” without direct search </w:t>
            </w:r>
            <w:r>
              <w:lastRenderedPageBreak/>
              <w:t>leakage</w:t>
            </w:r>
          </w:p>
        </w:tc>
        <w:tc>
          <w:tcPr>
            <w:tcW w:w="0" w:type="auto"/>
          </w:tcPr>
          <w:p w14:paraId="7F759468" w14:textId="77777777" w:rsidR="00D21D62" w:rsidRDefault="00000000">
            <w:pPr>
              <w:pStyle w:val="Compact"/>
            </w:pPr>
            <w:r>
              <w:lastRenderedPageBreak/>
              <w:t xml:space="preserve">Requires maintenance; results </w:t>
            </w:r>
            <w:r>
              <w:lastRenderedPageBreak/>
              <w:t>quality depends on engine config</w:t>
            </w:r>
          </w:p>
        </w:tc>
        <w:tc>
          <w:tcPr>
            <w:tcW w:w="0" w:type="auto"/>
          </w:tcPr>
          <w:p w14:paraId="5CCB5B55" w14:textId="77777777" w:rsidR="00D21D62" w:rsidRDefault="00000000">
            <w:pPr>
              <w:pStyle w:val="Compact"/>
            </w:pPr>
            <w:hyperlink r:id="rId62">
              <w:r>
                <w:rPr>
                  <w:rStyle w:val="Hyperlink"/>
                </w:rPr>
                <w:t>[11]</w:t>
              </w:r>
            </w:hyperlink>
          </w:p>
        </w:tc>
      </w:tr>
      <w:tr w:rsidR="00D21D62" w14:paraId="0DD452F0" w14:textId="77777777">
        <w:tc>
          <w:tcPr>
            <w:tcW w:w="0" w:type="auto"/>
          </w:tcPr>
          <w:p w14:paraId="22E791A3" w14:textId="77777777" w:rsidR="00D21D62" w:rsidRDefault="00000000">
            <w:pPr>
              <w:pStyle w:val="Compact"/>
            </w:pPr>
            <w:r>
              <w:t>Tier H Neo4j augmentation</w:t>
            </w:r>
          </w:p>
        </w:tc>
        <w:tc>
          <w:tcPr>
            <w:tcW w:w="0" w:type="auto"/>
          </w:tcPr>
          <w:p w14:paraId="28CAEB11" w14:textId="77777777" w:rsidR="00D21D62" w:rsidRDefault="00000000">
            <w:pPr>
              <w:pStyle w:val="Compact"/>
            </w:pPr>
            <w:r>
              <w:t>Relationship-based reasoning and provenance</w:t>
            </w:r>
          </w:p>
        </w:tc>
        <w:tc>
          <w:tcPr>
            <w:tcW w:w="0" w:type="auto"/>
          </w:tcPr>
          <w:p w14:paraId="0BA8A9C8" w14:textId="77777777" w:rsidR="00D21D62" w:rsidRDefault="00000000">
            <w:pPr>
              <w:pStyle w:val="Compact"/>
            </w:pPr>
            <w:r>
              <w:t>Graph DB stores nodes/relationships/properties; good for commodity entity/event linkage</w:t>
            </w:r>
          </w:p>
        </w:tc>
        <w:tc>
          <w:tcPr>
            <w:tcW w:w="0" w:type="auto"/>
          </w:tcPr>
          <w:p w14:paraId="60861B22" w14:textId="77777777" w:rsidR="00D21D62" w:rsidRDefault="00000000">
            <w:pPr>
              <w:pStyle w:val="Compact"/>
            </w:pPr>
            <w:r>
              <w:t>Added operations burden; needs schema discipline and provenance rules</w:t>
            </w:r>
          </w:p>
        </w:tc>
        <w:tc>
          <w:tcPr>
            <w:tcW w:w="0" w:type="auto"/>
          </w:tcPr>
          <w:p w14:paraId="13CBD5C3" w14:textId="77777777" w:rsidR="00D21D62" w:rsidRDefault="00000000">
            <w:pPr>
              <w:pStyle w:val="Compact"/>
            </w:pPr>
            <w:hyperlink r:id="rId63">
              <w:r>
                <w:rPr>
                  <w:rStyle w:val="Hyperlink"/>
                </w:rPr>
                <w:t>[12]</w:t>
              </w:r>
            </w:hyperlink>
          </w:p>
        </w:tc>
      </w:tr>
    </w:tbl>
    <w:p w14:paraId="257E8466" w14:textId="77777777" w:rsidR="00D21D62" w:rsidRDefault="00000000">
      <w:pPr>
        <w:pStyle w:val="Heading2"/>
      </w:pPr>
      <w:bookmarkStart w:id="30" w:name="operational-resilience-and-roadmap"/>
      <w:bookmarkEnd w:id="22"/>
      <w:bookmarkEnd w:id="28"/>
      <w:bookmarkEnd w:id="29"/>
      <w:r>
        <w:t>Operational resilience and roadmap</w:t>
      </w:r>
    </w:p>
    <w:p w14:paraId="01AA1446" w14:textId="77777777" w:rsidR="00D21D62" w:rsidRDefault="00000000">
      <w:pPr>
        <w:pStyle w:val="Heading3"/>
      </w:pPr>
      <w:bookmarkStart w:id="31" w:name="failover-design-with-mandatory-redaction"/>
      <w:r>
        <w:t>Failover design with mandatory redaction</w:t>
      </w:r>
    </w:p>
    <w:p w14:paraId="74D88563" w14:textId="77777777" w:rsidR="00D21D62" w:rsidRDefault="00000000">
      <w:pPr>
        <w:pStyle w:val="FirstParagraph"/>
      </w:pPr>
      <w:r>
        <w:t xml:space="preserve">V2 should describe failover as a </w:t>
      </w:r>
      <w:r>
        <w:rPr>
          <w:b/>
          <w:bCs/>
        </w:rPr>
        <w:t>policy-controlled escalation ladder</w:t>
      </w:r>
      <w:r>
        <w:t>:</w:t>
      </w:r>
    </w:p>
    <w:p w14:paraId="31821D81" w14:textId="77777777" w:rsidR="00D21D62" w:rsidRDefault="00000000">
      <w:pPr>
        <w:pStyle w:val="Compact"/>
        <w:numPr>
          <w:ilvl w:val="0"/>
          <w:numId w:val="21"/>
        </w:numPr>
      </w:pPr>
      <w:r>
        <w:t>Tier S is the default for Level ≥2 and must not escalate to cloud.</w:t>
      </w:r>
    </w:p>
    <w:p w14:paraId="67B2AA83" w14:textId="77777777" w:rsidR="00D21D62" w:rsidRDefault="00000000">
      <w:pPr>
        <w:pStyle w:val="Compact"/>
        <w:numPr>
          <w:ilvl w:val="0"/>
          <w:numId w:val="21"/>
        </w:numPr>
      </w:pPr>
      <w:r>
        <w:t>Tier H is the default for ingestion/retrieval where egress is required but constrained.</w:t>
      </w:r>
    </w:p>
    <w:p w14:paraId="4C445CD3" w14:textId="77777777" w:rsidR="00D21D62" w:rsidRDefault="00000000">
      <w:pPr>
        <w:pStyle w:val="Compact"/>
        <w:numPr>
          <w:ilvl w:val="0"/>
          <w:numId w:val="21"/>
        </w:numPr>
      </w:pPr>
      <w:r>
        <w:t>Tier C is allowed only when the classifier/policy engine confirms Level 0–1 (or explicitly approved, deterministically redacted Level 2, if you ever choose to allow that in the future).</w:t>
      </w:r>
    </w:p>
    <w:p w14:paraId="75A9E071" w14:textId="77777777" w:rsidR="00D21D62" w:rsidRDefault="00000000">
      <w:pPr>
        <w:pStyle w:val="FirstParagraph"/>
      </w:pPr>
      <w:r>
        <w:t xml:space="preserve">This aligns with your pipeline doc’s explicit claim that the dispatcher should run where it needs internet (Tier H), while proprietary KG-context report generation should run with no egress (Tier S), and cloud is reserved for Level 0–1 analysis. </w:t>
      </w:r>
      <w:hyperlink r:id="rId64">
        <w:r>
          <w:rPr>
            <w:rStyle w:val="Hyperlink"/>
          </w:rPr>
          <w:t>[1]</w:t>
        </w:r>
      </w:hyperlink>
    </w:p>
    <w:p w14:paraId="11144E6F" w14:textId="77777777" w:rsidR="00D21D62" w:rsidRDefault="00000000">
      <w:pPr>
        <w:pStyle w:val="BodyText"/>
      </w:pPr>
      <w:r>
        <w:t xml:space="preserve">Redaction is security-critical because OWASP highlights common exploit paths (prompt injection, insecure plugin design, sensitive information disclosure) that occur exactly when untrusted data crosses model/tool boundaries. </w:t>
      </w:r>
      <w:hyperlink r:id="rId65">
        <w:r>
          <w:rPr>
            <w:rStyle w:val="Hyperlink"/>
          </w:rPr>
          <w:t>[6]</w:t>
        </w:r>
      </w:hyperlink>
    </w:p>
    <w:p w14:paraId="5311A3B5" w14:textId="77777777" w:rsidR="00D21D62" w:rsidRDefault="00000000">
      <w:pPr>
        <w:pStyle w:val="Heading3"/>
      </w:pPr>
      <w:bookmarkStart w:id="32" w:name="disaster-recovery-and-backups"/>
      <w:bookmarkEnd w:id="31"/>
      <w:r>
        <w:t>Disaster recovery and backups</w:t>
      </w:r>
    </w:p>
    <w:p w14:paraId="66C2371C" w14:textId="77777777" w:rsidR="00D21D62" w:rsidRDefault="00000000">
      <w:pPr>
        <w:pStyle w:val="FirstParagraph"/>
      </w:pPr>
      <w:r>
        <w:t>V2 should treat DR as part of sovereignty: if the system can’t be restored, it isn’t operationally sovereign.</w:t>
      </w:r>
    </w:p>
    <w:p w14:paraId="43C91DA4" w14:textId="77777777" w:rsidR="00D21D62" w:rsidRDefault="00000000">
      <w:pPr>
        <w:pStyle w:val="BodyText"/>
      </w:pPr>
      <w:r>
        <w:t>Primary external control guidance:</w:t>
      </w:r>
    </w:p>
    <w:p w14:paraId="1582E8B5" w14:textId="77777777" w:rsidR="00D21D62" w:rsidRDefault="00000000">
      <w:pPr>
        <w:pStyle w:val="Compact"/>
        <w:numPr>
          <w:ilvl w:val="0"/>
          <w:numId w:val="22"/>
        </w:numPr>
      </w:pPr>
      <w:r>
        <w:t xml:space="preserve">NIST SP 800‑34 Rev.1 defines a contingency planning process (policy, business impact analysis, preventive controls, recovery strategies, plan development, testing/exercises, maintenance). </w:t>
      </w:r>
      <w:hyperlink r:id="rId66">
        <w:r>
          <w:rPr>
            <w:rStyle w:val="Hyperlink"/>
          </w:rPr>
          <w:t>[28]</w:t>
        </w:r>
      </w:hyperlink>
    </w:p>
    <w:p w14:paraId="5A263035" w14:textId="77777777" w:rsidR="00D21D62" w:rsidRDefault="00000000">
      <w:pPr>
        <w:pStyle w:val="FirstParagraph"/>
      </w:pPr>
      <w:r>
        <w:lastRenderedPageBreak/>
        <w:t>Primary technical anchor for RLC’s data plane:</w:t>
      </w:r>
    </w:p>
    <w:p w14:paraId="061453E6" w14:textId="77777777" w:rsidR="00D21D62" w:rsidRDefault="00000000">
      <w:pPr>
        <w:pStyle w:val="Compact"/>
        <w:numPr>
          <w:ilvl w:val="0"/>
          <w:numId w:val="23"/>
        </w:numPr>
      </w:pPr>
      <w:r>
        <w:t xml:space="preserve">PostgreSQL PITR/continuous archiving supports restoring a database to a specific point in time by replaying archived WAL, and documentation highlights operational monitoring of archiving lag and the concept of warm standby via continuous WAL shipping. </w:t>
      </w:r>
      <w:hyperlink r:id="rId67">
        <w:r>
          <w:rPr>
            <w:rStyle w:val="Hyperlink"/>
          </w:rPr>
          <w:t>[29]</w:t>
        </w:r>
      </w:hyperlink>
    </w:p>
    <w:p w14:paraId="54E34E95" w14:textId="77777777" w:rsidR="00D21D62" w:rsidRDefault="00000000">
      <w:pPr>
        <w:pStyle w:val="Heading4"/>
      </w:pPr>
      <w:bookmarkStart w:id="33" w:name="X89b966284ea08eff9bb256d3a0cddc0c251439f"/>
      <w:r>
        <w:t>V2 recommended DR baseline (expository form)</w:t>
      </w:r>
    </w:p>
    <w:p w14:paraId="2F4A9487" w14:textId="77777777" w:rsidR="00D21D62" w:rsidRDefault="00000000">
      <w:pPr>
        <w:pStyle w:val="Compact"/>
        <w:numPr>
          <w:ilvl w:val="0"/>
          <w:numId w:val="24"/>
        </w:numPr>
      </w:pPr>
      <w:r>
        <w:t>Define RPO and RTO targets by system tier (e.g., CNS collection_status/event_log and price collectors likely need tighter RPO than static KG contexts).</w:t>
      </w:r>
    </w:p>
    <w:p w14:paraId="5B30D62F" w14:textId="77777777" w:rsidR="00D21D62" w:rsidRDefault="00000000">
      <w:pPr>
        <w:pStyle w:val="Compact"/>
        <w:numPr>
          <w:ilvl w:val="0"/>
          <w:numId w:val="24"/>
        </w:numPr>
      </w:pPr>
      <w:r>
        <w:t xml:space="preserve">Implement </w:t>
      </w:r>
      <w:r>
        <w:rPr>
          <w:b/>
          <w:bCs/>
        </w:rPr>
        <w:t>WAL archiving + periodic base backups</w:t>
      </w:r>
      <w:r>
        <w:t xml:space="preserve"> for PostgreSQL, plus tested restore procedures.</w:t>
      </w:r>
    </w:p>
    <w:p w14:paraId="7B95AC6D" w14:textId="77777777" w:rsidR="00D21D62" w:rsidRDefault="00000000">
      <w:pPr>
        <w:pStyle w:val="Compact"/>
        <w:numPr>
          <w:ilvl w:val="0"/>
          <w:numId w:val="24"/>
        </w:numPr>
      </w:pPr>
      <w:r>
        <w:t>Back up prompt registry, report templates, and model manifests (versions/quantization).</w:t>
      </w:r>
    </w:p>
    <w:p w14:paraId="3804CC42" w14:textId="77777777" w:rsidR="00D21D62" w:rsidRDefault="00000000">
      <w:pPr>
        <w:pStyle w:val="Compact"/>
        <w:numPr>
          <w:ilvl w:val="0"/>
          <w:numId w:val="24"/>
        </w:numPr>
      </w:pPr>
      <w:r>
        <w:t xml:space="preserve">Store audit log chain checkpoints off-host (AU‑9 includes storing audit records on separate systems/components and cryptographic protections). </w:t>
      </w:r>
      <w:hyperlink r:id="rId68">
        <w:r>
          <w:rPr>
            <w:rStyle w:val="Hyperlink"/>
          </w:rPr>
          <w:t>[15]</w:t>
        </w:r>
      </w:hyperlink>
    </w:p>
    <w:p w14:paraId="2B1CC0CB" w14:textId="77777777" w:rsidR="00D21D62" w:rsidRDefault="00000000">
      <w:pPr>
        <w:pStyle w:val="Compact"/>
        <w:numPr>
          <w:ilvl w:val="0"/>
          <w:numId w:val="24"/>
        </w:numPr>
      </w:pPr>
      <w:r>
        <w:t>Run quarterly restore drills (measure actual RTO).</w:t>
      </w:r>
    </w:p>
    <w:p w14:paraId="091CE3CC" w14:textId="77777777" w:rsidR="00D21D62" w:rsidRDefault="00000000">
      <w:pPr>
        <w:pStyle w:val="Heading3"/>
      </w:pPr>
      <w:bookmarkStart w:id="34" w:name="governance-cadence-and-periodic-review"/>
      <w:bookmarkEnd w:id="32"/>
      <w:bookmarkEnd w:id="33"/>
      <w:r>
        <w:t>Governance cadence and periodic review</w:t>
      </w:r>
    </w:p>
    <w:p w14:paraId="345BB77E" w14:textId="77777777" w:rsidR="00D21D62" w:rsidRDefault="00000000">
      <w:pPr>
        <w:pStyle w:val="FirstParagraph"/>
      </w:pPr>
      <w:r>
        <w:t xml:space="preserve">Your internal pipeline guide already proposes a governance cadence: monthly cost/error/latency review; quarterly prompt/model/sensitivity review; semiannual policy and DR drill; annual architecture review and sovereignty audit. </w:t>
      </w:r>
      <w:hyperlink r:id="rId69">
        <w:r>
          <w:rPr>
            <w:rStyle w:val="Hyperlink"/>
          </w:rPr>
          <w:t>[1]</w:t>
        </w:r>
      </w:hyperlink>
    </w:p>
    <w:p w14:paraId="3D9B20F5" w14:textId="77777777" w:rsidR="00D21D62" w:rsidRDefault="00000000">
      <w:pPr>
        <w:pStyle w:val="BodyText"/>
      </w:pPr>
      <w:r>
        <w:t>V2 should connect this cadence explicitly to external best practice:</w:t>
      </w:r>
    </w:p>
    <w:p w14:paraId="034C3C16" w14:textId="77777777" w:rsidR="00D21D62" w:rsidRDefault="00000000">
      <w:pPr>
        <w:pStyle w:val="Compact"/>
        <w:numPr>
          <w:ilvl w:val="0"/>
          <w:numId w:val="25"/>
        </w:numPr>
      </w:pPr>
      <w:r>
        <w:t xml:space="preserve">NIST AI RMF emphasizes that risk management for AI systems must be operationalized and adaptable as AI technologies evolve, which supports fixed review intervals and clear governance roles. </w:t>
      </w:r>
      <w:hyperlink r:id="rId70">
        <w:r>
          <w:rPr>
            <w:rStyle w:val="Hyperlink"/>
          </w:rPr>
          <w:t>[30]</w:t>
        </w:r>
      </w:hyperlink>
    </w:p>
    <w:p w14:paraId="1EA9CCBE" w14:textId="77777777" w:rsidR="00D21D62" w:rsidRDefault="00000000">
      <w:pPr>
        <w:pStyle w:val="Compact"/>
        <w:numPr>
          <w:ilvl w:val="0"/>
          <w:numId w:val="25"/>
        </w:numPr>
      </w:pPr>
      <w:r>
        <w:t xml:space="preserve">NIST SP 800‑92 treats log management as an ongoing process across the enterprise lifecycle rather than a one-time setup, reinforcing continuous monitoring and review. </w:t>
      </w:r>
      <w:hyperlink r:id="rId71">
        <w:r>
          <w:rPr>
            <w:rStyle w:val="Hyperlink"/>
          </w:rPr>
          <w:t>[14]</w:t>
        </w:r>
      </w:hyperlink>
    </w:p>
    <w:p w14:paraId="73206A11" w14:textId="77777777" w:rsidR="00D21D62" w:rsidRDefault="00000000">
      <w:pPr>
        <w:pStyle w:val="Heading3"/>
      </w:pPr>
      <w:bookmarkStart w:id="35" w:name="month-roadmap-with-milestones"/>
      <w:bookmarkEnd w:id="34"/>
      <w:r>
        <w:t>12‑month roadmap with milestones</w:t>
      </w:r>
    </w:p>
    <w:p w14:paraId="3D92053D" w14:textId="77777777" w:rsidR="00D21D62" w:rsidRDefault="00000000">
      <w:pPr>
        <w:pStyle w:val="FirstParagraph"/>
      </w:pPr>
      <w:r>
        <w:t xml:space="preserve">Your pipeline guide provides a phased build plan (control plane foundation → WASDE pipeline → additional pipelines → delivery hardening) plus latency targets. V2 should reuse that structure and broaden it to “Sovereign Intelligence Architecture” scope (router abstraction, containment, DR, metrics, governance). </w:t>
      </w:r>
      <w:hyperlink r:id="rId72">
        <w:r>
          <w:rPr>
            <w:rStyle w:val="Hyperlink"/>
          </w:rPr>
          <w:t>[1]</w:t>
        </w:r>
      </w:hyperlink>
    </w:p>
    <w:p w14:paraId="25DFC0C4" w14:textId="77777777" w:rsidR="00D21D62" w:rsidRDefault="00000000">
      <w:pPr>
        <w:pStyle w:val="BodyText"/>
      </w:pPr>
      <w:r>
        <w:t>A rigorous 12‑month roadmap (open-ended infra sizing; concurrency and hardware scale depend on adoption and agent workload volume):</w:t>
      </w:r>
    </w:p>
    <w:tbl>
      <w:tblPr>
        <w:tblStyle w:val="Table"/>
        <w:tblW w:w="0" w:type="auto"/>
        <w:tblLook w:val="0020" w:firstRow="1" w:lastRow="0" w:firstColumn="0" w:lastColumn="0" w:noHBand="0" w:noVBand="0"/>
      </w:tblPr>
      <w:tblGrid>
        <w:gridCol w:w="1177"/>
        <w:gridCol w:w="2059"/>
        <w:gridCol w:w="6124"/>
      </w:tblGrid>
      <w:tr w:rsidR="00D21D62" w14:paraId="0CF57598" w14:textId="77777777" w:rsidTr="00D21D62">
        <w:trPr>
          <w:cnfStyle w:val="100000000000" w:firstRow="1" w:lastRow="0" w:firstColumn="0" w:lastColumn="0" w:oddVBand="0" w:evenVBand="0" w:oddHBand="0" w:evenHBand="0" w:firstRowFirstColumn="0" w:firstRowLastColumn="0" w:lastRowFirstColumn="0" w:lastRowLastColumn="0"/>
          <w:tblHeader/>
        </w:trPr>
        <w:tc>
          <w:tcPr>
            <w:tcW w:w="0" w:type="auto"/>
          </w:tcPr>
          <w:p w14:paraId="13F2DD3F" w14:textId="77777777" w:rsidR="00D21D62" w:rsidRDefault="00000000">
            <w:pPr>
              <w:pStyle w:val="Compact"/>
            </w:pPr>
            <w:r>
              <w:t>Time window</w:t>
            </w:r>
          </w:p>
        </w:tc>
        <w:tc>
          <w:tcPr>
            <w:tcW w:w="0" w:type="auto"/>
          </w:tcPr>
          <w:p w14:paraId="671E7CA5" w14:textId="77777777" w:rsidR="00D21D62" w:rsidRDefault="00000000">
            <w:pPr>
              <w:pStyle w:val="Compact"/>
            </w:pPr>
            <w:r>
              <w:t>Milestone</w:t>
            </w:r>
          </w:p>
        </w:tc>
        <w:tc>
          <w:tcPr>
            <w:tcW w:w="0" w:type="auto"/>
          </w:tcPr>
          <w:p w14:paraId="17A0C014" w14:textId="77777777" w:rsidR="00D21D62" w:rsidRDefault="00000000">
            <w:pPr>
              <w:pStyle w:val="Compact"/>
            </w:pPr>
            <w:r>
              <w:t>Concrete deliverables</w:t>
            </w:r>
          </w:p>
        </w:tc>
      </w:tr>
      <w:tr w:rsidR="00D21D62" w14:paraId="788165D5" w14:textId="77777777">
        <w:tc>
          <w:tcPr>
            <w:tcW w:w="0" w:type="auto"/>
          </w:tcPr>
          <w:p w14:paraId="3FACEFC8" w14:textId="77777777" w:rsidR="00D21D62" w:rsidRDefault="00000000">
            <w:pPr>
              <w:pStyle w:val="Compact"/>
            </w:pPr>
            <w:r>
              <w:t xml:space="preserve">Months </w:t>
            </w:r>
            <w:r>
              <w:lastRenderedPageBreak/>
              <w:t>1–2</w:t>
            </w:r>
          </w:p>
        </w:tc>
        <w:tc>
          <w:tcPr>
            <w:tcW w:w="0" w:type="auto"/>
          </w:tcPr>
          <w:p w14:paraId="6877A1E6" w14:textId="77777777" w:rsidR="00D21D62" w:rsidRDefault="00000000">
            <w:pPr>
              <w:pStyle w:val="Compact"/>
            </w:pPr>
            <w:r>
              <w:lastRenderedPageBreak/>
              <w:t xml:space="preserve">V2 doctrine + </w:t>
            </w:r>
            <w:r>
              <w:lastRenderedPageBreak/>
              <w:t>baseline policy</w:t>
            </w:r>
          </w:p>
        </w:tc>
        <w:tc>
          <w:tcPr>
            <w:tcW w:w="0" w:type="auto"/>
          </w:tcPr>
          <w:p w14:paraId="508AD104" w14:textId="77777777" w:rsidR="00D21D62" w:rsidRDefault="00000000">
            <w:pPr>
              <w:pStyle w:val="Compact"/>
            </w:pPr>
            <w:r>
              <w:lastRenderedPageBreak/>
              <w:t xml:space="preserve">Publish V2 guide; adopt Levels 0–4 across agents/tools; </w:t>
            </w:r>
            <w:r>
              <w:lastRenderedPageBreak/>
              <w:t xml:space="preserve">enforce “no LLM for Level 4”; formal tier mapping S/H/C. </w:t>
            </w:r>
            <w:hyperlink r:id="rId73">
              <w:r>
                <w:rPr>
                  <w:rStyle w:val="Hyperlink"/>
                </w:rPr>
                <w:t>[1]</w:t>
              </w:r>
            </w:hyperlink>
          </w:p>
        </w:tc>
      </w:tr>
      <w:tr w:rsidR="00D21D62" w14:paraId="31105A3C" w14:textId="77777777">
        <w:tc>
          <w:tcPr>
            <w:tcW w:w="0" w:type="auto"/>
          </w:tcPr>
          <w:p w14:paraId="172CA55A" w14:textId="77777777" w:rsidR="00D21D62" w:rsidRDefault="00000000">
            <w:pPr>
              <w:pStyle w:val="Compact"/>
            </w:pPr>
            <w:r>
              <w:lastRenderedPageBreak/>
              <w:t>Months 2–3</w:t>
            </w:r>
          </w:p>
        </w:tc>
        <w:tc>
          <w:tcPr>
            <w:tcW w:w="0" w:type="auto"/>
          </w:tcPr>
          <w:p w14:paraId="26D022AC" w14:textId="77777777" w:rsidR="00D21D62" w:rsidRDefault="00000000">
            <w:pPr>
              <w:pStyle w:val="Compact"/>
            </w:pPr>
            <w:r>
              <w:t>Control plane enforcement MVP</w:t>
            </w:r>
          </w:p>
        </w:tc>
        <w:tc>
          <w:tcPr>
            <w:tcW w:w="0" w:type="auto"/>
          </w:tcPr>
          <w:p w14:paraId="19CEE413" w14:textId="77777777" w:rsidR="00D21D62" w:rsidRDefault="00000000">
            <w:pPr>
              <w:pStyle w:val="Compact"/>
            </w:pPr>
            <w:r>
              <w:t xml:space="preserve">Router as single inference entrypoint; policy lookup table; pre-flight redaction checks; initial </w:t>
            </w:r>
            <w:r>
              <w:rPr>
                <w:rStyle w:val="VerbatimChar"/>
              </w:rPr>
              <w:t>core.llm_call_log</w:t>
            </w:r>
            <w:r>
              <w:t xml:space="preserve"> with hashes. </w:t>
            </w:r>
            <w:hyperlink r:id="rId74">
              <w:r>
                <w:rPr>
                  <w:rStyle w:val="Hyperlink"/>
                </w:rPr>
                <w:t>[1]</w:t>
              </w:r>
            </w:hyperlink>
          </w:p>
        </w:tc>
      </w:tr>
      <w:tr w:rsidR="00D21D62" w14:paraId="7A9508C7" w14:textId="77777777">
        <w:tc>
          <w:tcPr>
            <w:tcW w:w="0" w:type="auto"/>
          </w:tcPr>
          <w:p w14:paraId="5B628583" w14:textId="77777777" w:rsidR="00D21D62" w:rsidRDefault="00000000">
            <w:pPr>
              <w:pStyle w:val="Compact"/>
            </w:pPr>
            <w:r>
              <w:t>Months 3–5</w:t>
            </w:r>
          </w:p>
        </w:tc>
        <w:tc>
          <w:tcPr>
            <w:tcW w:w="0" w:type="auto"/>
          </w:tcPr>
          <w:p w14:paraId="6DA8EAFF" w14:textId="77777777" w:rsidR="00D21D62" w:rsidRDefault="00000000">
            <w:pPr>
              <w:pStyle w:val="Compact"/>
            </w:pPr>
            <w:r>
              <w:t>Observability + audit hardening</w:t>
            </w:r>
          </w:p>
        </w:tc>
        <w:tc>
          <w:tcPr>
            <w:tcW w:w="0" w:type="auto"/>
          </w:tcPr>
          <w:p w14:paraId="044C34DF" w14:textId="77777777" w:rsidR="00D21D62" w:rsidRDefault="00000000">
            <w:pPr>
              <w:pStyle w:val="Compact"/>
            </w:pPr>
            <w:r>
              <w:t xml:space="preserve">End-to-end traces (trace_id/span_id); p50/p95 dashboards; AU‑9-aligned protection strategy for audit records, including off-host checkpoints and cryptographic integrity. </w:t>
            </w:r>
            <w:hyperlink r:id="rId75">
              <w:r>
                <w:rPr>
                  <w:rStyle w:val="Hyperlink"/>
                </w:rPr>
                <w:t>[31]</w:t>
              </w:r>
            </w:hyperlink>
          </w:p>
        </w:tc>
      </w:tr>
      <w:tr w:rsidR="00D21D62" w14:paraId="776F2086" w14:textId="77777777">
        <w:tc>
          <w:tcPr>
            <w:tcW w:w="0" w:type="auto"/>
          </w:tcPr>
          <w:p w14:paraId="427EBC38" w14:textId="77777777" w:rsidR="00D21D62" w:rsidRDefault="00000000">
            <w:pPr>
              <w:pStyle w:val="Compact"/>
            </w:pPr>
            <w:r>
              <w:t>Months 5–7</w:t>
            </w:r>
          </w:p>
        </w:tc>
        <w:tc>
          <w:tcPr>
            <w:tcW w:w="0" w:type="auto"/>
          </w:tcPr>
          <w:p w14:paraId="130788FD" w14:textId="77777777" w:rsidR="00D21D62" w:rsidRDefault="00000000">
            <w:pPr>
              <w:pStyle w:val="Compact"/>
            </w:pPr>
            <w:r>
              <w:t>Containment hardening</w:t>
            </w:r>
          </w:p>
        </w:tc>
        <w:tc>
          <w:tcPr>
            <w:tcW w:w="0" w:type="auto"/>
          </w:tcPr>
          <w:p w14:paraId="231F00D1" w14:textId="77777777" w:rsidR="00D21D62" w:rsidRDefault="00000000">
            <w:pPr>
              <w:pStyle w:val="Compact"/>
            </w:pPr>
            <w:r>
              <w:t xml:space="preserve">Containerize agents; enable userns-remap; enforce least privilege; Tier S default-deny egress; scoped MCP tools only. </w:t>
            </w:r>
            <w:hyperlink r:id="rId76">
              <w:r>
                <w:rPr>
                  <w:rStyle w:val="Hyperlink"/>
                </w:rPr>
                <w:t>[32]</w:t>
              </w:r>
            </w:hyperlink>
          </w:p>
        </w:tc>
      </w:tr>
      <w:tr w:rsidR="00D21D62" w14:paraId="34F7943C" w14:textId="77777777">
        <w:tc>
          <w:tcPr>
            <w:tcW w:w="0" w:type="auto"/>
          </w:tcPr>
          <w:p w14:paraId="7D3FA345" w14:textId="77777777" w:rsidR="00D21D62" w:rsidRDefault="00000000">
            <w:pPr>
              <w:pStyle w:val="Compact"/>
            </w:pPr>
            <w:r>
              <w:t>Months 7–9</w:t>
            </w:r>
          </w:p>
        </w:tc>
        <w:tc>
          <w:tcPr>
            <w:tcW w:w="0" w:type="auto"/>
          </w:tcPr>
          <w:p w14:paraId="0D67922B" w14:textId="77777777" w:rsidR="00D21D62" w:rsidRDefault="00000000">
            <w:pPr>
              <w:pStyle w:val="Compact"/>
            </w:pPr>
            <w:r>
              <w:t>Hybrid self-host expansion</w:t>
            </w:r>
          </w:p>
        </w:tc>
        <w:tc>
          <w:tcPr>
            <w:tcW w:w="0" w:type="auto"/>
          </w:tcPr>
          <w:p w14:paraId="595F3816" w14:textId="77777777" w:rsidR="00D21D62" w:rsidRDefault="00000000">
            <w:pPr>
              <w:pStyle w:val="Compact"/>
            </w:pPr>
            <w:r>
              <w:t xml:space="preserve">Deploy SearxNG for retrieval; optional Neo4j pilot for cross-market relationship reasoning; document governance around retrieval contamination. </w:t>
            </w:r>
            <w:hyperlink r:id="rId77">
              <w:r>
                <w:rPr>
                  <w:rStyle w:val="Hyperlink"/>
                </w:rPr>
                <w:t>[33]</w:t>
              </w:r>
            </w:hyperlink>
          </w:p>
        </w:tc>
      </w:tr>
      <w:tr w:rsidR="00D21D62" w14:paraId="4CFE47FF" w14:textId="77777777">
        <w:tc>
          <w:tcPr>
            <w:tcW w:w="0" w:type="auto"/>
          </w:tcPr>
          <w:p w14:paraId="18FE9F63" w14:textId="77777777" w:rsidR="00D21D62" w:rsidRDefault="00000000">
            <w:pPr>
              <w:pStyle w:val="Compact"/>
            </w:pPr>
            <w:r>
              <w:t>Months 9–10</w:t>
            </w:r>
          </w:p>
        </w:tc>
        <w:tc>
          <w:tcPr>
            <w:tcW w:w="0" w:type="auto"/>
          </w:tcPr>
          <w:p w14:paraId="7B35476B" w14:textId="77777777" w:rsidR="00D21D62" w:rsidRDefault="00000000">
            <w:pPr>
              <w:pStyle w:val="Compact"/>
            </w:pPr>
            <w:r>
              <w:t>DR and PITR maturity</w:t>
            </w:r>
          </w:p>
        </w:tc>
        <w:tc>
          <w:tcPr>
            <w:tcW w:w="0" w:type="auto"/>
          </w:tcPr>
          <w:p w14:paraId="4601C563" w14:textId="77777777" w:rsidR="00D21D62" w:rsidRDefault="00000000">
            <w:pPr>
              <w:pStyle w:val="Compact"/>
            </w:pPr>
            <w:r>
              <w:t xml:space="preserve">PITR configured and monitored; quarterly restore drill; documented RTO/RPO; backups for prompts/model manifests/audit checkpoints. </w:t>
            </w:r>
            <w:hyperlink r:id="rId78">
              <w:r>
                <w:rPr>
                  <w:rStyle w:val="Hyperlink"/>
                </w:rPr>
                <w:t>[34]</w:t>
              </w:r>
            </w:hyperlink>
          </w:p>
        </w:tc>
      </w:tr>
      <w:tr w:rsidR="00D21D62" w14:paraId="150ADC4E" w14:textId="77777777">
        <w:tc>
          <w:tcPr>
            <w:tcW w:w="0" w:type="auto"/>
          </w:tcPr>
          <w:p w14:paraId="521CE417" w14:textId="77777777" w:rsidR="00D21D62" w:rsidRDefault="00000000">
            <w:pPr>
              <w:pStyle w:val="Compact"/>
            </w:pPr>
            <w:r>
              <w:t>Months 10–12</w:t>
            </w:r>
          </w:p>
        </w:tc>
        <w:tc>
          <w:tcPr>
            <w:tcW w:w="0" w:type="auto"/>
          </w:tcPr>
          <w:p w14:paraId="39673A1F" w14:textId="77777777" w:rsidR="00D21D62" w:rsidRDefault="00000000">
            <w:pPr>
              <w:pStyle w:val="Compact"/>
            </w:pPr>
            <w:r>
              <w:t>Optimization + portfolio review</w:t>
            </w:r>
          </w:p>
        </w:tc>
        <w:tc>
          <w:tcPr>
            <w:tcW w:w="0" w:type="auto"/>
          </w:tcPr>
          <w:p w14:paraId="482D8317" w14:textId="77777777" w:rsidR="00D21D62" w:rsidRDefault="00000000">
            <w:pPr>
              <w:pStyle w:val="Compact"/>
            </w:pPr>
            <w:r>
              <w:t xml:space="preserve">Benchmark suite (micro/step/chain); shift workloads along tier boundary based on measured latency/cost; quarterly model portfolio refresh and sensitivity review. </w:t>
            </w:r>
            <w:hyperlink r:id="rId79">
              <w:r>
                <w:rPr>
                  <w:rStyle w:val="Hyperlink"/>
                </w:rPr>
                <w:t>[35]</w:t>
              </w:r>
            </w:hyperlink>
          </w:p>
        </w:tc>
      </w:tr>
    </w:tbl>
    <w:p w14:paraId="5CB252BC" w14:textId="77777777" w:rsidR="00D21D62" w:rsidRDefault="00000000">
      <w:pPr>
        <w:pStyle w:val="Heading3"/>
      </w:pPr>
      <w:bookmarkStart w:id="36" w:name="control-plane-flow-mermaid-diagram"/>
      <w:bookmarkEnd w:id="35"/>
      <w:r>
        <w:t>Control-plane flow mermaid diagram</w:t>
      </w:r>
    </w:p>
    <w:p w14:paraId="401CCB31" w14:textId="77777777" w:rsidR="00D21D62" w:rsidRDefault="00000000">
      <w:pPr>
        <w:pStyle w:val="SourceCode"/>
      </w:pPr>
      <w:r>
        <w:rPr>
          <w:rStyle w:val="VerbatimChar"/>
        </w:rPr>
        <w:t>flowchart LR</w:t>
      </w:r>
      <w:r>
        <w:br/>
      </w:r>
      <w:r>
        <w:rPr>
          <w:rStyle w:val="VerbatimChar"/>
        </w:rPr>
        <w:t xml:space="preserve">  R[Request / Event] --&gt; C[Classify: L0-L4 + task]</w:t>
      </w:r>
      <w:r>
        <w:br/>
      </w:r>
      <w:r>
        <w:rPr>
          <w:rStyle w:val="VerbatimChar"/>
        </w:rPr>
        <w:t xml:space="preserve">  C --&gt; P[Policy: allow/ask/deny + redaction + tool scopes]</w:t>
      </w:r>
      <w:r>
        <w:br/>
      </w:r>
      <w:r>
        <w:rPr>
          <w:rStyle w:val="VerbatimChar"/>
        </w:rPr>
        <w:t xml:space="preserve">  P --&gt; A{Approval needed?}</w:t>
      </w:r>
      <w:r>
        <w:br/>
      </w:r>
      <w:r>
        <w:rPr>
          <w:rStyle w:val="VerbatimChar"/>
        </w:rPr>
        <w:t xml:space="preserve">  A -- yes --&gt; H[Human approval captured]</w:t>
      </w:r>
      <w:r>
        <w:br/>
      </w:r>
      <w:r>
        <w:rPr>
          <w:rStyle w:val="VerbatimChar"/>
        </w:rPr>
        <w:t xml:space="preserve">  A -- no --&gt; M[Proceed]</w:t>
      </w:r>
      <w:r>
        <w:br/>
      </w:r>
      <w:r>
        <w:rPr>
          <w:rStyle w:val="VerbatimChar"/>
        </w:rPr>
        <w:t xml:space="preserve">  H --&gt; M</w:t>
      </w:r>
      <w:r>
        <w:br/>
      </w:r>
      <w:r>
        <w:rPr>
          <w:rStyle w:val="VerbatimChar"/>
        </w:rPr>
        <w:t xml:space="preserve">  M --&gt; S[Select tier + model endpoint]</w:t>
      </w:r>
      <w:r>
        <w:br/>
      </w:r>
      <w:r>
        <w:rPr>
          <w:rStyle w:val="VerbatimChar"/>
        </w:rPr>
        <w:t xml:space="preserve">  S --&gt; X[Execute: model + tools]</w:t>
      </w:r>
      <w:r>
        <w:br/>
      </w:r>
      <w:r>
        <w:rPr>
          <w:rStyle w:val="VerbatimChar"/>
        </w:rPr>
        <w:t xml:space="preserve">  X --&gt; F{Failure?}</w:t>
      </w:r>
      <w:r>
        <w:br/>
      </w:r>
      <w:r>
        <w:rPr>
          <w:rStyle w:val="VerbatimChar"/>
        </w:rPr>
        <w:t xml:space="preserve">  F -- no --&gt; L[Log + trace + return]</w:t>
      </w:r>
      <w:r>
        <w:br/>
      </w:r>
      <w:r>
        <w:rPr>
          <w:rStyle w:val="VerbatimChar"/>
        </w:rPr>
        <w:t xml:space="preserve">  F -- yes --&gt; G{Failover allowed by policy?}</w:t>
      </w:r>
      <w:r>
        <w:br/>
      </w:r>
      <w:r>
        <w:rPr>
          <w:rStyle w:val="VerbatimChar"/>
        </w:rPr>
        <w:t xml:space="preserve">  G -- no --&gt; E[Escalate + safe fallback output]</w:t>
      </w:r>
      <w:r>
        <w:br/>
      </w:r>
      <w:r>
        <w:rPr>
          <w:rStyle w:val="VerbatimChar"/>
        </w:rPr>
        <w:t xml:space="preserve">  G -- yes --&gt; Z[Apply mandatory redaction + retry/route]</w:t>
      </w:r>
      <w:r>
        <w:br/>
      </w:r>
      <w:r>
        <w:rPr>
          <w:rStyle w:val="VerbatimChar"/>
        </w:rPr>
        <w:t xml:space="preserve">  Z --&gt; S</w:t>
      </w:r>
    </w:p>
    <w:p w14:paraId="2BABE8EC" w14:textId="77777777" w:rsidR="00D21D62" w:rsidRDefault="00000000">
      <w:pPr>
        <w:pStyle w:val="FirstParagraph"/>
      </w:pPr>
      <w:r>
        <w:t xml:space="preserve">This is the V2 “operational truth”: </w:t>
      </w:r>
      <w:r>
        <w:rPr>
          <w:b/>
          <w:bCs/>
        </w:rPr>
        <w:t>no work happens without classification, policy application, and auditable execution</w:t>
      </w:r>
      <w:r>
        <w:t>.</w:t>
      </w:r>
    </w:p>
    <w:p w14:paraId="7D138291" w14:textId="77777777" w:rsidR="00D21D62" w:rsidRDefault="00000000">
      <w:pPr>
        <w:pStyle w:val="Heading2"/>
      </w:pPr>
      <w:bookmarkStart w:id="37" w:name="actionable-rewrite-recommendations"/>
      <w:bookmarkEnd w:id="30"/>
      <w:bookmarkEnd w:id="36"/>
      <w:r>
        <w:lastRenderedPageBreak/>
        <w:t>Actionable rewrite recommendations</w:t>
      </w:r>
    </w:p>
    <w:p w14:paraId="7084F6E6" w14:textId="77777777" w:rsidR="00D21D62" w:rsidRDefault="00000000">
      <w:pPr>
        <w:pStyle w:val="FirstParagraph"/>
      </w:pPr>
      <w:r>
        <w:t>The rewrite into “Version 2 — Sovereign Intelligence Architecture” should be written as an internal standard with enforceable rules and measurable outcomes, grounded in your existing pipeline artifacts and external primary controls:</w:t>
      </w:r>
    </w:p>
    <w:p w14:paraId="3800CA12" w14:textId="77777777" w:rsidR="00D21D62" w:rsidRDefault="00000000">
      <w:pPr>
        <w:pStyle w:val="Compact"/>
        <w:numPr>
          <w:ilvl w:val="0"/>
          <w:numId w:val="26"/>
        </w:numPr>
      </w:pPr>
      <w:r>
        <w:t xml:space="preserve">Make the </w:t>
      </w:r>
      <w:r>
        <w:rPr>
          <w:b/>
          <w:bCs/>
        </w:rPr>
        <w:t>control plane</w:t>
      </w:r>
      <w:r>
        <w:t xml:space="preserve"> the centerpiece: classifier → policy → router → tool gateway → auditor → failover, with CNS tables/views as governance backbone. </w:t>
      </w:r>
      <w:hyperlink r:id="rId80">
        <w:r>
          <w:rPr>
            <w:rStyle w:val="Hyperlink"/>
          </w:rPr>
          <w:t>[1]</w:t>
        </w:r>
      </w:hyperlink>
    </w:p>
    <w:p w14:paraId="1154D967" w14:textId="77777777" w:rsidR="00D21D62" w:rsidRDefault="00000000">
      <w:pPr>
        <w:pStyle w:val="Compact"/>
        <w:numPr>
          <w:ilvl w:val="0"/>
          <w:numId w:val="26"/>
        </w:numPr>
      </w:pPr>
      <w:r>
        <w:t xml:space="preserve">Treat </w:t>
      </w:r>
      <w:r>
        <w:rPr>
          <w:b/>
          <w:bCs/>
        </w:rPr>
        <w:t>MCP</w:t>
      </w:r>
      <w:r>
        <w:t xml:space="preserve"> as the canonical tool interface and explicitly define tool scopes (read vs write; safe-query filters; approval gates). </w:t>
      </w:r>
      <w:hyperlink r:id="rId81">
        <w:r>
          <w:rPr>
            <w:rStyle w:val="Hyperlink"/>
          </w:rPr>
          <w:t>[13]</w:t>
        </w:r>
      </w:hyperlink>
    </w:p>
    <w:p w14:paraId="7F24F51E" w14:textId="77777777" w:rsidR="00D21D62" w:rsidRDefault="00000000">
      <w:pPr>
        <w:pStyle w:val="Compact"/>
        <w:numPr>
          <w:ilvl w:val="0"/>
          <w:numId w:val="26"/>
        </w:numPr>
      </w:pPr>
      <w:r>
        <w:t xml:space="preserve">Keep </w:t>
      </w:r>
      <w:r>
        <w:rPr>
          <w:b/>
          <w:bCs/>
        </w:rPr>
        <w:t>Levels 0–4</w:t>
      </w:r>
      <w:r>
        <w:t xml:space="preserve"> and publish the </w:t>
      </w:r>
      <w:r>
        <w:rPr>
          <w:b/>
          <w:bCs/>
        </w:rPr>
        <w:t>sensitivity-to-routing mapping</w:t>
      </w:r>
      <w:r>
        <w:t xml:space="preserve"> as policy, not guidance; tie logging behavior (raw vs hash-only) directly to sensitivity. </w:t>
      </w:r>
      <w:hyperlink r:id="rId82">
        <w:r>
          <w:rPr>
            <w:rStyle w:val="Hyperlink"/>
          </w:rPr>
          <w:t>[1]</w:t>
        </w:r>
      </w:hyperlink>
    </w:p>
    <w:p w14:paraId="47DC82A6" w14:textId="77777777" w:rsidR="00D21D62" w:rsidRDefault="00000000">
      <w:pPr>
        <w:pStyle w:val="Compact"/>
        <w:numPr>
          <w:ilvl w:val="0"/>
          <w:numId w:val="26"/>
        </w:numPr>
      </w:pPr>
      <w:r>
        <w:t xml:space="preserve">Ensure audit logs are </w:t>
      </w:r>
      <w:r>
        <w:rPr>
          <w:b/>
          <w:bCs/>
        </w:rPr>
        <w:t>tamper-evident</w:t>
      </w:r>
      <w:r>
        <w:t xml:space="preserve"> and align the design rationale to AU‑9-like expectations for protecting audit information (integrity, separate storage, cryptographic protections). </w:t>
      </w:r>
      <w:hyperlink r:id="rId83">
        <w:r>
          <w:rPr>
            <w:rStyle w:val="Hyperlink"/>
          </w:rPr>
          <w:t>[15]</w:t>
        </w:r>
      </w:hyperlink>
    </w:p>
    <w:p w14:paraId="718CF2CB" w14:textId="77777777" w:rsidR="00D21D62" w:rsidRDefault="00000000">
      <w:pPr>
        <w:pStyle w:val="Compact"/>
        <w:numPr>
          <w:ilvl w:val="0"/>
          <w:numId w:val="26"/>
        </w:numPr>
      </w:pPr>
      <w:r>
        <w:t xml:space="preserve">Adopt </w:t>
      </w:r>
      <w:r>
        <w:rPr>
          <w:b/>
          <w:bCs/>
        </w:rPr>
        <w:t>least privilege + container hardening</w:t>
      </w:r>
      <w:r>
        <w:t xml:space="preserve"> as non-negotiable (userns‑remap, minimal mounts, egress deny), because OWASP’s agent risks apply just as much “locally” as in the cloud. </w:t>
      </w:r>
      <w:hyperlink r:id="rId84">
        <w:r>
          <w:rPr>
            <w:rStyle w:val="Hyperlink"/>
          </w:rPr>
          <w:t>[36]</w:t>
        </w:r>
      </w:hyperlink>
    </w:p>
    <w:p w14:paraId="474B4371" w14:textId="77777777" w:rsidR="00D21D62" w:rsidRDefault="00000000">
      <w:pPr>
        <w:pStyle w:val="Compact"/>
        <w:numPr>
          <w:ilvl w:val="0"/>
          <w:numId w:val="26"/>
        </w:numPr>
      </w:pPr>
      <w:r>
        <w:t xml:space="preserve">Quantify economics using </w:t>
      </w:r>
      <w:r>
        <w:rPr>
          <w:b/>
          <w:bCs/>
        </w:rPr>
        <w:t>RTX 5080 TGP = 360W</w:t>
      </w:r>
      <w:r>
        <w:t xml:space="preserve"> and authoritative electricity price datasets; treat all “$ estimates” as scenario-based and require measured wall-power calibration in production. </w:t>
      </w:r>
      <w:hyperlink r:id="rId85">
        <w:r>
          <w:rPr>
            <w:rStyle w:val="Hyperlink"/>
          </w:rPr>
          <w:t>[25]</w:t>
        </w:r>
      </w:hyperlink>
    </w:p>
    <w:p w14:paraId="2D671CE5" w14:textId="77777777" w:rsidR="00D21D62" w:rsidRDefault="00000000">
      <w:pPr>
        <w:pStyle w:val="Compact"/>
        <w:numPr>
          <w:ilvl w:val="0"/>
          <w:numId w:val="26"/>
        </w:numPr>
      </w:pPr>
      <w:r>
        <w:t xml:space="preserve">Define performance as </w:t>
      </w:r>
      <w:r>
        <w:rPr>
          <w:b/>
          <w:bCs/>
        </w:rPr>
        <w:t>chain latency</w:t>
      </w:r>
      <w:r>
        <w:t xml:space="preserve">, with tokens/sec as a supporting metric derived from runtime usage fields (Ollama’s metrics enable this cleanly). </w:t>
      </w:r>
      <w:hyperlink r:id="rId86">
        <w:r>
          <w:rPr>
            <w:rStyle w:val="Hyperlink"/>
          </w:rPr>
          <w:t>[20]</w:t>
        </w:r>
      </w:hyperlink>
    </w:p>
    <w:p w14:paraId="67CC44AC" w14:textId="77777777" w:rsidR="00D21D62" w:rsidRDefault="00000000">
      <w:pPr>
        <w:pStyle w:val="Compact"/>
        <w:numPr>
          <w:ilvl w:val="0"/>
          <w:numId w:val="26"/>
        </w:numPr>
      </w:pPr>
      <w:r>
        <w:t xml:space="preserve">Institutionalize </w:t>
      </w:r>
      <w:r>
        <w:rPr>
          <w:b/>
          <w:bCs/>
        </w:rPr>
        <w:t>DR/PITR</w:t>
      </w:r>
      <w:r>
        <w:t xml:space="preserve"> with NIST-style contingency planning structure and Postgres PITR mechanics, with restore drills, measured RTO/RPO, and separate audit-log retention. </w:t>
      </w:r>
      <w:hyperlink r:id="rId87">
        <w:r>
          <w:rPr>
            <w:rStyle w:val="Hyperlink"/>
          </w:rPr>
          <w:t>[37]</w:t>
        </w:r>
      </w:hyperlink>
    </w:p>
    <w:p w14:paraId="22735F44" w14:textId="77777777" w:rsidR="00D21D62" w:rsidRDefault="00000000">
      <w:pPr>
        <w:pStyle w:val="Compact"/>
        <w:numPr>
          <w:ilvl w:val="0"/>
          <w:numId w:val="26"/>
        </w:numPr>
      </w:pPr>
      <w:r>
        <w:t xml:space="preserve">Set a governance cadence (monthly/quarterly/semiannual/annual) and justify it through AI RMF’s “adaptive risk management” framing and log management best practice. </w:t>
      </w:r>
      <w:hyperlink r:id="rId88">
        <w:r>
          <w:rPr>
            <w:rStyle w:val="Hyperlink"/>
          </w:rPr>
          <w:t>[38]</w:t>
        </w:r>
      </w:hyperlink>
    </w:p>
    <w:bookmarkEnd w:id="1"/>
    <w:bookmarkEnd w:id="2"/>
    <w:bookmarkEnd w:id="37"/>
    <w:p w14:paraId="3F1A72F1" w14:textId="77777777" w:rsidR="00D21D62" w:rsidRDefault="00000000">
      <w:r>
        <w:pict w14:anchorId="7B8F2028">
          <v:rect id="_x0000_i1025" style="width:0;height:1.5pt" o:hralign="center" o:hrstd="t" o:hr="t"/>
        </w:pict>
      </w:r>
    </w:p>
    <w:bookmarkStart w:id="38" w:name="citations"/>
    <w:p w14:paraId="74B86D13" w14:textId="77777777" w:rsidR="00D21D62" w:rsidRDefault="00000000">
      <w:pPr>
        <w:pStyle w:val="FirstParagraph"/>
      </w:pPr>
      <w:r>
        <w:fldChar w:fldCharType="begin"/>
      </w:r>
      <w:r>
        <w:instrText>HYPERLINK "https://www.dropbox.com/preview/Tore%20Alden/AI%20Stuff/Desktop%20LLM%20Project/Autonomous_Pipeline_Architecture_Guide.docx" \h</w:instrText>
      </w:r>
      <w:r>
        <w:fldChar w:fldCharType="separate"/>
      </w:r>
      <w:r>
        <w:rPr>
          <w:rStyle w:val="Hyperlink"/>
        </w:rPr>
        <w:t>[1]</w:t>
      </w:r>
      <w:r>
        <w:fldChar w:fldCharType="end"/>
      </w:r>
      <w:r>
        <w:t xml:space="preserve"> Autonomous_Pipeline_Architecture_Guide.docx</w:t>
      </w:r>
    </w:p>
    <w:p w14:paraId="623D76D3" w14:textId="77777777" w:rsidR="00D21D62" w:rsidRDefault="00000000">
      <w:pPr>
        <w:pStyle w:val="BodyText"/>
      </w:pPr>
      <w:hyperlink r:id="rId89">
        <w:r>
          <w:rPr>
            <w:rStyle w:val="Hyperlink"/>
          </w:rPr>
          <w:t>https://www.dropbox.com/preview/Tore%20Alden/AI%20Stuff/Desktop%20LLM%20Project/Autonomous_Pipeline_Architecture_Guide.docx</w:t>
        </w:r>
      </w:hyperlink>
    </w:p>
    <w:p w14:paraId="6B045F7B" w14:textId="77777777" w:rsidR="00D21D62" w:rsidRDefault="00000000">
      <w:pPr>
        <w:pStyle w:val="BodyText"/>
      </w:pPr>
      <w:hyperlink r:id="rId90">
        <w:r>
          <w:rPr>
            <w:rStyle w:val="Hyperlink"/>
          </w:rPr>
          <w:t>[2]</w:t>
        </w:r>
      </w:hyperlink>
      <w:r>
        <w:t xml:space="preserve"> </w:t>
      </w:r>
      <w:hyperlink r:id="rId91">
        <w:r>
          <w:rPr>
            <w:rStyle w:val="Hyperlink"/>
          </w:rPr>
          <w:t>[7]</w:t>
        </w:r>
      </w:hyperlink>
      <w:r>
        <w:t xml:space="preserve"> OpenAI compatibility - Ollama</w:t>
      </w:r>
    </w:p>
    <w:p w14:paraId="21CFE1EE" w14:textId="77777777" w:rsidR="00D21D62" w:rsidRDefault="00000000">
      <w:pPr>
        <w:pStyle w:val="BodyText"/>
      </w:pPr>
      <w:hyperlink r:id="rId92">
        <w:r>
          <w:rPr>
            <w:rStyle w:val="Hyperlink"/>
          </w:rPr>
          <w:t>https://docs.ollama.com/openai?utm_source=chatgpt.com</w:t>
        </w:r>
      </w:hyperlink>
    </w:p>
    <w:p w14:paraId="3F1B1ED5" w14:textId="77777777" w:rsidR="00D21D62" w:rsidRDefault="00000000">
      <w:pPr>
        <w:pStyle w:val="BodyText"/>
      </w:pPr>
      <w:hyperlink r:id="rId93">
        <w:r>
          <w:rPr>
            <w:rStyle w:val="Hyperlink"/>
          </w:rPr>
          <w:t>[3]</w:t>
        </w:r>
      </w:hyperlink>
      <w:r>
        <w:t xml:space="preserve"> </w:t>
      </w:r>
      <w:hyperlink r:id="rId94">
        <w:r>
          <w:rPr>
            <w:rStyle w:val="Hyperlink"/>
          </w:rPr>
          <w:t>[17]</w:t>
        </w:r>
      </w:hyperlink>
      <w:r>
        <w:t xml:space="preserve"> </w:t>
      </w:r>
      <w:hyperlink r:id="rId95">
        <w:r>
          <w:rPr>
            <w:rStyle w:val="Hyperlink"/>
          </w:rPr>
          <w:t>[36]</w:t>
        </w:r>
      </w:hyperlink>
      <w:r>
        <w:t xml:space="preserve"> – AC-6 LEAST PRIVILEGE | NIST SP 800-53</w:t>
      </w:r>
    </w:p>
    <w:p w14:paraId="0E7AB423" w14:textId="77777777" w:rsidR="00D21D62" w:rsidRDefault="00000000">
      <w:pPr>
        <w:pStyle w:val="BodyText"/>
      </w:pPr>
      <w:hyperlink r:id="rId96">
        <w:r>
          <w:rPr>
            <w:rStyle w:val="Hyperlink"/>
          </w:rPr>
          <w:t>https://nist-sp-800-53-r5.bsafes.com/docs/3-1-access-control/ac-6-least-privilege/?utm_source=chatgpt.com</w:t>
        </w:r>
      </w:hyperlink>
    </w:p>
    <w:p w14:paraId="145D65A1" w14:textId="77777777" w:rsidR="00D21D62" w:rsidRDefault="00000000">
      <w:pPr>
        <w:pStyle w:val="BodyText"/>
      </w:pPr>
      <w:hyperlink r:id="rId97">
        <w:r>
          <w:rPr>
            <w:rStyle w:val="Hyperlink"/>
          </w:rPr>
          <w:t>[4]</w:t>
        </w:r>
      </w:hyperlink>
      <w:r>
        <w:t xml:space="preserve"> </w:t>
      </w:r>
      <w:hyperlink r:id="rId98">
        <w:r>
          <w:rPr>
            <w:rStyle w:val="Hyperlink"/>
          </w:rPr>
          <w:t>[5]</w:t>
        </w:r>
      </w:hyperlink>
      <w:r>
        <w:t xml:space="preserve"> </w:t>
      </w:r>
      <w:hyperlink r:id="rId99">
        <w:r>
          <w:rPr>
            <w:rStyle w:val="Hyperlink"/>
          </w:rPr>
          <w:t>[14]</w:t>
        </w:r>
      </w:hyperlink>
      <w:r>
        <w:t xml:space="preserve"> Guide to Computer Security Log Management | NIST</w:t>
      </w:r>
    </w:p>
    <w:p w14:paraId="5E108CD4" w14:textId="77777777" w:rsidR="00D21D62" w:rsidRDefault="00000000">
      <w:pPr>
        <w:pStyle w:val="BodyText"/>
      </w:pPr>
      <w:hyperlink r:id="rId100">
        <w:r>
          <w:rPr>
            <w:rStyle w:val="Hyperlink"/>
          </w:rPr>
          <w:t>https://www.nist.gov/publications/guide-computer-security-log-management?utm_source=chatgpt.com</w:t>
        </w:r>
      </w:hyperlink>
    </w:p>
    <w:p w14:paraId="3BF79BD3" w14:textId="77777777" w:rsidR="00D21D62" w:rsidRDefault="00000000">
      <w:pPr>
        <w:pStyle w:val="BodyText"/>
      </w:pPr>
      <w:hyperlink r:id="rId101">
        <w:r>
          <w:rPr>
            <w:rStyle w:val="Hyperlink"/>
          </w:rPr>
          <w:t>[6]</w:t>
        </w:r>
      </w:hyperlink>
      <w:r>
        <w:t xml:space="preserve"> OWASP Top 10 for Large Language Model Applications | OWASP Foundation</w:t>
      </w:r>
    </w:p>
    <w:p w14:paraId="2521BC54" w14:textId="77777777" w:rsidR="00D21D62" w:rsidRDefault="00000000">
      <w:pPr>
        <w:pStyle w:val="BodyText"/>
      </w:pPr>
      <w:hyperlink r:id="rId102">
        <w:r>
          <w:rPr>
            <w:rStyle w:val="Hyperlink"/>
          </w:rPr>
          <w:t>https://owasp.org/www-project-top-10-for-large-language-model-applications/?utm_source=chatgpt.com</w:t>
        </w:r>
      </w:hyperlink>
    </w:p>
    <w:p w14:paraId="1A42B1B8" w14:textId="77777777" w:rsidR="00D21D62" w:rsidRDefault="00000000">
      <w:pPr>
        <w:pStyle w:val="BodyText"/>
      </w:pPr>
      <w:hyperlink r:id="rId103">
        <w:r>
          <w:rPr>
            <w:rStyle w:val="Hyperlink"/>
          </w:rPr>
          <w:t>[8]</w:t>
        </w:r>
      </w:hyperlink>
      <w:r>
        <w:t xml:space="preserve"> </w:t>
      </w:r>
      <w:hyperlink r:id="rId104">
        <w:r>
          <w:rPr>
            <w:rStyle w:val="Hyperlink"/>
          </w:rPr>
          <w:t>[27]</w:t>
        </w:r>
      </w:hyperlink>
      <w:r>
        <w:t xml:space="preserve"> OpenAI Compatibility Endpoints | LM Studio Docs</w:t>
      </w:r>
    </w:p>
    <w:p w14:paraId="0BA89319" w14:textId="77777777" w:rsidR="00D21D62" w:rsidRDefault="00000000">
      <w:pPr>
        <w:pStyle w:val="BodyText"/>
      </w:pPr>
      <w:hyperlink r:id="rId105">
        <w:r>
          <w:rPr>
            <w:rStyle w:val="Hyperlink"/>
          </w:rPr>
          <w:t>https://lmstudio.ai/docs/api/openai-api?utm_source=chatgpt.com</w:t>
        </w:r>
      </w:hyperlink>
    </w:p>
    <w:p w14:paraId="5D1FE2D9" w14:textId="77777777" w:rsidR="00D21D62" w:rsidRDefault="00000000">
      <w:pPr>
        <w:pStyle w:val="BodyText"/>
      </w:pPr>
      <w:hyperlink r:id="rId106">
        <w:r>
          <w:rPr>
            <w:rStyle w:val="Hyperlink"/>
          </w:rPr>
          <w:t>[9]</w:t>
        </w:r>
      </w:hyperlink>
      <w:r>
        <w:t xml:space="preserve"> </w:t>
      </w:r>
      <w:hyperlink r:id="rId107">
        <w:r>
          <w:rPr>
            <w:rStyle w:val="Hyperlink"/>
          </w:rPr>
          <w:t>[13]</w:t>
        </w:r>
      </w:hyperlink>
      <w:r>
        <w:t xml:space="preserve"> Model Context Protocol (MCP) - Anthropic</w:t>
      </w:r>
    </w:p>
    <w:p w14:paraId="2B4E8496" w14:textId="77777777" w:rsidR="00D21D62" w:rsidRDefault="00000000">
      <w:pPr>
        <w:pStyle w:val="BodyText"/>
      </w:pPr>
      <w:hyperlink r:id="rId108">
        <w:r>
          <w:rPr>
            <w:rStyle w:val="Hyperlink"/>
          </w:rPr>
          <w:t>https://docs.anthropic.com/en/docs/mcp?utm_source=chatgpt.com</w:t>
        </w:r>
      </w:hyperlink>
    </w:p>
    <w:p w14:paraId="7E413B97" w14:textId="77777777" w:rsidR="00D21D62" w:rsidRDefault="00000000">
      <w:pPr>
        <w:pStyle w:val="BodyText"/>
      </w:pPr>
      <w:hyperlink r:id="rId109">
        <w:r>
          <w:rPr>
            <w:rStyle w:val="Hyperlink"/>
          </w:rPr>
          <w:t>[10]</w:t>
        </w:r>
      </w:hyperlink>
      <w:r>
        <w:t xml:space="preserve"> Pricing \ Anthropic</w:t>
      </w:r>
    </w:p>
    <w:p w14:paraId="27980C8A" w14:textId="77777777" w:rsidR="00D21D62" w:rsidRDefault="00000000">
      <w:pPr>
        <w:pStyle w:val="BodyText"/>
      </w:pPr>
      <w:hyperlink r:id="rId110">
        <w:r>
          <w:rPr>
            <w:rStyle w:val="Hyperlink"/>
          </w:rPr>
          <w:t>https://www.anthropic.com/pricing?utm_source=chatgpt.com</w:t>
        </w:r>
      </w:hyperlink>
    </w:p>
    <w:p w14:paraId="0F25C734" w14:textId="77777777" w:rsidR="00D21D62" w:rsidRDefault="00000000">
      <w:pPr>
        <w:pStyle w:val="BodyText"/>
      </w:pPr>
      <w:hyperlink r:id="rId111">
        <w:r>
          <w:rPr>
            <w:rStyle w:val="Hyperlink"/>
          </w:rPr>
          <w:t>[11]</w:t>
        </w:r>
      </w:hyperlink>
      <w:r>
        <w:t xml:space="preserve"> </w:t>
      </w:r>
      <w:hyperlink r:id="rId112">
        <w:r>
          <w:rPr>
            <w:rStyle w:val="Hyperlink"/>
          </w:rPr>
          <w:t>[33]</w:t>
        </w:r>
      </w:hyperlink>
      <w:r>
        <w:t xml:space="preserve"> Welcome to SearXNG — SearXNG Documentation (2026.2.21+89a63114c)</w:t>
      </w:r>
    </w:p>
    <w:p w14:paraId="3757CACA" w14:textId="77777777" w:rsidR="00D21D62" w:rsidRDefault="00000000">
      <w:pPr>
        <w:pStyle w:val="BodyText"/>
      </w:pPr>
      <w:hyperlink r:id="rId113">
        <w:r>
          <w:rPr>
            <w:rStyle w:val="Hyperlink"/>
          </w:rPr>
          <w:t>https://docs.searxng.org/?utm_source=chatgpt.com</w:t>
        </w:r>
      </w:hyperlink>
    </w:p>
    <w:p w14:paraId="3E0B8A5D" w14:textId="77777777" w:rsidR="00D21D62" w:rsidRDefault="00000000">
      <w:pPr>
        <w:pStyle w:val="BodyText"/>
      </w:pPr>
      <w:hyperlink r:id="rId114">
        <w:r>
          <w:rPr>
            <w:rStyle w:val="Hyperlink"/>
          </w:rPr>
          <w:t>[12]</w:t>
        </w:r>
      </w:hyperlink>
      <w:r>
        <w:t xml:space="preserve"> What is a graph database - Getting Started</w:t>
      </w:r>
    </w:p>
    <w:p w14:paraId="5BC7E99A" w14:textId="77777777" w:rsidR="00D21D62" w:rsidRDefault="00000000">
      <w:pPr>
        <w:pStyle w:val="BodyText"/>
      </w:pPr>
      <w:hyperlink r:id="rId115">
        <w:r>
          <w:rPr>
            <w:rStyle w:val="Hyperlink"/>
          </w:rPr>
          <w:t>https://neo4j.com/docs/getting-started/graph-database/?utm_source=chatgpt.com</w:t>
        </w:r>
      </w:hyperlink>
    </w:p>
    <w:p w14:paraId="1F598E4A" w14:textId="77777777" w:rsidR="00D21D62" w:rsidRDefault="00000000">
      <w:pPr>
        <w:pStyle w:val="BodyText"/>
      </w:pPr>
      <w:hyperlink r:id="rId116">
        <w:r>
          <w:rPr>
            <w:rStyle w:val="Hyperlink"/>
          </w:rPr>
          <w:t>[15]</w:t>
        </w:r>
      </w:hyperlink>
      <w:r>
        <w:t xml:space="preserve"> </w:t>
      </w:r>
      <w:hyperlink r:id="rId117">
        <w:r>
          <w:rPr>
            <w:rStyle w:val="Hyperlink"/>
          </w:rPr>
          <w:t>[31]</w:t>
        </w:r>
      </w:hyperlink>
      <w:r>
        <w:t xml:space="preserve"> – AU-9 PROTECTION OF AUDIT INFORMATION | NIST SP 800-53</w:t>
      </w:r>
    </w:p>
    <w:p w14:paraId="49B48273" w14:textId="77777777" w:rsidR="00D21D62" w:rsidRDefault="00000000">
      <w:pPr>
        <w:pStyle w:val="BodyText"/>
      </w:pPr>
      <w:hyperlink r:id="rId118">
        <w:r>
          <w:rPr>
            <w:rStyle w:val="Hyperlink"/>
          </w:rPr>
          <w:t>https://nist-sp-800-53-r5.bsafes.com/docs/3-3-audit-and-accountability/au-9-protection-of-audit-information/?utm_source=chatgpt.com</w:t>
        </w:r>
      </w:hyperlink>
    </w:p>
    <w:p w14:paraId="2CFD6040" w14:textId="77777777" w:rsidR="00D21D62" w:rsidRDefault="00000000">
      <w:pPr>
        <w:pStyle w:val="BodyText"/>
      </w:pPr>
      <w:hyperlink r:id="rId119">
        <w:r>
          <w:rPr>
            <w:rStyle w:val="Hyperlink"/>
          </w:rPr>
          <w:t>[16]</w:t>
        </w:r>
      </w:hyperlink>
      <w:r>
        <w:t xml:space="preserve"> Trace Context</w:t>
      </w:r>
    </w:p>
    <w:p w14:paraId="0F62555D" w14:textId="77777777" w:rsidR="00D21D62" w:rsidRDefault="00000000">
      <w:pPr>
        <w:pStyle w:val="BodyText"/>
      </w:pPr>
      <w:hyperlink r:id="rId120">
        <w:r>
          <w:rPr>
            <w:rStyle w:val="Hyperlink"/>
          </w:rPr>
          <w:t>https://www.w3.org/TR/trace-context/?utm_source=chatgpt.com</w:t>
        </w:r>
      </w:hyperlink>
    </w:p>
    <w:p w14:paraId="4A7189A8" w14:textId="77777777" w:rsidR="00D21D62" w:rsidRDefault="00000000">
      <w:pPr>
        <w:pStyle w:val="BodyText"/>
      </w:pPr>
      <w:hyperlink r:id="rId121">
        <w:r>
          <w:rPr>
            <w:rStyle w:val="Hyperlink"/>
          </w:rPr>
          <w:t>[18]</w:t>
        </w:r>
      </w:hyperlink>
      <w:r>
        <w:t xml:space="preserve"> </w:t>
      </w:r>
      <w:hyperlink r:id="rId122">
        <w:r>
          <w:rPr>
            <w:rStyle w:val="Hyperlink"/>
          </w:rPr>
          <w:t>[19]</w:t>
        </w:r>
      </w:hyperlink>
      <w:r>
        <w:t xml:space="preserve"> </w:t>
      </w:r>
      <w:hyperlink r:id="rId123">
        <w:r>
          <w:rPr>
            <w:rStyle w:val="Hyperlink"/>
          </w:rPr>
          <w:t>[32]</w:t>
        </w:r>
      </w:hyperlink>
      <w:r>
        <w:t xml:space="preserve"> Isolate containers with a user namespace | Docker Docs</w:t>
      </w:r>
    </w:p>
    <w:p w14:paraId="00BAC6B4" w14:textId="77777777" w:rsidR="00D21D62" w:rsidRDefault="00000000">
      <w:pPr>
        <w:pStyle w:val="BodyText"/>
      </w:pPr>
      <w:hyperlink r:id="rId124">
        <w:r>
          <w:rPr>
            <w:rStyle w:val="Hyperlink"/>
          </w:rPr>
          <w:t>https://docs.docker.com/engine/security/userns-remap/?utm_source=chatgpt.com</w:t>
        </w:r>
      </w:hyperlink>
    </w:p>
    <w:p w14:paraId="1865A49C" w14:textId="77777777" w:rsidR="00D21D62" w:rsidRDefault="00000000">
      <w:pPr>
        <w:pStyle w:val="BodyText"/>
      </w:pPr>
      <w:hyperlink r:id="rId125">
        <w:r>
          <w:rPr>
            <w:rStyle w:val="Hyperlink"/>
          </w:rPr>
          <w:t>[20]</w:t>
        </w:r>
      </w:hyperlink>
      <w:r>
        <w:t xml:space="preserve"> </w:t>
      </w:r>
      <w:hyperlink r:id="rId126">
        <w:r>
          <w:rPr>
            <w:rStyle w:val="Hyperlink"/>
          </w:rPr>
          <w:t>[26]</w:t>
        </w:r>
      </w:hyperlink>
      <w:r>
        <w:t xml:space="preserve"> </w:t>
      </w:r>
      <w:hyperlink r:id="rId127">
        <w:r>
          <w:rPr>
            <w:rStyle w:val="Hyperlink"/>
          </w:rPr>
          <w:t>[35]</w:t>
        </w:r>
      </w:hyperlink>
      <w:r>
        <w:t xml:space="preserve"> Usage - Ollama</w:t>
      </w:r>
    </w:p>
    <w:p w14:paraId="0E68B783" w14:textId="77777777" w:rsidR="00D21D62" w:rsidRDefault="00000000">
      <w:pPr>
        <w:pStyle w:val="BodyText"/>
      </w:pPr>
      <w:hyperlink r:id="rId128">
        <w:r>
          <w:rPr>
            <w:rStyle w:val="Hyperlink"/>
          </w:rPr>
          <w:t>https://docs.ollama.com/api/usage?utm_source=chatgpt.com</w:t>
        </w:r>
      </w:hyperlink>
    </w:p>
    <w:p w14:paraId="6254DC77" w14:textId="77777777" w:rsidR="00D21D62" w:rsidRDefault="00000000">
      <w:pPr>
        <w:pStyle w:val="BodyText"/>
      </w:pPr>
      <w:hyperlink r:id="rId129">
        <w:r>
          <w:rPr>
            <w:rStyle w:val="Hyperlink"/>
          </w:rPr>
          <w:t>[21]</w:t>
        </w:r>
      </w:hyperlink>
      <w:r>
        <w:t xml:space="preserve"> Traces | OpenTelemetry</w:t>
      </w:r>
    </w:p>
    <w:p w14:paraId="6C9AA871" w14:textId="77777777" w:rsidR="00D21D62" w:rsidRDefault="00000000">
      <w:pPr>
        <w:pStyle w:val="BodyText"/>
      </w:pPr>
      <w:hyperlink r:id="rId130">
        <w:r>
          <w:rPr>
            <w:rStyle w:val="Hyperlink"/>
          </w:rPr>
          <w:t>https://opentelemetry.io/docs/concepts/signals/traces/?utm_source=chatgpt.com</w:t>
        </w:r>
      </w:hyperlink>
    </w:p>
    <w:p w14:paraId="043CEC18" w14:textId="77777777" w:rsidR="00D21D62" w:rsidRDefault="00000000">
      <w:pPr>
        <w:pStyle w:val="BodyText"/>
      </w:pPr>
      <w:hyperlink r:id="rId131">
        <w:r>
          <w:rPr>
            <w:rStyle w:val="Hyperlink"/>
          </w:rPr>
          <w:t>[22]</w:t>
        </w:r>
      </w:hyperlink>
      <w:r>
        <w:t xml:space="preserve"> </w:t>
      </w:r>
      <w:hyperlink r:id="rId132">
        <w:r>
          <w:rPr>
            <w:rStyle w:val="Hyperlink"/>
          </w:rPr>
          <w:t>[25]</w:t>
        </w:r>
      </w:hyperlink>
      <w:r>
        <w:t xml:space="preserve"> GeForce RTX 5080 Graphics Cards | NVIDIA</w:t>
      </w:r>
    </w:p>
    <w:p w14:paraId="3039FDB5" w14:textId="77777777" w:rsidR="00D21D62" w:rsidRDefault="00000000">
      <w:pPr>
        <w:pStyle w:val="BodyText"/>
      </w:pPr>
      <w:hyperlink r:id="rId133">
        <w:r>
          <w:rPr>
            <w:rStyle w:val="Hyperlink"/>
          </w:rPr>
          <w:t>https://www.nvidia.com/en-me/geforce/graphics-cards/50-series/rtx-5080/?utm_source=chatgpt.com</w:t>
        </w:r>
      </w:hyperlink>
    </w:p>
    <w:p w14:paraId="3BC6C9F1" w14:textId="77777777" w:rsidR="00D21D62" w:rsidRDefault="00000000">
      <w:pPr>
        <w:pStyle w:val="BodyText"/>
      </w:pPr>
      <w:hyperlink r:id="rId134">
        <w:r>
          <w:rPr>
            <w:rStyle w:val="Hyperlink"/>
          </w:rPr>
          <w:t>[23]</w:t>
        </w:r>
      </w:hyperlink>
      <w:r>
        <w:t xml:space="preserve"> Monthly Average Retail Price of Electricity - Residential - NYSERDA</w:t>
      </w:r>
    </w:p>
    <w:p w14:paraId="543DFD70" w14:textId="77777777" w:rsidR="00D21D62" w:rsidRDefault="00000000">
      <w:pPr>
        <w:pStyle w:val="BodyText"/>
      </w:pPr>
      <w:hyperlink r:id="rId135">
        <w:r>
          <w:rPr>
            <w:rStyle w:val="Hyperlink"/>
          </w:rPr>
          <w:t>https://www.nyserda.ny.gov/Energy-Prices/Electricity/Monthly-Avg-Electricity-Residential?utm_source=chatgpt.com</w:t>
        </w:r>
      </w:hyperlink>
    </w:p>
    <w:p w14:paraId="69309830" w14:textId="77777777" w:rsidR="00D21D62" w:rsidRDefault="00000000">
      <w:pPr>
        <w:pStyle w:val="BodyText"/>
      </w:pPr>
      <w:hyperlink r:id="rId136">
        <w:r>
          <w:rPr>
            <w:rStyle w:val="Hyperlink"/>
          </w:rPr>
          <w:t>[24]</w:t>
        </w:r>
      </w:hyperlink>
      <w:r>
        <w:t xml:space="preserve"> US Electricity Profile 2024 - U.S. Energy Information Administration (EIA)</w:t>
      </w:r>
    </w:p>
    <w:p w14:paraId="084B55DD" w14:textId="77777777" w:rsidR="00D21D62" w:rsidRDefault="00000000">
      <w:pPr>
        <w:pStyle w:val="BodyText"/>
      </w:pPr>
      <w:hyperlink r:id="rId137">
        <w:r>
          <w:rPr>
            <w:rStyle w:val="Hyperlink"/>
          </w:rPr>
          <w:t>https://www.eia.gov/electricity/state/?utm_source=chatgpt.com</w:t>
        </w:r>
      </w:hyperlink>
    </w:p>
    <w:p w14:paraId="4D29AC64" w14:textId="77777777" w:rsidR="00D21D62" w:rsidRDefault="00000000">
      <w:pPr>
        <w:pStyle w:val="BodyText"/>
      </w:pPr>
      <w:hyperlink r:id="rId138">
        <w:r>
          <w:rPr>
            <w:rStyle w:val="Hyperlink"/>
          </w:rPr>
          <w:t>[28]</w:t>
        </w:r>
      </w:hyperlink>
      <w:r>
        <w:t xml:space="preserve"> </w:t>
      </w:r>
      <w:hyperlink r:id="rId139">
        <w:r>
          <w:rPr>
            <w:rStyle w:val="Hyperlink"/>
          </w:rPr>
          <w:t>[34]</w:t>
        </w:r>
      </w:hyperlink>
      <w:r>
        <w:t xml:space="preserve"> </w:t>
      </w:r>
      <w:hyperlink r:id="rId140">
        <w:r>
          <w:rPr>
            <w:rStyle w:val="Hyperlink"/>
          </w:rPr>
          <w:t>[37]</w:t>
        </w:r>
      </w:hyperlink>
      <w:r>
        <w:t xml:space="preserve"> NIST Special Publication 800-34 Rev. 1</w:t>
      </w:r>
    </w:p>
    <w:p w14:paraId="52C75F81" w14:textId="77777777" w:rsidR="00D21D62" w:rsidRDefault="00000000">
      <w:pPr>
        <w:pStyle w:val="BodyText"/>
      </w:pPr>
      <w:hyperlink r:id="rId141">
        <w:r>
          <w:rPr>
            <w:rStyle w:val="Hyperlink"/>
          </w:rPr>
          <w:t>https://nvlpubs.nist.gov/nistpubs/legacy/sp/nistspecialpublication800-34r1.pdf?utm_source=chatgpt.com</w:t>
        </w:r>
      </w:hyperlink>
    </w:p>
    <w:p w14:paraId="45A7B646" w14:textId="77777777" w:rsidR="00D21D62" w:rsidRDefault="00000000">
      <w:pPr>
        <w:pStyle w:val="BodyText"/>
      </w:pPr>
      <w:hyperlink r:id="rId142">
        <w:r>
          <w:rPr>
            <w:rStyle w:val="Hyperlink"/>
          </w:rPr>
          <w:t>[29]</w:t>
        </w:r>
      </w:hyperlink>
      <w:r>
        <w:t xml:space="preserve"> PostgreSQL: Documentation: 14: 26.3. Continuous Archiving and Point-in-Time Recovery (PITR)</w:t>
      </w:r>
    </w:p>
    <w:p w14:paraId="4E08702C" w14:textId="77777777" w:rsidR="00D21D62" w:rsidRDefault="00000000">
      <w:pPr>
        <w:pStyle w:val="BodyText"/>
      </w:pPr>
      <w:hyperlink r:id="rId143">
        <w:r>
          <w:rPr>
            <w:rStyle w:val="Hyperlink"/>
          </w:rPr>
          <w:t>https://www.postgresql.org/docs/14/continuous-archiving.html?utm_source=chatgpt.com</w:t>
        </w:r>
      </w:hyperlink>
    </w:p>
    <w:p w14:paraId="34C43289" w14:textId="77777777" w:rsidR="00D21D62" w:rsidRDefault="00000000">
      <w:pPr>
        <w:pStyle w:val="BodyText"/>
      </w:pPr>
      <w:hyperlink r:id="rId144">
        <w:r>
          <w:rPr>
            <w:rStyle w:val="Hyperlink"/>
          </w:rPr>
          <w:t>[30]</w:t>
        </w:r>
      </w:hyperlink>
      <w:r>
        <w:t xml:space="preserve"> </w:t>
      </w:r>
      <w:hyperlink r:id="rId145">
        <w:r>
          <w:rPr>
            <w:rStyle w:val="Hyperlink"/>
          </w:rPr>
          <w:t>[38]</w:t>
        </w:r>
      </w:hyperlink>
      <w:r>
        <w:t xml:space="preserve"> Artificial Intelligence Risk Management Framework (AI RMF 1.0) | NIST</w:t>
      </w:r>
    </w:p>
    <w:p w14:paraId="65D3707C" w14:textId="77777777" w:rsidR="00D21D62" w:rsidRDefault="00000000">
      <w:pPr>
        <w:pStyle w:val="BodyText"/>
      </w:pPr>
      <w:hyperlink r:id="rId146">
        <w:r>
          <w:rPr>
            <w:rStyle w:val="Hyperlink"/>
          </w:rPr>
          <w:t>https://www.nist.gov/publications/artificial-intelligence-risk-management-framework-ai-rmf-10?utm_source=chatgpt.com</w:t>
        </w:r>
      </w:hyperlink>
      <w:bookmarkEnd w:id="38"/>
    </w:p>
    <w:sectPr w:rsidR="00D21D6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60C3D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4200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13490566">
    <w:abstractNumId w:val="0"/>
  </w:num>
  <w:num w:numId="2" w16cid:durableId="2013871045">
    <w:abstractNumId w:val="1"/>
  </w:num>
  <w:num w:numId="3" w16cid:durableId="1742096641">
    <w:abstractNumId w:val="1"/>
  </w:num>
  <w:num w:numId="4" w16cid:durableId="1566186484">
    <w:abstractNumId w:val="1"/>
  </w:num>
  <w:num w:numId="5" w16cid:durableId="1903785672">
    <w:abstractNumId w:val="1"/>
  </w:num>
  <w:num w:numId="6" w16cid:durableId="1798402581">
    <w:abstractNumId w:val="1"/>
  </w:num>
  <w:num w:numId="7" w16cid:durableId="457115568">
    <w:abstractNumId w:val="1"/>
  </w:num>
  <w:num w:numId="8" w16cid:durableId="2109887124">
    <w:abstractNumId w:val="1"/>
  </w:num>
  <w:num w:numId="9" w16cid:durableId="1207912016">
    <w:abstractNumId w:val="1"/>
  </w:num>
  <w:num w:numId="10" w16cid:durableId="734474813">
    <w:abstractNumId w:val="1"/>
  </w:num>
  <w:num w:numId="11" w16cid:durableId="710115326">
    <w:abstractNumId w:val="1"/>
  </w:num>
  <w:num w:numId="12" w16cid:durableId="2087459895">
    <w:abstractNumId w:val="1"/>
  </w:num>
  <w:num w:numId="13" w16cid:durableId="1920674301">
    <w:abstractNumId w:val="1"/>
  </w:num>
  <w:num w:numId="14" w16cid:durableId="1898860224">
    <w:abstractNumId w:val="1"/>
  </w:num>
  <w:num w:numId="15" w16cid:durableId="1072973514">
    <w:abstractNumId w:val="1"/>
  </w:num>
  <w:num w:numId="16" w16cid:durableId="23677670">
    <w:abstractNumId w:val="1"/>
  </w:num>
  <w:num w:numId="17" w16cid:durableId="2104373116">
    <w:abstractNumId w:val="1"/>
  </w:num>
  <w:num w:numId="18" w16cid:durableId="2130274240">
    <w:abstractNumId w:val="1"/>
  </w:num>
  <w:num w:numId="19" w16cid:durableId="1651132972">
    <w:abstractNumId w:val="1"/>
  </w:num>
  <w:num w:numId="20" w16cid:durableId="351498156">
    <w:abstractNumId w:val="1"/>
  </w:num>
  <w:num w:numId="21" w16cid:durableId="957102929">
    <w:abstractNumId w:val="1"/>
  </w:num>
  <w:num w:numId="22" w16cid:durableId="2051416467">
    <w:abstractNumId w:val="1"/>
  </w:num>
  <w:num w:numId="23" w16cid:durableId="703791538">
    <w:abstractNumId w:val="1"/>
  </w:num>
  <w:num w:numId="24" w16cid:durableId="59209264">
    <w:abstractNumId w:val="1"/>
  </w:num>
  <w:num w:numId="25" w16cid:durableId="2098558287">
    <w:abstractNumId w:val="1"/>
  </w:num>
  <w:num w:numId="26" w16cid:durableId="659962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D62"/>
    <w:rsid w:val="006013A9"/>
    <w:rsid w:val="008A1331"/>
    <w:rsid w:val="00D21D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E9230"/>
  <w15:docId w15:val="{1E5DD928-E587-40BC-B198-F978A5D5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ist-sp-800-53-r5.bsafes.com/docs/3-3-audit-and-accountability/au-9-protection-of-audit-information/?utm_source=chatgpt.com" TargetMode="External"/><Relationship Id="rId21" Type="http://schemas.openxmlformats.org/officeDocument/2006/relationships/hyperlink" Target="https://www.dropbox.com/preview/Tore%20Alden/AI%20Stuff/Desktop%20LLM%20Project/Autonomous_Pipeline_Architecture_Guide.docx" TargetMode="External"/><Relationship Id="rId42" Type="http://schemas.openxmlformats.org/officeDocument/2006/relationships/hyperlink" Target="https://docs.docker.com/engine/security/userns-remap/?utm_source=chatgpt.com" TargetMode="External"/><Relationship Id="rId63" Type="http://schemas.openxmlformats.org/officeDocument/2006/relationships/hyperlink" Target="https://neo4j.com/docs/getting-started/graph-database/?utm_source=chatgpt.com" TargetMode="External"/><Relationship Id="rId84" Type="http://schemas.openxmlformats.org/officeDocument/2006/relationships/hyperlink" Target="https://nist-sp-800-53-r5.bsafes.com/docs/3-1-access-control/ac-6-least-privilege/?utm_source=chatgpt.com" TargetMode="External"/><Relationship Id="rId138" Type="http://schemas.openxmlformats.org/officeDocument/2006/relationships/hyperlink" Target="https://nvlpubs.nist.gov/nistpubs/legacy/sp/nistspecialpublication800-34r1.pdf?utm_source=chatgpt.com" TargetMode="External"/><Relationship Id="rId107" Type="http://schemas.openxmlformats.org/officeDocument/2006/relationships/hyperlink" Target="https://docs.anthropic.com/en/docs/mcp?utm_source=chatgpt.com" TargetMode="External"/><Relationship Id="rId11" Type="http://schemas.openxmlformats.org/officeDocument/2006/relationships/hyperlink" Target="https://www.dropbox.com/preview/Tore%20Alden/AI%20Stuff/Desktop%20LLM%20Project/Autonomous_Pipeline_Architecture_Guide.docx" TargetMode="External"/><Relationship Id="rId32" Type="http://schemas.openxmlformats.org/officeDocument/2006/relationships/hyperlink" Target="https://www.dropbox.com/preview/Tore%20Alden/AI%20Stuff/Desktop%20LLM%20Project/Autonomous_Pipeline_Architecture_Guide.docx" TargetMode="External"/><Relationship Id="rId53" Type="http://schemas.openxmlformats.org/officeDocument/2006/relationships/hyperlink" Target="https://www.w3.org/TR/trace-context/?utm_source=chatgpt.com" TargetMode="External"/><Relationship Id="rId74" Type="http://schemas.openxmlformats.org/officeDocument/2006/relationships/hyperlink" Target="https://www.dropbox.com/preview/Tore%20Alden/AI%20Stuff/Desktop%20LLM%20Project/Autonomous_Pipeline_Architecture_Guide.docx" TargetMode="External"/><Relationship Id="rId128" Type="http://schemas.openxmlformats.org/officeDocument/2006/relationships/hyperlink" Target="https://docs.ollama.com/api/usage?utm_source=chatgpt.com" TargetMode="External"/><Relationship Id="rId5" Type="http://schemas.openxmlformats.org/officeDocument/2006/relationships/hyperlink" Target="https://www.dropbox.com/preview/Tore%20Alden/AI%20Stuff/Desktop%20LLM%20Project/Autonomous_Pipeline_Architecture_Guide.docx" TargetMode="External"/><Relationship Id="rId90" Type="http://schemas.openxmlformats.org/officeDocument/2006/relationships/hyperlink" Target="https://docs.ollama.com/openai?utm_source=chatgpt.com" TargetMode="External"/><Relationship Id="rId95" Type="http://schemas.openxmlformats.org/officeDocument/2006/relationships/hyperlink" Target="https://nist-sp-800-53-r5.bsafes.com/docs/3-1-access-control/ac-6-least-privilege/?utm_source=chatgpt.com" TargetMode="External"/><Relationship Id="rId22" Type="http://schemas.openxmlformats.org/officeDocument/2006/relationships/hyperlink" Target="https://www.dropbox.com/preview/Tore%20Alden/AI%20Stuff/Desktop%20LLM%20Project/Autonomous_Pipeline_Architecture_Guide.docx" TargetMode="External"/><Relationship Id="rId27" Type="http://schemas.openxmlformats.org/officeDocument/2006/relationships/hyperlink" Target="https://docs.anthropic.com/en/docs/mcp?utm_source=chatgpt.com" TargetMode="External"/><Relationship Id="rId43" Type="http://schemas.openxmlformats.org/officeDocument/2006/relationships/hyperlink" Target="https://owasp.org/www-project-top-10-for-large-language-model-applications/?utm_source=chatgpt.com" TargetMode="External"/><Relationship Id="rId48" Type="http://schemas.openxmlformats.org/officeDocument/2006/relationships/hyperlink" Target="https://www.dropbox.com/preview/Tore%20Alden/AI%20Stuff/Desktop%20LLM%20Project/Autonomous_Pipeline_Architecture_Guide.docx" TargetMode="External"/><Relationship Id="rId64" Type="http://schemas.openxmlformats.org/officeDocument/2006/relationships/hyperlink" Target="https://www.dropbox.com/preview/Tore%20Alden/AI%20Stuff/Desktop%20LLM%20Project/Autonomous_Pipeline_Architecture_Guide.docx" TargetMode="External"/><Relationship Id="rId69" Type="http://schemas.openxmlformats.org/officeDocument/2006/relationships/hyperlink" Target="https://www.dropbox.com/preview/Tore%20Alden/AI%20Stuff/Desktop%20LLM%20Project/Autonomous_Pipeline_Architecture_Guide.docx" TargetMode="External"/><Relationship Id="rId113" Type="http://schemas.openxmlformats.org/officeDocument/2006/relationships/hyperlink" Target="https://docs.searxng.org/?utm_source=chatgpt.com" TargetMode="External"/><Relationship Id="rId118" Type="http://schemas.openxmlformats.org/officeDocument/2006/relationships/hyperlink" Target="https://nist-sp-800-53-r5.bsafes.com/docs/3-3-audit-and-accountability/au-9-protection-of-audit-information/?utm_source=chatgpt.com" TargetMode="External"/><Relationship Id="rId134" Type="http://schemas.openxmlformats.org/officeDocument/2006/relationships/hyperlink" Target="https://www.nyserda.ny.gov/Energy-Prices/Electricity/Monthly-Avg-Electricity-Residential?utm_source=chatgpt.com" TargetMode="External"/><Relationship Id="rId139" Type="http://schemas.openxmlformats.org/officeDocument/2006/relationships/hyperlink" Target="https://nvlpubs.nist.gov/nistpubs/legacy/sp/nistspecialpublication800-34r1.pdf?utm_source=chatgpt.com" TargetMode="External"/><Relationship Id="rId80" Type="http://schemas.openxmlformats.org/officeDocument/2006/relationships/hyperlink" Target="https://www.dropbox.com/preview/Tore%20Alden/AI%20Stuff/Desktop%20LLM%20Project/Autonomous_Pipeline_Architecture_Guide.docx" TargetMode="External"/><Relationship Id="rId85" Type="http://schemas.openxmlformats.org/officeDocument/2006/relationships/hyperlink" Target="https://www.nvidia.com/en-me/geforce/graphics-cards/50-series/rtx-5080/?utm_source=chatgpt.com" TargetMode="External"/><Relationship Id="rId12" Type="http://schemas.openxmlformats.org/officeDocument/2006/relationships/hyperlink" Target="https://www.nist.gov/publications/guide-computer-security-log-management?utm_source=chatgpt.com" TargetMode="External"/><Relationship Id="rId17" Type="http://schemas.openxmlformats.org/officeDocument/2006/relationships/hyperlink" Target="https://owasp.org/www-project-top-10-for-large-language-model-applications/?utm_source=chatgpt.com" TargetMode="External"/><Relationship Id="rId33" Type="http://schemas.openxmlformats.org/officeDocument/2006/relationships/hyperlink" Target="https://www.dropbox.com/preview/Tore%20Alden/AI%20Stuff/Desktop%20LLM%20Project/Autonomous_Pipeline_Architecture_Guide.docx" TargetMode="External"/><Relationship Id="rId38" Type="http://schemas.openxmlformats.org/officeDocument/2006/relationships/hyperlink" Target="https://www.w3.org/TR/trace-context/?utm_source=chatgpt.com" TargetMode="External"/><Relationship Id="rId59" Type="http://schemas.openxmlformats.org/officeDocument/2006/relationships/hyperlink" Target="https://docs.ollama.com/api/usage?utm_source=chatgpt.com" TargetMode="External"/><Relationship Id="rId103" Type="http://schemas.openxmlformats.org/officeDocument/2006/relationships/hyperlink" Target="https://lmstudio.ai/docs/api/openai-api?utm_source=chatgpt.com" TargetMode="External"/><Relationship Id="rId108" Type="http://schemas.openxmlformats.org/officeDocument/2006/relationships/hyperlink" Target="https://docs.anthropic.com/en/docs/mcp?utm_source=chatgpt.com" TargetMode="External"/><Relationship Id="rId124" Type="http://schemas.openxmlformats.org/officeDocument/2006/relationships/hyperlink" Target="https://docs.docker.com/engine/security/userns-remap/?utm_source=chatgpt.com" TargetMode="External"/><Relationship Id="rId129" Type="http://schemas.openxmlformats.org/officeDocument/2006/relationships/hyperlink" Target="https://opentelemetry.io/docs/concepts/signals/traces/?utm_source=chatgpt.com" TargetMode="External"/><Relationship Id="rId54" Type="http://schemas.openxmlformats.org/officeDocument/2006/relationships/hyperlink" Target="https://www.nvidia.com/en-me/geforce/graphics-cards/50-series/rtx-5080/?utm_source=chatgpt.com" TargetMode="External"/><Relationship Id="rId70" Type="http://schemas.openxmlformats.org/officeDocument/2006/relationships/hyperlink" Target="https://www.nist.gov/publications/artificial-intelligence-risk-management-framework-ai-rmf-10?utm_source=chatgpt.com" TargetMode="External"/><Relationship Id="rId75" Type="http://schemas.openxmlformats.org/officeDocument/2006/relationships/hyperlink" Target="https://nist-sp-800-53-r5.bsafes.com/docs/3-3-audit-and-accountability/au-9-protection-of-audit-information/?utm_source=chatgpt.com" TargetMode="External"/><Relationship Id="rId91" Type="http://schemas.openxmlformats.org/officeDocument/2006/relationships/hyperlink" Target="https://docs.ollama.com/openai?utm_source=chatgpt.com" TargetMode="External"/><Relationship Id="rId96" Type="http://schemas.openxmlformats.org/officeDocument/2006/relationships/hyperlink" Target="https://nist-sp-800-53-r5.bsafes.com/docs/3-1-access-control/ac-6-least-privilege/?utm_source=chatgpt.com" TargetMode="External"/><Relationship Id="rId140" Type="http://schemas.openxmlformats.org/officeDocument/2006/relationships/hyperlink" Target="https://nvlpubs.nist.gov/nistpubs/legacy/sp/nistspecialpublication800-34r1.pdf?utm_source=chatgpt.com" TargetMode="External"/><Relationship Id="rId145" Type="http://schemas.openxmlformats.org/officeDocument/2006/relationships/hyperlink" Target="https://www.nist.gov/publications/artificial-intelligence-risk-management-framework-ai-rmf-10?utm_source=chatgpt.com" TargetMode="External"/><Relationship Id="rId1" Type="http://schemas.openxmlformats.org/officeDocument/2006/relationships/numbering" Target="numbering.xml"/><Relationship Id="rId6" Type="http://schemas.openxmlformats.org/officeDocument/2006/relationships/hyperlink" Target="https://www.dropbox.com/preview/Tore%20Alden/AI%20Stuff/Desktop%20LLM%20Project/Autonomous_Pipeline_Architecture_Guide.docx" TargetMode="External"/><Relationship Id="rId23" Type="http://schemas.openxmlformats.org/officeDocument/2006/relationships/hyperlink" Target="https://www.anthropic.com/pricing?utm_source=chatgpt.com" TargetMode="External"/><Relationship Id="rId28" Type="http://schemas.openxmlformats.org/officeDocument/2006/relationships/hyperlink" Target="https://www.dropbox.com/preview/Tore%20Alden/AI%20Stuff/Desktop%20LLM%20Project/Autonomous_Pipeline_Architecture_Guide.docx" TargetMode="External"/><Relationship Id="rId49" Type="http://schemas.openxmlformats.org/officeDocument/2006/relationships/hyperlink" Target="https://docs.ollama.com/api/usage?utm_source=chatgpt.com" TargetMode="External"/><Relationship Id="rId114" Type="http://schemas.openxmlformats.org/officeDocument/2006/relationships/hyperlink" Target="https://neo4j.com/docs/getting-started/graph-database/?utm_source=chatgpt.com" TargetMode="External"/><Relationship Id="rId119" Type="http://schemas.openxmlformats.org/officeDocument/2006/relationships/hyperlink" Target="https://www.w3.org/TR/trace-context/?utm_source=chatgpt.com" TargetMode="External"/><Relationship Id="rId44" Type="http://schemas.openxmlformats.org/officeDocument/2006/relationships/hyperlink" Target="https://docs.docker.com/engine/security/userns-remap/?utm_source=chatgpt.com" TargetMode="External"/><Relationship Id="rId60" Type="http://schemas.openxmlformats.org/officeDocument/2006/relationships/hyperlink" Target="https://lmstudio.ai/docs/api/openai-api?utm_source=chatgpt.com" TargetMode="External"/><Relationship Id="rId65" Type="http://schemas.openxmlformats.org/officeDocument/2006/relationships/hyperlink" Target="https://owasp.org/www-project-top-10-for-large-language-model-applications/?utm_source=chatgpt.com" TargetMode="External"/><Relationship Id="rId81" Type="http://schemas.openxmlformats.org/officeDocument/2006/relationships/hyperlink" Target="https://docs.anthropic.com/en/docs/mcp?utm_source=chatgpt.com" TargetMode="External"/><Relationship Id="rId86" Type="http://schemas.openxmlformats.org/officeDocument/2006/relationships/hyperlink" Target="https://docs.ollama.com/api/usage?utm_source=chatgpt.com" TargetMode="External"/><Relationship Id="rId130" Type="http://schemas.openxmlformats.org/officeDocument/2006/relationships/hyperlink" Target="https://opentelemetry.io/docs/concepts/signals/traces/?utm_source=chatgpt.com" TargetMode="External"/><Relationship Id="rId135" Type="http://schemas.openxmlformats.org/officeDocument/2006/relationships/hyperlink" Target="https://www.nyserda.ny.gov/Energy-Prices/Electricity/Monthly-Avg-Electricity-Residential?utm_source=chatgpt.com" TargetMode="External"/><Relationship Id="rId13" Type="http://schemas.openxmlformats.org/officeDocument/2006/relationships/hyperlink" Target="https://www.dropbox.com/preview/Tore%20Alden/AI%20Stuff/Desktop%20LLM%20Project/Autonomous_Pipeline_Architecture_Guide.docx" TargetMode="External"/><Relationship Id="rId18" Type="http://schemas.openxmlformats.org/officeDocument/2006/relationships/hyperlink" Target="https://docs.ollama.com/openai?utm_source=chatgpt.com" TargetMode="External"/><Relationship Id="rId39" Type="http://schemas.openxmlformats.org/officeDocument/2006/relationships/hyperlink" Target="https://owasp.org/www-project-top-10-for-large-language-model-applications/?utm_source=chatgpt.com" TargetMode="External"/><Relationship Id="rId109" Type="http://schemas.openxmlformats.org/officeDocument/2006/relationships/hyperlink" Target="https://www.anthropic.com/pricing?utm_source=chatgpt.com" TargetMode="External"/><Relationship Id="rId34" Type="http://schemas.openxmlformats.org/officeDocument/2006/relationships/hyperlink" Target="https://www.dropbox.com/preview/Tore%20Alden/AI%20Stuff/Desktop%20LLM%20Project/Autonomous_Pipeline_Architecture_Guide.docx" TargetMode="External"/><Relationship Id="rId50" Type="http://schemas.openxmlformats.org/officeDocument/2006/relationships/hyperlink" Target="https://docs.ollama.com/api/usage?utm_source=chatgpt.com" TargetMode="External"/><Relationship Id="rId55" Type="http://schemas.openxmlformats.org/officeDocument/2006/relationships/hyperlink" Target="https://www.nyserda.ny.gov/Energy-Prices/Electricity/Monthly-Avg-Electricity-Residential?utm_source=chatgpt.com" TargetMode="External"/><Relationship Id="rId76" Type="http://schemas.openxmlformats.org/officeDocument/2006/relationships/hyperlink" Target="https://docs.docker.com/engine/security/userns-remap/?utm_source=chatgpt.com" TargetMode="External"/><Relationship Id="rId97" Type="http://schemas.openxmlformats.org/officeDocument/2006/relationships/hyperlink" Target="https://www.nist.gov/publications/guide-computer-security-log-management?utm_source=chatgpt.com" TargetMode="External"/><Relationship Id="rId104" Type="http://schemas.openxmlformats.org/officeDocument/2006/relationships/hyperlink" Target="https://lmstudio.ai/docs/api/openai-api?utm_source=chatgpt.com" TargetMode="External"/><Relationship Id="rId120" Type="http://schemas.openxmlformats.org/officeDocument/2006/relationships/hyperlink" Target="https://www.w3.org/TR/trace-context/?utm_source=chatgpt.com" TargetMode="External"/><Relationship Id="rId125" Type="http://schemas.openxmlformats.org/officeDocument/2006/relationships/hyperlink" Target="https://docs.ollama.com/api/usage?utm_source=chatgpt.com" TargetMode="External"/><Relationship Id="rId141" Type="http://schemas.openxmlformats.org/officeDocument/2006/relationships/hyperlink" Target="https://nvlpubs.nist.gov/nistpubs/legacy/sp/nistspecialpublication800-34r1.pdf?utm_source=chatgpt.com" TargetMode="External"/><Relationship Id="rId146" Type="http://schemas.openxmlformats.org/officeDocument/2006/relationships/hyperlink" Target="https://www.nist.gov/publications/artificial-intelligence-risk-management-framework-ai-rmf-10?utm_source=chatgpt.com" TargetMode="External"/><Relationship Id="rId7" Type="http://schemas.openxmlformats.org/officeDocument/2006/relationships/hyperlink" Target="https://docs.ollama.com/openai?utm_source=chatgpt.com" TargetMode="External"/><Relationship Id="rId71" Type="http://schemas.openxmlformats.org/officeDocument/2006/relationships/hyperlink" Target="https://www.nist.gov/publications/guide-computer-security-log-management?utm_source=chatgpt.com" TargetMode="External"/><Relationship Id="rId92" Type="http://schemas.openxmlformats.org/officeDocument/2006/relationships/hyperlink" Target="https://docs.ollama.com/openai?utm_source=chatgpt.com" TargetMode="External"/><Relationship Id="rId2" Type="http://schemas.openxmlformats.org/officeDocument/2006/relationships/styles" Target="styles.xml"/><Relationship Id="rId29" Type="http://schemas.openxmlformats.org/officeDocument/2006/relationships/hyperlink" Target="https://www.dropbox.com/preview/Tore%20Alden/AI%20Stuff/Desktop%20LLM%20Project/Autonomous_Pipeline_Architecture_Guide.docx" TargetMode="External"/><Relationship Id="rId24" Type="http://schemas.openxmlformats.org/officeDocument/2006/relationships/hyperlink" Target="https://www.dropbox.com/preview/Tore%20Alden/AI%20Stuff/Desktop%20LLM%20Project/Autonomous_Pipeline_Architecture_Guide.docx" TargetMode="External"/><Relationship Id="rId40" Type="http://schemas.openxmlformats.org/officeDocument/2006/relationships/hyperlink" Target="https://www.dropbox.com/preview/Tore%20Alden/AI%20Stuff/Desktop%20LLM%20Project/Autonomous_Pipeline_Architecture_Guide.docx" TargetMode="External"/><Relationship Id="rId45" Type="http://schemas.openxmlformats.org/officeDocument/2006/relationships/hyperlink" Target="https://www.dropbox.com/preview/Tore%20Alden/AI%20Stuff/Desktop%20LLM%20Project/Autonomous_Pipeline_Architecture_Guide.docx" TargetMode="External"/><Relationship Id="rId66" Type="http://schemas.openxmlformats.org/officeDocument/2006/relationships/hyperlink" Target="https://nvlpubs.nist.gov/nistpubs/legacy/sp/nistspecialpublication800-34r1.pdf?utm_source=chatgpt.com" TargetMode="External"/><Relationship Id="rId87" Type="http://schemas.openxmlformats.org/officeDocument/2006/relationships/hyperlink" Target="https://nvlpubs.nist.gov/nistpubs/legacy/sp/nistspecialpublication800-34r1.pdf?utm_source=chatgpt.com" TargetMode="External"/><Relationship Id="rId110" Type="http://schemas.openxmlformats.org/officeDocument/2006/relationships/hyperlink" Target="https://www.anthropic.com/pricing?utm_source=chatgpt.com" TargetMode="External"/><Relationship Id="rId115" Type="http://schemas.openxmlformats.org/officeDocument/2006/relationships/hyperlink" Target="https://neo4j.com/docs/getting-started/graph-database/?utm_source=chatgpt.com" TargetMode="External"/><Relationship Id="rId131" Type="http://schemas.openxmlformats.org/officeDocument/2006/relationships/hyperlink" Target="https://www.nvidia.com/en-me/geforce/graphics-cards/50-series/rtx-5080/?utm_source=chatgpt.com" TargetMode="External"/><Relationship Id="rId136" Type="http://schemas.openxmlformats.org/officeDocument/2006/relationships/hyperlink" Target="https://www.eia.gov/electricity/state/?utm_source=chatgpt.com" TargetMode="External"/><Relationship Id="rId61" Type="http://schemas.openxmlformats.org/officeDocument/2006/relationships/hyperlink" Target="https://www.anthropic.com/pricing?utm_source=chatgpt.com" TargetMode="External"/><Relationship Id="rId82" Type="http://schemas.openxmlformats.org/officeDocument/2006/relationships/hyperlink" Target="https://www.dropbox.com/preview/Tore%20Alden/AI%20Stuff/Desktop%20LLM%20Project/Autonomous_Pipeline_Architecture_Guide.docx" TargetMode="External"/><Relationship Id="rId19" Type="http://schemas.openxmlformats.org/officeDocument/2006/relationships/hyperlink" Target="https://lmstudio.ai/docs/api/openai-api?utm_source=chatgpt.com" TargetMode="External"/><Relationship Id="rId14" Type="http://schemas.openxmlformats.org/officeDocument/2006/relationships/hyperlink" Target="https://www.dropbox.com/preview/Tore%20Alden/AI%20Stuff/Desktop%20LLM%20Project/Autonomous_Pipeline_Architecture_Guide.docx" TargetMode="External"/><Relationship Id="rId30" Type="http://schemas.openxmlformats.org/officeDocument/2006/relationships/hyperlink" Target="https://www.dropbox.com/preview/Tore%20Alden/AI%20Stuff/Desktop%20LLM%20Project/Autonomous_Pipeline_Architecture_Guide.docx" TargetMode="External"/><Relationship Id="rId35" Type="http://schemas.openxmlformats.org/officeDocument/2006/relationships/hyperlink" Target="https://www.nist.gov/publications/guide-computer-security-log-management?utm_source=chatgpt.com" TargetMode="External"/><Relationship Id="rId56" Type="http://schemas.openxmlformats.org/officeDocument/2006/relationships/hyperlink" Target="https://www.eia.gov/electricity/state/?utm_source=chatgpt.com" TargetMode="External"/><Relationship Id="rId77" Type="http://schemas.openxmlformats.org/officeDocument/2006/relationships/hyperlink" Target="https://docs.searxng.org/?utm_source=chatgpt.com" TargetMode="External"/><Relationship Id="rId100" Type="http://schemas.openxmlformats.org/officeDocument/2006/relationships/hyperlink" Target="https://www.nist.gov/publications/guide-computer-security-log-management?utm_source=chatgpt.com" TargetMode="External"/><Relationship Id="rId105" Type="http://schemas.openxmlformats.org/officeDocument/2006/relationships/hyperlink" Target="https://lmstudio.ai/docs/api/openai-api?utm_source=chatgpt.com" TargetMode="External"/><Relationship Id="rId126" Type="http://schemas.openxmlformats.org/officeDocument/2006/relationships/hyperlink" Target="https://docs.ollama.com/api/usage?utm_source=chatgpt.com" TargetMode="External"/><Relationship Id="rId147" Type="http://schemas.openxmlformats.org/officeDocument/2006/relationships/fontTable" Target="fontTable.xml"/><Relationship Id="rId8" Type="http://schemas.openxmlformats.org/officeDocument/2006/relationships/hyperlink" Target="https://nist-sp-800-53-r5.bsafes.com/docs/3-1-access-control/ac-6-least-privilege/?utm_source=chatgpt.com" TargetMode="External"/><Relationship Id="rId51" Type="http://schemas.openxmlformats.org/officeDocument/2006/relationships/hyperlink" Target="https://www.dropbox.com/preview/Tore%20Alden/AI%20Stuff/Desktop%20LLM%20Project/Autonomous_Pipeline_Architecture_Guide.docx" TargetMode="External"/><Relationship Id="rId72" Type="http://schemas.openxmlformats.org/officeDocument/2006/relationships/hyperlink" Target="https://www.dropbox.com/preview/Tore%20Alden/AI%20Stuff/Desktop%20LLM%20Project/Autonomous_Pipeline_Architecture_Guide.docx" TargetMode="External"/><Relationship Id="rId93" Type="http://schemas.openxmlformats.org/officeDocument/2006/relationships/hyperlink" Target="https://nist-sp-800-53-r5.bsafes.com/docs/3-1-access-control/ac-6-least-privilege/?utm_source=chatgpt.com" TargetMode="External"/><Relationship Id="rId98" Type="http://schemas.openxmlformats.org/officeDocument/2006/relationships/hyperlink" Target="https://www.nist.gov/publications/guide-computer-security-log-management?utm_source=chatgpt.com" TargetMode="External"/><Relationship Id="rId121" Type="http://schemas.openxmlformats.org/officeDocument/2006/relationships/hyperlink" Target="https://docs.docker.com/engine/security/userns-remap/?utm_source=chatgpt.com" TargetMode="External"/><Relationship Id="rId142" Type="http://schemas.openxmlformats.org/officeDocument/2006/relationships/hyperlink" Target="https://www.postgresql.org/docs/14/continuous-archiving.html?utm_source=chatgpt.com" TargetMode="External"/><Relationship Id="rId3" Type="http://schemas.openxmlformats.org/officeDocument/2006/relationships/settings" Target="settings.xml"/><Relationship Id="rId25" Type="http://schemas.openxmlformats.org/officeDocument/2006/relationships/hyperlink" Target="https://docs.searxng.org/?utm_source=chatgpt.com" TargetMode="External"/><Relationship Id="rId46" Type="http://schemas.openxmlformats.org/officeDocument/2006/relationships/hyperlink" Target="https://www.dropbox.com/preview/Tore%20Alden/AI%20Stuff/Desktop%20LLM%20Project/Autonomous_Pipeline_Architecture_Guide.docx" TargetMode="External"/><Relationship Id="rId67" Type="http://schemas.openxmlformats.org/officeDocument/2006/relationships/hyperlink" Target="https://www.postgresql.org/docs/14/continuous-archiving.html?utm_source=chatgpt.com" TargetMode="External"/><Relationship Id="rId116" Type="http://schemas.openxmlformats.org/officeDocument/2006/relationships/hyperlink" Target="https://nist-sp-800-53-r5.bsafes.com/docs/3-3-audit-and-accountability/au-9-protection-of-audit-information/?utm_source=chatgpt.com" TargetMode="External"/><Relationship Id="rId137" Type="http://schemas.openxmlformats.org/officeDocument/2006/relationships/hyperlink" Target="https://www.eia.gov/electricity/state/?utm_source=chatgpt.com" TargetMode="External"/><Relationship Id="rId20" Type="http://schemas.openxmlformats.org/officeDocument/2006/relationships/hyperlink" Target="https://docs.anthropic.com/en/docs/mcp?utm_source=chatgpt.com" TargetMode="External"/><Relationship Id="rId41" Type="http://schemas.openxmlformats.org/officeDocument/2006/relationships/hyperlink" Target="https://nist-sp-800-53-r5.bsafes.com/docs/3-1-access-control/ac-6-least-privilege/?utm_source=chatgpt.com" TargetMode="External"/><Relationship Id="rId62" Type="http://schemas.openxmlformats.org/officeDocument/2006/relationships/hyperlink" Target="https://docs.searxng.org/?utm_source=chatgpt.com" TargetMode="External"/><Relationship Id="rId83" Type="http://schemas.openxmlformats.org/officeDocument/2006/relationships/hyperlink" Target="https://nist-sp-800-53-r5.bsafes.com/docs/3-3-audit-and-accountability/au-9-protection-of-audit-information/?utm_source=chatgpt.com" TargetMode="External"/><Relationship Id="rId88" Type="http://schemas.openxmlformats.org/officeDocument/2006/relationships/hyperlink" Target="https://www.nist.gov/publications/artificial-intelligence-risk-management-framework-ai-rmf-10?utm_source=chatgpt.com" TargetMode="External"/><Relationship Id="rId111" Type="http://schemas.openxmlformats.org/officeDocument/2006/relationships/hyperlink" Target="https://docs.searxng.org/?utm_source=chatgpt.com" TargetMode="External"/><Relationship Id="rId132" Type="http://schemas.openxmlformats.org/officeDocument/2006/relationships/hyperlink" Target="https://www.nvidia.com/en-me/geforce/graphics-cards/50-series/rtx-5080/?utm_source=chatgpt.com" TargetMode="External"/><Relationship Id="rId15" Type="http://schemas.openxmlformats.org/officeDocument/2006/relationships/hyperlink" Target="https://www.dropbox.com/preview/Tore%20Alden/AI%20Stuff/Desktop%20LLM%20Project/Autonomous_Pipeline_Architecture_Guide.docx" TargetMode="External"/><Relationship Id="rId36" Type="http://schemas.openxmlformats.org/officeDocument/2006/relationships/hyperlink" Target="https://nist-sp-800-53-r5.bsafes.com/docs/3-3-audit-and-accountability/au-9-protection-of-audit-information/?utm_source=chatgpt.com" TargetMode="External"/><Relationship Id="rId57" Type="http://schemas.openxmlformats.org/officeDocument/2006/relationships/hyperlink" Target="https://www.nvidia.com/en-me/geforce/graphics-cards/50-series/rtx-5080/?utm_source=chatgpt.com" TargetMode="External"/><Relationship Id="rId106" Type="http://schemas.openxmlformats.org/officeDocument/2006/relationships/hyperlink" Target="https://docs.anthropic.com/en/docs/mcp?utm_source=chatgpt.com" TargetMode="External"/><Relationship Id="rId127" Type="http://schemas.openxmlformats.org/officeDocument/2006/relationships/hyperlink" Target="https://docs.ollama.com/api/usage?utm_source=chatgpt.com" TargetMode="External"/><Relationship Id="rId10" Type="http://schemas.openxmlformats.org/officeDocument/2006/relationships/hyperlink" Target="https://www.nist.gov/publications/guide-computer-security-log-management?utm_source=chatgpt.com" TargetMode="External"/><Relationship Id="rId31" Type="http://schemas.openxmlformats.org/officeDocument/2006/relationships/hyperlink" Target="https://www.dropbox.com/preview/Tore%20Alden/AI%20Stuff/Desktop%20LLM%20Project/Autonomous_Pipeline_Architecture_Guide.docx" TargetMode="External"/><Relationship Id="rId52" Type="http://schemas.openxmlformats.org/officeDocument/2006/relationships/hyperlink" Target="https://opentelemetry.io/docs/concepts/signals/traces/?utm_source=chatgpt.com" TargetMode="External"/><Relationship Id="rId73" Type="http://schemas.openxmlformats.org/officeDocument/2006/relationships/hyperlink" Target="https://www.dropbox.com/preview/Tore%20Alden/AI%20Stuff/Desktop%20LLM%20Project/Autonomous_Pipeline_Architecture_Guide.docx" TargetMode="External"/><Relationship Id="rId78" Type="http://schemas.openxmlformats.org/officeDocument/2006/relationships/hyperlink" Target="https://nvlpubs.nist.gov/nistpubs/legacy/sp/nistspecialpublication800-34r1.pdf?utm_source=chatgpt.com" TargetMode="External"/><Relationship Id="rId94" Type="http://schemas.openxmlformats.org/officeDocument/2006/relationships/hyperlink" Target="https://nist-sp-800-53-r5.bsafes.com/docs/3-1-access-control/ac-6-least-privilege/?utm_source=chatgpt.com" TargetMode="External"/><Relationship Id="rId99" Type="http://schemas.openxmlformats.org/officeDocument/2006/relationships/hyperlink" Target="https://www.nist.gov/publications/guide-computer-security-log-management?utm_source=chatgpt.com" TargetMode="External"/><Relationship Id="rId101" Type="http://schemas.openxmlformats.org/officeDocument/2006/relationships/hyperlink" Target="https://owasp.org/www-project-top-10-for-large-language-model-applications/?utm_source=chatgpt.com" TargetMode="External"/><Relationship Id="rId122" Type="http://schemas.openxmlformats.org/officeDocument/2006/relationships/hyperlink" Target="https://docs.docker.com/engine/security/userns-remap/?utm_source=chatgpt.com" TargetMode="External"/><Relationship Id="rId143" Type="http://schemas.openxmlformats.org/officeDocument/2006/relationships/hyperlink" Target="https://www.postgresql.org/docs/14/continuous-archiving.html?utm_source=chatgpt.com"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dropbox.com/preview/Tore%20Alden/AI%20Stuff/Desktop%20LLM%20Project/Autonomous_Pipeline_Architecture_Guide.docx" TargetMode="External"/><Relationship Id="rId26" Type="http://schemas.openxmlformats.org/officeDocument/2006/relationships/hyperlink" Target="https://neo4j.com/docs/getting-started/graph-database/?utm_source=chatgpt.com" TargetMode="External"/><Relationship Id="rId47" Type="http://schemas.openxmlformats.org/officeDocument/2006/relationships/hyperlink" Target="https://owasp.org/www-project-top-10-for-large-language-model-applications/?utm_source=chatgpt.com" TargetMode="External"/><Relationship Id="rId68" Type="http://schemas.openxmlformats.org/officeDocument/2006/relationships/hyperlink" Target="https://nist-sp-800-53-r5.bsafes.com/docs/3-3-audit-and-accountability/au-9-protection-of-audit-information/?utm_source=chatgpt.com" TargetMode="External"/><Relationship Id="rId89" Type="http://schemas.openxmlformats.org/officeDocument/2006/relationships/hyperlink" Target="https://www.dropbox.com/preview/Tore%20Alden/AI%20Stuff/Desktop%20LLM%20Project/Autonomous_Pipeline_Architecture_Guide.docx" TargetMode="External"/><Relationship Id="rId112" Type="http://schemas.openxmlformats.org/officeDocument/2006/relationships/hyperlink" Target="https://docs.searxng.org/?utm_source=chatgpt.com" TargetMode="External"/><Relationship Id="rId133" Type="http://schemas.openxmlformats.org/officeDocument/2006/relationships/hyperlink" Target="https://www.nvidia.com/en-me/geforce/graphics-cards/50-series/rtx-5080/?utm_source=chatgpt.com" TargetMode="External"/><Relationship Id="rId16" Type="http://schemas.openxmlformats.org/officeDocument/2006/relationships/hyperlink" Target="https://www.dropbox.com/preview/Tore%20Alden/AI%20Stuff/Desktop%20LLM%20Project/Autonomous_Pipeline_Architecture_Guide.docx" TargetMode="External"/><Relationship Id="rId37" Type="http://schemas.openxmlformats.org/officeDocument/2006/relationships/hyperlink" Target="https://nist-sp-800-53-r5.bsafes.com/docs/3-3-audit-and-accountability/au-9-protection-of-audit-information/?utm_source=chatgpt.com" TargetMode="External"/><Relationship Id="rId58" Type="http://schemas.openxmlformats.org/officeDocument/2006/relationships/hyperlink" Target="https://www.anthropic.com/pricing?utm_source=chatgpt.com" TargetMode="External"/><Relationship Id="rId79" Type="http://schemas.openxmlformats.org/officeDocument/2006/relationships/hyperlink" Target="https://docs.ollama.com/api/usage?utm_source=chatgpt.com" TargetMode="External"/><Relationship Id="rId102" Type="http://schemas.openxmlformats.org/officeDocument/2006/relationships/hyperlink" Target="https://owasp.org/www-project-top-10-for-large-language-model-applications/?utm_source=chatgpt.com" TargetMode="External"/><Relationship Id="rId123" Type="http://schemas.openxmlformats.org/officeDocument/2006/relationships/hyperlink" Target="https://docs.docker.com/engine/security/userns-remap/?utm_source=chatgpt.com" TargetMode="External"/><Relationship Id="rId144" Type="http://schemas.openxmlformats.org/officeDocument/2006/relationships/hyperlink" Target="https://www.nist.gov/publications/artificial-intelligence-risk-management-framework-ai-rmf-1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6003</Words>
  <Characters>41003</Characters>
  <Application>Microsoft Office Word</Application>
  <DocSecurity>0</DocSecurity>
  <Lines>1464</Lines>
  <Paragraphs>1343</Paragraphs>
  <ScaleCrop>false</ScaleCrop>
  <Company/>
  <LinksUpToDate>false</LinksUpToDate>
  <CharactersWithSpaces>45663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2026-03-02T08:16:00Z</dcterms:created>
  <dcterms:modified xsi:type="dcterms:W3CDTF">2026-03-02T08:16:00Z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