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EA46" w14:textId="23A3A034" w:rsidR="00536E09" w:rsidRDefault="00536E09">
      <w:r>
        <w:t xml:space="preserve">The biomass-based diesel (BBD) feedstock markets remain volatile but well supported as the Middle Eastern conflict continues to drive energy prices higher. Soybean oil futures have risen by more than 30 percent since bottoming in mid-December below 50 cents per pound, basis the nearby contract. Whether prices are going to experience another 2020 style blow-out remains to be seen and is entirely dependent on energy prices and the war in the Middle East. </w:t>
      </w:r>
    </w:p>
    <w:p w14:paraId="1A5E60C3" w14:textId="2E56945F" w:rsidR="004D1D0E" w:rsidRDefault="00536E09">
      <w:r>
        <w:t xml:space="preserve">The BBD feedstock markets are not the only </w:t>
      </w:r>
      <w:r w:rsidR="00F12A37">
        <w:t xml:space="preserve">Volatility remains elevated across commodity markets as the conflict in the Middle East </w:t>
      </w:r>
      <w:r w:rsidR="002102D0">
        <w:t>continues to roil energy markets. Heating oil futures have risen to test the 2023 highs, jumping from the upper end of the wide-trading range between $2 per gallon to $2.60 per gallon that the market has been in since early 2024.</w:t>
      </w:r>
      <w:r w:rsidR="00D10744">
        <w:t xml:space="preserve"> The jump in prices supports the current soybean oil value, but how much higher can prices rise?</w:t>
      </w:r>
    </w:p>
    <w:p w14:paraId="318D8AB7" w14:textId="28DF9D40" w:rsidR="00D10744" w:rsidRDefault="00D10744">
      <w:r>
        <w:t xml:space="preserve">From a technical perspective the continuous nearby contract is testing the 2023 highs, like many commodity markets in the last week. But </w:t>
      </w:r>
      <w:r w:rsidR="00BD0EC8">
        <w:t xml:space="preserve">as the accompanying </w:t>
      </w:r>
      <w:r w:rsidR="00674B3E">
        <w:t xml:space="preserve">breakdown </w:t>
      </w:r>
      <w:r w:rsidR="00BD0EC8">
        <w:t xml:space="preserve">table indicates, at current levels, soybean oil prices could rise by another 15 cents. </w:t>
      </w:r>
    </w:p>
    <w:p w14:paraId="6277FC4C" w14:textId="4668A859" w:rsidR="00674B3E" w:rsidRDefault="00674B3E" w:rsidP="00674B3E">
      <w:r w:rsidRPr="00674B3E">
        <w:drawing>
          <wp:anchor distT="0" distB="0" distL="114300" distR="114300" simplePos="0" relativeHeight="251658240" behindDoc="0" locked="0" layoutInCell="1" allowOverlap="1" wp14:anchorId="426ABCB7" wp14:editId="0EA709B7">
            <wp:simplePos x="0" y="0"/>
            <wp:positionH relativeFrom="column">
              <wp:posOffset>0</wp:posOffset>
            </wp:positionH>
            <wp:positionV relativeFrom="paragraph">
              <wp:posOffset>-3175</wp:posOffset>
            </wp:positionV>
            <wp:extent cx="4000729" cy="3914775"/>
            <wp:effectExtent l="0" t="0" r="0" b="0"/>
            <wp:wrapSquare wrapText="bothSides"/>
            <wp:docPr id="499194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00729" cy="3914775"/>
                    </a:xfrm>
                    <a:prstGeom prst="rect">
                      <a:avLst/>
                    </a:prstGeom>
                    <a:noFill/>
                    <a:ln>
                      <a:noFill/>
                    </a:ln>
                  </pic:spPr>
                </pic:pic>
              </a:graphicData>
            </a:graphic>
          </wp:anchor>
        </w:drawing>
      </w:r>
      <w:r>
        <w:t xml:space="preserve">The BBD feedstock value of soybean oil and other feedstocks is typically thought of as a floor to prices. </w:t>
      </w:r>
      <w:r w:rsidR="00DA5175">
        <w:t>When soybean oil, or used cooking oil, or tallow, or any other feedstock price falls to a level that implies profitability for BBD producers, it should raise demand and support prices. So, in theory, that value, in this case 81.61 cents per pound, should be the lowest value at which the commodity trades.</w:t>
      </w:r>
    </w:p>
    <w:p w14:paraId="78683AD3" w14:textId="77777777" w:rsidR="007A1AA7" w:rsidRDefault="00DA5175" w:rsidP="00674B3E">
      <w:r>
        <w:t xml:space="preserve">Before taking out a second mortgage and investing it all in soybean oil futures, traders should understand the current market conditions and what the price really implies. While the relatively simple calculation of the profitability of soybean oil in BBD production suggests that prices should move </w:t>
      </w:r>
      <w:r>
        <w:lastRenderedPageBreak/>
        <w:t>higher</w:t>
      </w:r>
      <w:r w:rsidR="007A1AA7">
        <w:t>,</w:t>
      </w:r>
      <w:r>
        <w:t xml:space="preserve"> BBD </w:t>
      </w:r>
      <w:r w:rsidR="007A1AA7">
        <w:t xml:space="preserve">profitability </w:t>
      </w:r>
      <w:r>
        <w:t>is obviously not the only variable determining the price level.</w:t>
      </w:r>
      <w:r w:rsidR="007A1AA7">
        <w:t xml:space="preserve"> While</w:t>
      </w:r>
      <w:r>
        <w:t xml:space="preserve"> </w:t>
      </w:r>
      <w:r w:rsidR="00F80835">
        <w:t xml:space="preserve">BBD feedstock </w:t>
      </w:r>
      <w:r w:rsidR="007A1AA7">
        <w:t xml:space="preserve">usage </w:t>
      </w:r>
      <w:r w:rsidR="00F80835">
        <w:t xml:space="preserve">accounts for roughly 40-45 percent of total </w:t>
      </w:r>
      <w:r w:rsidR="007A1AA7">
        <w:t xml:space="preserve">domestic </w:t>
      </w:r>
      <w:r w:rsidR="00F80835">
        <w:t xml:space="preserve">US </w:t>
      </w:r>
      <w:r w:rsidR="007A1AA7">
        <w:t xml:space="preserve">monthly soybean oil </w:t>
      </w:r>
      <w:r w:rsidR="00F80835">
        <w:t xml:space="preserve">consumption (including exports). The </w:t>
      </w:r>
      <w:r w:rsidR="007A1AA7">
        <w:t>remaining 55-60 percent</w:t>
      </w:r>
      <w:r w:rsidR="00F80835">
        <w:t xml:space="preserve"> of usage is divided between non-biofuel use and exports. </w:t>
      </w:r>
    </w:p>
    <w:p w14:paraId="5D282BC0" w14:textId="77777777" w:rsidR="007A1AA7" w:rsidRDefault="007A1AA7" w:rsidP="00674B3E"/>
    <w:p w14:paraId="3CD36BAC" w14:textId="51A5B546" w:rsidR="00DA5175" w:rsidRDefault="00F80835" w:rsidP="00674B3E">
      <w:r>
        <w:t>Both markets have different economics and incentives and impact on the outlook for soybean oil prices.</w:t>
      </w:r>
    </w:p>
    <w:sectPr w:rsidR="00DA5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24B"/>
    <w:rsid w:val="00007712"/>
    <w:rsid w:val="002102D0"/>
    <w:rsid w:val="003E6A00"/>
    <w:rsid w:val="004D1D0E"/>
    <w:rsid w:val="00536E09"/>
    <w:rsid w:val="00665A6F"/>
    <w:rsid w:val="00674B3E"/>
    <w:rsid w:val="006831D1"/>
    <w:rsid w:val="007633F0"/>
    <w:rsid w:val="007A1AA7"/>
    <w:rsid w:val="008601F4"/>
    <w:rsid w:val="00BC6757"/>
    <w:rsid w:val="00BD0EC8"/>
    <w:rsid w:val="00C2324B"/>
    <w:rsid w:val="00D10744"/>
    <w:rsid w:val="00DA5175"/>
    <w:rsid w:val="00DE1007"/>
    <w:rsid w:val="00F12A37"/>
    <w:rsid w:val="00F80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6822"/>
  <w15:chartTrackingRefBased/>
  <w15:docId w15:val="{0EE82774-0A08-4EAC-867B-88D57B39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24B"/>
    <w:rPr>
      <w:rFonts w:eastAsiaTheme="majorEastAsia" w:cstheme="majorBidi"/>
      <w:color w:val="272727" w:themeColor="text1" w:themeTint="D8"/>
    </w:rPr>
  </w:style>
  <w:style w:type="paragraph" w:styleId="Title">
    <w:name w:val="Title"/>
    <w:basedOn w:val="Normal"/>
    <w:next w:val="Normal"/>
    <w:link w:val="TitleChar"/>
    <w:uiPriority w:val="10"/>
    <w:qFormat/>
    <w:rsid w:val="00C23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24B"/>
    <w:pPr>
      <w:spacing w:before="160"/>
      <w:jc w:val="center"/>
    </w:pPr>
    <w:rPr>
      <w:i/>
      <w:iCs/>
      <w:color w:val="404040" w:themeColor="text1" w:themeTint="BF"/>
    </w:rPr>
  </w:style>
  <w:style w:type="character" w:customStyle="1" w:styleId="QuoteChar">
    <w:name w:val="Quote Char"/>
    <w:basedOn w:val="DefaultParagraphFont"/>
    <w:link w:val="Quote"/>
    <w:uiPriority w:val="29"/>
    <w:rsid w:val="00C2324B"/>
    <w:rPr>
      <w:i/>
      <w:iCs/>
      <w:color w:val="404040" w:themeColor="text1" w:themeTint="BF"/>
    </w:rPr>
  </w:style>
  <w:style w:type="paragraph" w:styleId="ListParagraph">
    <w:name w:val="List Paragraph"/>
    <w:basedOn w:val="Normal"/>
    <w:uiPriority w:val="34"/>
    <w:qFormat/>
    <w:rsid w:val="00C2324B"/>
    <w:pPr>
      <w:ind w:left="720"/>
      <w:contextualSpacing/>
    </w:pPr>
  </w:style>
  <w:style w:type="character" w:styleId="IntenseEmphasis">
    <w:name w:val="Intense Emphasis"/>
    <w:basedOn w:val="DefaultParagraphFont"/>
    <w:uiPriority w:val="21"/>
    <w:qFormat/>
    <w:rsid w:val="00C2324B"/>
    <w:rPr>
      <w:i/>
      <w:iCs/>
      <w:color w:val="0F4761" w:themeColor="accent1" w:themeShade="BF"/>
    </w:rPr>
  </w:style>
  <w:style w:type="paragraph" w:styleId="IntenseQuote">
    <w:name w:val="Intense Quote"/>
    <w:basedOn w:val="Normal"/>
    <w:next w:val="Normal"/>
    <w:link w:val="IntenseQuoteChar"/>
    <w:uiPriority w:val="30"/>
    <w:qFormat/>
    <w:rsid w:val="00C23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24B"/>
    <w:rPr>
      <w:i/>
      <w:iCs/>
      <w:color w:val="0F4761" w:themeColor="accent1" w:themeShade="BF"/>
    </w:rPr>
  </w:style>
  <w:style w:type="character" w:styleId="IntenseReference">
    <w:name w:val="Intense Reference"/>
    <w:basedOn w:val="DefaultParagraphFont"/>
    <w:uiPriority w:val="32"/>
    <w:qFormat/>
    <w:rsid w:val="00C23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1972</Characters>
  <Application>Microsoft Office Word</Application>
  <DocSecurity>0</DocSecurity>
  <Lines>37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2026-03-04T09:05:00Z</dcterms:created>
  <dcterms:modified xsi:type="dcterms:W3CDTF">2026-03-08T10:32:00Z</dcterms:modified>
</cp:coreProperties>
</file>