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6470" w14:textId="40C7131F" w:rsidR="00845D9A" w:rsidRPr="00EE59DA" w:rsidRDefault="00A51D3C" w:rsidP="002E6062">
      <w:pPr>
        <w:jc w:val="both"/>
        <w:rPr>
          <w:rFonts w:ascii="Google Sans" w:hAnsi="Google Sans" w:hint="eastAsia"/>
          <w:sz w:val="20"/>
          <w:szCs w:val="20"/>
        </w:rPr>
      </w:pPr>
      <w:r w:rsidRPr="00EE59DA">
        <w:rPr>
          <w:rFonts w:ascii="Google Sans" w:hAnsi="Google Sans"/>
          <w:sz w:val="20"/>
          <w:szCs w:val="20"/>
        </w:rPr>
        <w:t xml:space="preserve">On Monday, markets were whipped by the extreme volatility in the energy markets as traders </w:t>
      </w:r>
      <w:r w:rsidR="00EE59DA" w:rsidRPr="00EE59DA">
        <w:rPr>
          <w:rFonts w:ascii="Google Sans" w:hAnsi="Google Sans"/>
          <w:sz w:val="20"/>
          <w:szCs w:val="20"/>
        </w:rPr>
        <w:t>continued</w:t>
      </w:r>
      <w:r w:rsidRPr="00EE59DA">
        <w:rPr>
          <w:rFonts w:ascii="Google Sans" w:hAnsi="Google Sans"/>
          <w:sz w:val="20"/>
          <w:szCs w:val="20"/>
        </w:rPr>
        <w:t xml:space="preserve"> to react to headlines coming out of the Middle East. </w:t>
      </w:r>
      <w:r w:rsidR="00845D9A" w:rsidRPr="00EE59DA">
        <w:rPr>
          <w:rFonts w:ascii="Google Sans" w:hAnsi="Google Sans"/>
          <w:sz w:val="20"/>
          <w:szCs w:val="20"/>
        </w:rPr>
        <w:t xml:space="preserve">Nearby corn futures, like most of the agricultural markets, opened at a fresh high for the recent move, before a sharp </w:t>
      </w:r>
      <w:r w:rsidR="00EE59DA" w:rsidRPr="00EE59DA">
        <w:rPr>
          <w:rFonts w:ascii="Google Sans" w:hAnsi="Google Sans"/>
          <w:sz w:val="20"/>
          <w:szCs w:val="20"/>
        </w:rPr>
        <w:t>drop</w:t>
      </w:r>
      <w:r w:rsidR="00845D9A" w:rsidRPr="00EE59DA">
        <w:rPr>
          <w:rFonts w:ascii="Google Sans" w:hAnsi="Google Sans"/>
          <w:sz w:val="20"/>
          <w:szCs w:val="20"/>
        </w:rPr>
        <w:t xml:space="preserve"> drove prices off the highs to fill the opening gap and close lower for the day. Soybeans followed the same pattern, but the sell-off was relatively muted, with the nearby contract testing and then closing below the psychologically important $12 per bushel level. The Chicago wheat market also closed below the psychologically significant $6 per bushel level, but unlike soybean futures, it closed above the critical support on Friday, only to close below the level following the afternoon sell off.</w:t>
      </w:r>
    </w:p>
    <w:p w14:paraId="23521314" w14:textId="1B13B22C" w:rsidR="002E3ACD" w:rsidRPr="00EE59DA" w:rsidRDefault="00845D9A" w:rsidP="002E6062">
      <w:pPr>
        <w:jc w:val="both"/>
        <w:rPr>
          <w:rFonts w:ascii="Google Sans" w:hAnsi="Google Sans" w:hint="eastAsia"/>
          <w:sz w:val="20"/>
          <w:szCs w:val="20"/>
        </w:rPr>
      </w:pPr>
      <w:r w:rsidRPr="00EE59DA">
        <w:rPr>
          <w:rFonts w:ascii="Google Sans" w:hAnsi="Google Sans"/>
          <w:sz w:val="20"/>
          <w:szCs w:val="20"/>
        </w:rPr>
        <w:t xml:space="preserve">All the markets responded to headlines coming out of the Middle East about the progress of the conflict in Iran. </w:t>
      </w:r>
      <w:r w:rsidR="002E3ACD" w:rsidRPr="00EE59DA">
        <w:rPr>
          <w:rFonts w:ascii="Google Sans" w:hAnsi="Google Sans"/>
          <w:sz w:val="20"/>
          <w:szCs w:val="20"/>
        </w:rPr>
        <w:t xml:space="preserve">Concerns about Iranian leadership closing the Straits of Hormuz triggered buying in the crude oil market, but ultimately President Trump’s assessment that the kinetic portion of the conflict may be closer to ending than many trader’s assumptions drove a wave of selling that pushed nearby crude oil futures up to a high of almost $115 per barrel to a close just below $95 per barrel. The move in crude oil drove the volatility in the other commodity markets, particularly the markets of related commodities, like oilseeds and feed grains (biodiesel and ethanol).  </w:t>
      </w:r>
    </w:p>
    <w:p w14:paraId="201D3E84" w14:textId="77777777" w:rsidR="00CF0561" w:rsidRPr="00EE59DA" w:rsidRDefault="002E3ACD" w:rsidP="002E6062">
      <w:pPr>
        <w:jc w:val="both"/>
        <w:rPr>
          <w:rFonts w:ascii="Google Sans" w:hAnsi="Google Sans" w:hint="eastAsia"/>
          <w:sz w:val="20"/>
          <w:szCs w:val="20"/>
        </w:rPr>
      </w:pPr>
      <w:r w:rsidRPr="00EE59DA">
        <w:rPr>
          <w:rFonts w:ascii="Google Sans" w:hAnsi="Google Sans"/>
          <w:sz w:val="20"/>
          <w:szCs w:val="20"/>
        </w:rPr>
        <w:t>The nearly $40 trading range for the day was the widest gap between high and low that appeared on the chart of the nearby contract over the last five years. While there likely has been a wider range during a single day for crude oil futures, especially if done in percent terms instead of absolute (the range for the day was roughly 50 percent of the opening price), the wide range and lower close suggests traders may have already passed peak uncertainty.</w:t>
      </w:r>
      <w:r w:rsidR="000732BE" w:rsidRPr="00EE59DA">
        <w:rPr>
          <w:rFonts w:ascii="Google Sans" w:hAnsi="Google Sans"/>
          <w:sz w:val="20"/>
          <w:szCs w:val="20"/>
        </w:rPr>
        <w:t xml:space="preserve"> Whether that is true and prices will move to reflect the fundamental supply and demand in the coming weeks depends entirely on the progress in the conflict. If President Trump’s assumption is correct, the agricultural commodity markets have likely seen the high for this move. </w:t>
      </w:r>
      <w:r w:rsidR="00CF0561" w:rsidRPr="00EE59DA">
        <w:rPr>
          <w:rFonts w:ascii="Google Sans" w:hAnsi="Google Sans"/>
          <w:sz w:val="20"/>
          <w:szCs w:val="20"/>
        </w:rPr>
        <w:t xml:space="preserve">However, this is only true if the price of oil has also already made its high for the move. </w:t>
      </w:r>
    </w:p>
    <w:p w14:paraId="50063C04" w14:textId="35AE5AB5" w:rsidR="004D1D0E" w:rsidRPr="00EE59DA" w:rsidRDefault="00CF0561" w:rsidP="002E6062">
      <w:pPr>
        <w:jc w:val="both"/>
        <w:rPr>
          <w:rFonts w:ascii="Google Sans" w:hAnsi="Google Sans" w:hint="eastAsia"/>
          <w:sz w:val="20"/>
          <w:szCs w:val="20"/>
        </w:rPr>
      </w:pPr>
      <w:r w:rsidRPr="00EE59DA">
        <w:rPr>
          <w:rFonts w:ascii="Google Sans" w:hAnsi="Google Sans"/>
          <w:sz w:val="20"/>
          <w:szCs w:val="20"/>
        </w:rPr>
        <w:t xml:space="preserve">In the weekly </w:t>
      </w:r>
      <w:r w:rsidRPr="00EE59DA">
        <w:rPr>
          <w:rFonts w:ascii="Google Sans" w:hAnsi="Google Sans"/>
          <w:i/>
          <w:iCs/>
          <w:sz w:val="20"/>
          <w:szCs w:val="20"/>
        </w:rPr>
        <w:t xml:space="preserve">Export Inspections </w:t>
      </w:r>
      <w:r w:rsidRPr="00EE59DA">
        <w:rPr>
          <w:rFonts w:ascii="Google Sans" w:hAnsi="Google Sans"/>
          <w:sz w:val="20"/>
          <w:szCs w:val="20"/>
        </w:rPr>
        <w:t>report</w:t>
      </w:r>
      <w:r w:rsidR="00E44176" w:rsidRPr="00EE59DA">
        <w:rPr>
          <w:rFonts w:ascii="Google Sans" w:hAnsi="Google Sans"/>
          <w:sz w:val="20"/>
          <w:szCs w:val="20"/>
        </w:rPr>
        <w:t>, USDA reported corn shipments totaled 1.52 million tonnes for the week ending March 5. The total was down from 1.86 million tonnes during the prior week and 1.84 million for the same week last year.</w:t>
      </w:r>
      <w:r w:rsidRPr="00EE59DA">
        <w:rPr>
          <w:rFonts w:ascii="Google Sans" w:hAnsi="Google Sans"/>
          <w:sz w:val="20"/>
          <w:szCs w:val="20"/>
        </w:rPr>
        <w:t xml:space="preserve"> </w:t>
      </w:r>
      <w:r w:rsidR="002E3ACD" w:rsidRPr="00EE59DA">
        <w:rPr>
          <w:rFonts w:ascii="Google Sans" w:hAnsi="Google Sans"/>
          <w:sz w:val="20"/>
          <w:szCs w:val="20"/>
        </w:rPr>
        <w:t xml:space="preserve"> </w:t>
      </w:r>
      <w:r w:rsidR="00E44176" w:rsidRPr="00EE59DA">
        <w:rPr>
          <w:rFonts w:ascii="Google Sans" w:hAnsi="Google Sans"/>
          <w:sz w:val="20"/>
          <w:szCs w:val="20"/>
        </w:rPr>
        <w:t xml:space="preserve">Cumulative shipments of 41.2 million tonnes were up 42 percent from the 29.1 million tonnes shipped through the first week of March in 2025. </w:t>
      </w:r>
    </w:p>
    <w:p w14:paraId="6A1E4D19" w14:textId="585F25BB" w:rsidR="00E44176" w:rsidRPr="00EE59DA" w:rsidRDefault="00E44176" w:rsidP="002E6062">
      <w:pPr>
        <w:jc w:val="both"/>
        <w:rPr>
          <w:rFonts w:ascii="Google Sans" w:hAnsi="Google Sans" w:hint="eastAsia"/>
          <w:sz w:val="20"/>
          <w:szCs w:val="20"/>
        </w:rPr>
      </w:pPr>
      <w:r w:rsidRPr="00EE59DA">
        <w:rPr>
          <w:rFonts w:ascii="Google Sans" w:hAnsi="Google Sans"/>
          <w:sz w:val="20"/>
          <w:szCs w:val="20"/>
        </w:rPr>
        <w:t xml:space="preserve">USDA reported US soybean shipments during the week totaled 879,190 tonnes, down from 1.16 million last week, but ahead of the 857,466 tonnes of soybeans shipped during the same week in 2025. Cumulative shipments of 27.1 million tonnes were down 30 percent from cumulative shipments of 38.5 million tonnes during the same period </w:t>
      </w:r>
      <w:r w:rsidR="002E6062">
        <w:rPr>
          <w:rFonts w:ascii="Google Sans" w:hAnsi="Google Sans"/>
          <w:sz w:val="20"/>
          <w:szCs w:val="20"/>
        </w:rPr>
        <w:t>of the 2024/25 marketing year</w:t>
      </w:r>
      <w:r w:rsidRPr="00EE59DA">
        <w:rPr>
          <w:rFonts w:ascii="Google Sans" w:hAnsi="Google Sans"/>
          <w:sz w:val="20"/>
          <w:szCs w:val="20"/>
        </w:rPr>
        <w:t xml:space="preserve">. </w:t>
      </w:r>
    </w:p>
    <w:p w14:paraId="2FDDB19F" w14:textId="77777777" w:rsidR="002E6062" w:rsidRDefault="00E44176" w:rsidP="002E6062">
      <w:pPr>
        <w:jc w:val="both"/>
        <w:rPr>
          <w:rFonts w:ascii="Google Sans" w:hAnsi="Google Sans" w:hint="eastAsia"/>
          <w:sz w:val="20"/>
          <w:szCs w:val="20"/>
        </w:rPr>
      </w:pPr>
      <w:r w:rsidRPr="00EE59DA">
        <w:rPr>
          <w:rFonts w:ascii="Google Sans" w:hAnsi="Google Sans"/>
          <w:sz w:val="20"/>
          <w:szCs w:val="20"/>
        </w:rPr>
        <w:t xml:space="preserve">Wheat inspections </w:t>
      </w:r>
      <w:r w:rsidR="00EE59DA" w:rsidRPr="00EE59DA">
        <w:rPr>
          <w:rFonts w:ascii="Google Sans" w:hAnsi="Google Sans"/>
          <w:sz w:val="20"/>
          <w:szCs w:val="20"/>
        </w:rPr>
        <w:t xml:space="preserve">for the week totaled </w:t>
      </w:r>
      <w:r w:rsidR="002E6062">
        <w:rPr>
          <w:rFonts w:ascii="Google Sans" w:hAnsi="Google Sans"/>
          <w:sz w:val="20"/>
          <w:szCs w:val="20"/>
        </w:rPr>
        <w:t xml:space="preserve">496,108 tonnes, up from 354,518 tonnes during the prior week and 241,646 tonnes during </w:t>
      </w:r>
      <w:r w:rsidR="002E6062">
        <w:rPr>
          <w:rFonts w:ascii="Google Sans" w:hAnsi="Google Sans" w:hint="eastAsia"/>
          <w:sz w:val="20"/>
          <w:szCs w:val="20"/>
        </w:rPr>
        <w:t>the</w:t>
      </w:r>
      <w:r w:rsidR="002E6062">
        <w:rPr>
          <w:rFonts w:ascii="Google Sans" w:hAnsi="Google Sans"/>
          <w:sz w:val="20"/>
          <w:szCs w:val="20"/>
        </w:rPr>
        <w:t xml:space="preserve"> same week last year. Cumulative shipments of 19.1 million tonnes also reflected the rising demand for US wheat, up more than 20 percent from 15.9 million tonnes during the same </w:t>
      </w:r>
      <w:r w:rsidR="002E6062">
        <w:rPr>
          <w:rFonts w:ascii="Google Sans" w:hAnsi="Google Sans" w:hint="eastAsia"/>
          <w:sz w:val="20"/>
          <w:szCs w:val="20"/>
        </w:rPr>
        <w:t>period</w:t>
      </w:r>
      <w:r w:rsidR="002E6062">
        <w:rPr>
          <w:rFonts w:ascii="Google Sans" w:hAnsi="Google Sans"/>
          <w:sz w:val="20"/>
          <w:szCs w:val="20"/>
        </w:rPr>
        <w:t xml:space="preserve"> last year.</w:t>
      </w:r>
    </w:p>
    <w:p w14:paraId="1AE60F18" w14:textId="77777777" w:rsidR="0050318A" w:rsidRDefault="002E6062" w:rsidP="002E6062">
      <w:pPr>
        <w:jc w:val="both"/>
        <w:rPr>
          <w:rFonts w:ascii="Google Sans" w:hAnsi="Google Sans" w:hint="eastAsia"/>
          <w:sz w:val="20"/>
          <w:szCs w:val="20"/>
        </w:rPr>
      </w:pPr>
      <w:r>
        <w:rPr>
          <w:rFonts w:ascii="Google Sans" w:hAnsi="Google Sans"/>
          <w:sz w:val="20"/>
          <w:szCs w:val="20"/>
        </w:rPr>
        <w:t xml:space="preserve">While the current volatility </w:t>
      </w:r>
      <w:r w:rsidR="0050318A">
        <w:rPr>
          <w:rFonts w:ascii="Google Sans" w:hAnsi="Google Sans"/>
          <w:sz w:val="20"/>
          <w:szCs w:val="20"/>
        </w:rPr>
        <w:t xml:space="preserve">reflects </w:t>
      </w:r>
      <w:r w:rsidR="0050318A">
        <w:rPr>
          <w:rFonts w:ascii="Google Sans" w:hAnsi="Google Sans" w:hint="eastAsia"/>
          <w:sz w:val="20"/>
          <w:szCs w:val="20"/>
        </w:rPr>
        <w:t>the</w:t>
      </w:r>
      <w:r w:rsidR="0050318A">
        <w:rPr>
          <w:rFonts w:ascii="Google Sans" w:hAnsi="Google Sans"/>
          <w:sz w:val="20"/>
          <w:szCs w:val="20"/>
        </w:rPr>
        <w:t xml:space="preserve"> massive uncertainty driven primarily by the Iranian conflict, but also by other geopolitical factors that have little to no precedent for traders to mimic. The uncertainty will likely build on the current volatility, which also increases seasonally ahead of US planting. Options traders, in particular, those who trade volatility should be increasingly active, which can cause non-linear changes in market flow as they hedge price risk. </w:t>
      </w:r>
    </w:p>
    <w:p w14:paraId="33A0AA5E" w14:textId="77777777" w:rsidR="00C61F4E" w:rsidRDefault="0050318A" w:rsidP="002E6062">
      <w:pPr>
        <w:jc w:val="both"/>
        <w:rPr>
          <w:rFonts w:ascii="Google Sans" w:hAnsi="Google Sans" w:hint="eastAsia"/>
          <w:sz w:val="20"/>
          <w:szCs w:val="20"/>
        </w:rPr>
      </w:pPr>
      <w:r>
        <w:rPr>
          <w:rFonts w:ascii="Google Sans" w:hAnsi="Google Sans"/>
          <w:sz w:val="20"/>
          <w:szCs w:val="20"/>
        </w:rPr>
        <w:lastRenderedPageBreak/>
        <w:t xml:space="preserve">The result of the current set of fundamentals, sentiment, and flow will continue to be volatile and driven by uncertainty until 1. </w:t>
      </w:r>
      <w:r>
        <w:rPr>
          <w:rFonts w:ascii="Google Sans" w:hAnsi="Google Sans" w:hint="eastAsia"/>
          <w:sz w:val="20"/>
          <w:szCs w:val="20"/>
        </w:rPr>
        <w:t>T</w:t>
      </w:r>
      <w:r>
        <w:rPr>
          <w:rFonts w:ascii="Google Sans" w:hAnsi="Google Sans"/>
          <w:sz w:val="20"/>
          <w:szCs w:val="20"/>
        </w:rPr>
        <w:t xml:space="preserve">he resolution of the conflict in Iran (although I read an article today that posited the end of the shooting would be when the real rally starts in the energy markets). 2. </w:t>
      </w:r>
      <w:r>
        <w:rPr>
          <w:rFonts w:ascii="Google Sans" w:hAnsi="Google Sans" w:hint="eastAsia"/>
          <w:sz w:val="20"/>
          <w:szCs w:val="20"/>
        </w:rPr>
        <w:t>T</w:t>
      </w:r>
      <w:r>
        <w:rPr>
          <w:rFonts w:ascii="Google Sans" w:hAnsi="Google Sans"/>
          <w:sz w:val="20"/>
          <w:szCs w:val="20"/>
        </w:rPr>
        <w:t xml:space="preserve">he release of the </w:t>
      </w:r>
      <w:r>
        <w:rPr>
          <w:rFonts w:ascii="Google Sans" w:hAnsi="Google Sans"/>
          <w:i/>
          <w:iCs/>
          <w:sz w:val="20"/>
          <w:szCs w:val="20"/>
        </w:rPr>
        <w:t xml:space="preserve">Prospective Plantings </w:t>
      </w:r>
      <w:r>
        <w:rPr>
          <w:rFonts w:ascii="Google Sans" w:hAnsi="Google Sans"/>
          <w:sz w:val="20"/>
          <w:szCs w:val="20"/>
        </w:rPr>
        <w:t xml:space="preserve">report at the end of the month. That said, the underlying fundamentals of the market are also not </w:t>
      </w:r>
      <w:r w:rsidR="00C61F4E">
        <w:rPr>
          <w:rFonts w:ascii="Google Sans" w:hAnsi="Google Sans"/>
          <w:sz w:val="20"/>
          <w:szCs w:val="20"/>
        </w:rPr>
        <w:t>completely straightforward.</w:t>
      </w:r>
    </w:p>
    <w:p w14:paraId="47BD828B" w14:textId="7055FA65" w:rsidR="00C61F4E" w:rsidRDefault="00C61F4E" w:rsidP="002E6062">
      <w:pPr>
        <w:jc w:val="both"/>
        <w:rPr>
          <w:rFonts w:ascii="Google Sans" w:hAnsi="Google Sans" w:hint="eastAsia"/>
          <w:sz w:val="20"/>
          <w:szCs w:val="20"/>
        </w:rPr>
      </w:pPr>
      <w:r>
        <w:rPr>
          <w:rFonts w:ascii="Google Sans" w:hAnsi="Google Sans"/>
          <w:sz w:val="20"/>
          <w:szCs w:val="20"/>
        </w:rPr>
        <w:t xml:space="preserve">The current </w:t>
      </w:r>
      <w:r>
        <w:rPr>
          <w:rFonts w:ascii="Google Sans" w:hAnsi="Google Sans" w:hint="eastAsia"/>
          <w:sz w:val="20"/>
          <w:szCs w:val="20"/>
        </w:rPr>
        <w:t>market</w:t>
      </w:r>
      <w:r>
        <w:rPr>
          <w:rFonts w:ascii="Google Sans" w:hAnsi="Google Sans"/>
          <w:sz w:val="20"/>
          <w:szCs w:val="20"/>
        </w:rPr>
        <w:t xml:space="preserve"> features ample supply, but robust demand for exports in the corn and wheat </w:t>
      </w:r>
      <w:r w:rsidR="00C35E12">
        <w:rPr>
          <w:rFonts w:ascii="Google Sans" w:hAnsi="Google Sans"/>
          <w:sz w:val="20"/>
          <w:szCs w:val="20"/>
        </w:rPr>
        <w:t>markets and</w:t>
      </w:r>
      <w:r>
        <w:rPr>
          <w:rFonts w:ascii="Google Sans" w:hAnsi="Google Sans"/>
          <w:sz w:val="20"/>
          <w:szCs w:val="20"/>
        </w:rPr>
        <w:t xml:space="preserve"> crushing in the soybean markets continue to support prices and basis levels. The demand can be harder to see than the supply, making it easy to assume prices will fall due to the increasingly large volumes of supply coming out of </w:t>
      </w:r>
      <w:r>
        <w:rPr>
          <w:rFonts w:ascii="Google Sans" w:hAnsi="Google Sans" w:hint="eastAsia"/>
          <w:sz w:val="20"/>
          <w:szCs w:val="20"/>
        </w:rPr>
        <w:t>the</w:t>
      </w:r>
      <w:r>
        <w:rPr>
          <w:rFonts w:ascii="Google Sans" w:hAnsi="Google Sans"/>
          <w:sz w:val="20"/>
          <w:szCs w:val="20"/>
        </w:rPr>
        <w:t xml:space="preserve"> fields every year. Once harvest finishes, we pretty much have an idea of the supply, but the demand comes monthly, with data verification months behind the event, causing the impact of real time demand on prices to be harder to understand and predict. The real</w:t>
      </w:r>
      <w:r w:rsidR="00C35E12">
        <w:rPr>
          <w:rFonts w:ascii="Google Sans" w:hAnsi="Google Sans"/>
          <w:sz w:val="20"/>
          <w:szCs w:val="20"/>
        </w:rPr>
        <w:t>-</w:t>
      </w:r>
      <w:r>
        <w:rPr>
          <w:rFonts w:ascii="Google Sans" w:hAnsi="Google Sans"/>
          <w:sz w:val="20"/>
          <w:szCs w:val="20"/>
        </w:rPr>
        <w:t xml:space="preserve">time demand and the </w:t>
      </w:r>
      <w:r w:rsidR="00C35E12">
        <w:rPr>
          <w:rFonts w:ascii="Google Sans" w:hAnsi="Google Sans"/>
          <w:sz w:val="20"/>
          <w:szCs w:val="20"/>
        </w:rPr>
        <w:t>economics driving</w:t>
      </w:r>
      <w:r>
        <w:rPr>
          <w:rFonts w:ascii="Google Sans" w:hAnsi="Google Sans"/>
          <w:sz w:val="20"/>
          <w:szCs w:val="20"/>
        </w:rPr>
        <w:t xml:space="preserve"> the real time demand can also </w:t>
      </w:r>
      <w:r w:rsidR="00C35E12">
        <w:rPr>
          <w:rFonts w:ascii="Google Sans" w:hAnsi="Google Sans"/>
          <w:sz w:val="20"/>
          <w:szCs w:val="20"/>
        </w:rPr>
        <w:t>shift</w:t>
      </w:r>
      <w:r w:rsidR="00C35E12">
        <w:rPr>
          <w:rFonts w:ascii="Google Sans" w:hAnsi="Google Sans" w:hint="eastAsia"/>
          <w:sz w:val="20"/>
          <w:szCs w:val="20"/>
        </w:rPr>
        <w:t>,</w:t>
      </w:r>
      <w:r>
        <w:rPr>
          <w:rFonts w:ascii="Google Sans" w:hAnsi="Google Sans"/>
          <w:sz w:val="20"/>
          <w:szCs w:val="20"/>
        </w:rPr>
        <w:t xml:space="preserve"> </w:t>
      </w:r>
      <w:r w:rsidR="00E76D72">
        <w:rPr>
          <w:rFonts w:ascii="Google Sans" w:hAnsi="Google Sans"/>
          <w:sz w:val="20"/>
          <w:szCs w:val="20"/>
        </w:rPr>
        <w:t>causing</w:t>
      </w:r>
      <w:r>
        <w:rPr>
          <w:rFonts w:ascii="Google Sans" w:hAnsi="Google Sans"/>
          <w:sz w:val="20"/>
          <w:szCs w:val="20"/>
        </w:rPr>
        <w:t xml:space="preserve"> a mid-season </w:t>
      </w:r>
      <w:r w:rsidR="00C35E12">
        <w:rPr>
          <w:rFonts w:ascii="Google Sans" w:hAnsi="Google Sans"/>
          <w:sz w:val="20"/>
          <w:szCs w:val="20"/>
        </w:rPr>
        <w:t>cha</w:t>
      </w:r>
      <w:r w:rsidR="00C35E12">
        <w:rPr>
          <w:rFonts w:ascii="Google Sans" w:hAnsi="Google Sans" w:hint="eastAsia"/>
          <w:sz w:val="20"/>
          <w:szCs w:val="20"/>
        </w:rPr>
        <w:t>nge</w:t>
      </w:r>
      <w:r>
        <w:rPr>
          <w:rFonts w:ascii="Google Sans" w:hAnsi="Google Sans"/>
          <w:sz w:val="20"/>
          <w:szCs w:val="20"/>
        </w:rPr>
        <w:t xml:space="preserve"> </w:t>
      </w:r>
      <w:r w:rsidR="00C35E12">
        <w:rPr>
          <w:rFonts w:ascii="Google Sans" w:hAnsi="Google Sans"/>
          <w:sz w:val="20"/>
          <w:szCs w:val="20"/>
        </w:rPr>
        <w:t xml:space="preserve">in the fundamental trend </w:t>
      </w:r>
      <w:r>
        <w:rPr>
          <w:rFonts w:ascii="Google Sans" w:hAnsi="Google Sans"/>
          <w:sz w:val="20"/>
          <w:szCs w:val="20"/>
        </w:rPr>
        <w:t>that does not occur on the supply side. As a result</w:t>
      </w:r>
      <w:r w:rsidR="00C35E12">
        <w:rPr>
          <w:rFonts w:ascii="Google Sans" w:hAnsi="Google Sans"/>
          <w:sz w:val="20"/>
          <w:szCs w:val="20"/>
        </w:rPr>
        <w:t xml:space="preserve"> of the relatively opaque demand picture </w:t>
      </w:r>
      <w:r w:rsidR="00C35E12">
        <w:rPr>
          <w:rFonts w:ascii="Google Sans" w:hAnsi="Google Sans" w:hint="eastAsia"/>
          <w:sz w:val="20"/>
          <w:szCs w:val="20"/>
        </w:rPr>
        <w:t>and</w:t>
      </w:r>
      <w:r w:rsidR="00C35E12">
        <w:rPr>
          <w:rFonts w:ascii="Google Sans" w:hAnsi="Google Sans"/>
          <w:sz w:val="20"/>
          <w:szCs w:val="20"/>
        </w:rPr>
        <w:t xml:space="preserve"> ample supply</w:t>
      </w:r>
      <w:r>
        <w:rPr>
          <w:rFonts w:ascii="Google Sans" w:hAnsi="Google Sans"/>
          <w:sz w:val="20"/>
          <w:szCs w:val="20"/>
        </w:rPr>
        <w:t xml:space="preserve">, some analysts, including this one, tend to be overly bearish in these markets. </w:t>
      </w:r>
    </w:p>
    <w:p w14:paraId="145E683A" w14:textId="7EC0BF1E" w:rsidR="00E44176" w:rsidRPr="00EE59DA" w:rsidRDefault="00C61F4E" w:rsidP="002E6062">
      <w:pPr>
        <w:jc w:val="both"/>
        <w:rPr>
          <w:rFonts w:ascii="Google Sans" w:hAnsi="Google Sans" w:hint="eastAsia"/>
          <w:sz w:val="20"/>
          <w:szCs w:val="20"/>
        </w:rPr>
      </w:pPr>
      <w:r>
        <w:rPr>
          <w:rFonts w:ascii="Google Sans" w:hAnsi="Google Sans"/>
          <w:sz w:val="20"/>
          <w:szCs w:val="20"/>
        </w:rPr>
        <w:t xml:space="preserve">There are bullish developments and the demand side of </w:t>
      </w:r>
      <w:r>
        <w:rPr>
          <w:rFonts w:ascii="Google Sans" w:hAnsi="Google Sans" w:hint="eastAsia"/>
          <w:sz w:val="20"/>
          <w:szCs w:val="20"/>
        </w:rPr>
        <w:t>the</w:t>
      </w:r>
      <w:r>
        <w:rPr>
          <w:rFonts w:ascii="Google Sans" w:hAnsi="Google Sans"/>
          <w:sz w:val="20"/>
          <w:szCs w:val="20"/>
        </w:rPr>
        <w:t xml:space="preserve"> balance sheet remains robust across the three major US row crops, so traders can also backup bullish views. However, the bottom line remains that uncertainty and volatility are likely </w:t>
      </w:r>
      <w:r w:rsidR="00C35E12">
        <w:rPr>
          <w:rFonts w:ascii="Google Sans" w:hAnsi="Google Sans"/>
          <w:sz w:val="20"/>
          <w:szCs w:val="20"/>
        </w:rPr>
        <w:t>to support</w:t>
      </w:r>
      <w:r>
        <w:rPr>
          <w:rFonts w:ascii="Google Sans" w:hAnsi="Google Sans"/>
          <w:sz w:val="20"/>
          <w:szCs w:val="20"/>
        </w:rPr>
        <w:t xml:space="preserve"> prices at higher levels than the fundamentals, even with the strong demand, support. As a result, it seems likely that as the uncertainty declines and the volatility recedes, prices will decline as speculative liquidity exits the market. </w:t>
      </w:r>
      <w:r w:rsidR="00C35E12">
        <w:rPr>
          <w:rFonts w:ascii="Google Sans" w:hAnsi="Google Sans" w:hint="eastAsia"/>
          <w:sz w:val="20"/>
          <w:szCs w:val="20"/>
        </w:rPr>
        <w:t>I</w:t>
      </w:r>
      <w:r w:rsidR="00C35E12">
        <w:rPr>
          <w:rFonts w:ascii="Google Sans" w:hAnsi="Google Sans"/>
          <w:sz w:val="20"/>
          <w:szCs w:val="20"/>
        </w:rPr>
        <w:t>n the meantime, prices could run higher both sentiment and moment could continue to drive the rally with some markets potentially testing 2022 highs.</w:t>
      </w:r>
      <w:r w:rsidR="0050318A">
        <w:rPr>
          <w:rFonts w:ascii="Google Sans" w:hAnsi="Google Sans"/>
          <w:sz w:val="20"/>
          <w:szCs w:val="20"/>
        </w:rPr>
        <w:t xml:space="preserve"> </w:t>
      </w:r>
      <w:r w:rsidR="002E6062">
        <w:rPr>
          <w:rFonts w:ascii="Google Sans" w:hAnsi="Google Sans"/>
          <w:sz w:val="20"/>
          <w:szCs w:val="20"/>
        </w:rPr>
        <w:t xml:space="preserve"> </w:t>
      </w:r>
    </w:p>
    <w:sectPr w:rsidR="00E44176" w:rsidRPr="00EE59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E752" w14:textId="77777777" w:rsidR="00751A57" w:rsidRDefault="00751A57" w:rsidP="00E76D72">
      <w:pPr>
        <w:spacing w:after="0" w:line="240" w:lineRule="auto"/>
      </w:pPr>
      <w:r>
        <w:separator/>
      </w:r>
    </w:p>
  </w:endnote>
  <w:endnote w:type="continuationSeparator" w:id="0">
    <w:p w14:paraId="70F89443" w14:textId="77777777" w:rsidR="00751A57" w:rsidRDefault="00751A57" w:rsidP="00E76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B95A" w14:textId="77777777" w:rsidR="00751A57" w:rsidRDefault="00751A57" w:rsidP="00E76D72">
      <w:pPr>
        <w:spacing w:after="0" w:line="240" w:lineRule="auto"/>
      </w:pPr>
      <w:r>
        <w:separator/>
      </w:r>
    </w:p>
  </w:footnote>
  <w:footnote w:type="continuationSeparator" w:id="0">
    <w:p w14:paraId="5F5B250F" w14:textId="77777777" w:rsidR="00751A57" w:rsidRDefault="00751A57" w:rsidP="00E76D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3C"/>
    <w:rsid w:val="00007712"/>
    <w:rsid w:val="000732BE"/>
    <w:rsid w:val="002E3ACD"/>
    <w:rsid w:val="002E6062"/>
    <w:rsid w:val="004D1D0E"/>
    <w:rsid w:val="0050318A"/>
    <w:rsid w:val="00665A6F"/>
    <w:rsid w:val="00751A57"/>
    <w:rsid w:val="00845D9A"/>
    <w:rsid w:val="00A51D3C"/>
    <w:rsid w:val="00C35E12"/>
    <w:rsid w:val="00C61F4E"/>
    <w:rsid w:val="00CF0561"/>
    <w:rsid w:val="00DE1007"/>
    <w:rsid w:val="00E44176"/>
    <w:rsid w:val="00E76D72"/>
    <w:rsid w:val="00EE5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D322A"/>
  <w15:chartTrackingRefBased/>
  <w15:docId w15:val="{6A55D34B-17D6-44DC-ACE4-A9633E90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3C"/>
    <w:rPr>
      <w:rFonts w:eastAsiaTheme="majorEastAsia" w:cstheme="majorBidi"/>
      <w:color w:val="272727" w:themeColor="text1" w:themeTint="D8"/>
    </w:rPr>
  </w:style>
  <w:style w:type="paragraph" w:styleId="Title">
    <w:name w:val="Title"/>
    <w:basedOn w:val="Normal"/>
    <w:next w:val="Normal"/>
    <w:link w:val="TitleChar"/>
    <w:uiPriority w:val="10"/>
    <w:qFormat/>
    <w:rsid w:val="00A5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3C"/>
    <w:pPr>
      <w:spacing w:before="160"/>
      <w:jc w:val="center"/>
    </w:pPr>
    <w:rPr>
      <w:i/>
      <w:iCs/>
      <w:color w:val="404040" w:themeColor="text1" w:themeTint="BF"/>
    </w:rPr>
  </w:style>
  <w:style w:type="character" w:customStyle="1" w:styleId="QuoteChar">
    <w:name w:val="Quote Char"/>
    <w:basedOn w:val="DefaultParagraphFont"/>
    <w:link w:val="Quote"/>
    <w:uiPriority w:val="29"/>
    <w:rsid w:val="00A51D3C"/>
    <w:rPr>
      <w:i/>
      <w:iCs/>
      <w:color w:val="404040" w:themeColor="text1" w:themeTint="BF"/>
    </w:rPr>
  </w:style>
  <w:style w:type="paragraph" w:styleId="ListParagraph">
    <w:name w:val="List Paragraph"/>
    <w:basedOn w:val="Normal"/>
    <w:uiPriority w:val="34"/>
    <w:qFormat/>
    <w:rsid w:val="00A51D3C"/>
    <w:pPr>
      <w:ind w:left="720"/>
      <w:contextualSpacing/>
    </w:pPr>
  </w:style>
  <w:style w:type="character" w:styleId="IntenseEmphasis">
    <w:name w:val="Intense Emphasis"/>
    <w:basedOn w:val="DefaultParagraphFont"/>
    <w:uiPriority w:val="21"/>
    <w:qFormat/>
    <w:rsid w:val="00A51D3C"/>
    <w:rPr>
      <w:i/>
      <w:iCs/>
      <w:color w:val="0F4761" w:themeColor="accent1" w:themeShade="BF"/>
    </w:rPr>
  </w:style>
  <w:style w:type="paragraph" w:styleId="IntenseQuote">
    <w:name w:val="Intense Quote"/>
    <w:basedOn w:val="Normal"/>
    <w:next w:val="Normal"/>
    <w:link w:val="IntenseQuoteChar"/>
    <w:uiPriority w:val="30"/>
    <w:qFormat/>
    <w:rsid w:val="00A5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3C"/>
    <w:rPr>
      <w:i/>
      <w:iCs/>
      <w:color w:val="0F4761" w:themeColor="accent1" w:themeShade="BF"/>
    </w:rPr>
  </w:style>
  <w:style w:type="character" w:styleId="IntenseReference">
    <w:name w:val="Intense Reference"/>
    <w:basedOn w:val="DefaultParagraphFont"/>
    <w:uiPriority w:val="32"/>
    <w:qFormat/>
    <w:rsid w:val="00A51D3C"/>
    <w:rPr>
      <w:b/>
      <w:bCs/>
      <w:smallCaps/>
      <w:color w:val="0F4761" w:themeColor="accent1" w:themeShade="BF"/>
      <w:spacing w:val="5"/>
    </w:rPr>
  </w:style>
  <w:style w:type="paragraph" w:styleId="Header">
    <w:name w:val="header"/>
    <w:basedOn w:val="Normal"/>
    <w:link w:val="HeaderChar"/>
    <w:uiPriority w:val="99"/>
    <w:unhideWhenUsed/>
    <w:rsid w:val="00E76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D72"/>
  </w:style>
  <w:style w:type="paragraph" w:styleId="Footer">
    <w:name w:val="footer"/>
    <w:basedOn w:val="Normal"/>
    <w:link w:val="FooterChar"/>
    <w:uiPriority w:val="99"/>
    <w:unhideWhenUsed/>
    <w:rsid w:val="00E76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830</Words>
  <Characters>5033</Characters>
  <Application>Microsoft Office Word</Application>
  <DocSecurity>0</DocSecurity>
  <Lines>96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3</cp:revision>
  <dcterms:created xsi:type="dcterms:W3CDTF">2026-03-10T08:06:00Z</dcterms:created>
  <dcterms:modified xsi:type="dcterms:W3CDTF">2026-03-10T21:37:00Z</dcterms:modified>
</cp:coreProperties>
</file>