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DBEB0" w14:textId="77777777" w:rsidR="00B103E2" w:rsidRDefault="00B103E2">
      <w:pPr>
        <w:spacing w:after="80"/>
      </w:pPr>
    </w:p>
    <w:p w14:paraId="4AF94193" w14:textId="77777777" w:rsidR="00B103E2" w:rsidRDefault="00B103E2">
      <w:pPr>
        <w:spacing w:after="80"/>
      </w:pPr>
    </w:p>
    <w:p w14:paraId="575583DC" w14:textId="77777777" w:rsidR="00B103E2" w:rsidRDefault="00B103E2">
      <w:pPr>
        <w:spacing w:after="80"/>
      </w:pPr>
    </w:p>
    <w:p w14:paraId="06B07880" w14:textId="77777777" w:rsidR="00B103E2" w:rsidRDefault="00B103E2">
      <w:pPr>
        <w:spacing w:after="80"/>
      </w:pPr>
    </w:p>
    <w:p w14:paraId="3B0B775B" w14:textId="77777777" w:rsidR="00B103E2" w:rsidRDefault="00000000">
      <w:pPr>
        <w:spacing w:after="80"/>
        <w:jc w:val="center"/>
      </w:pPr>
      <w:proofErr w:type="gramStart"/>
      <w:r>
        <w:rPr>
          <w:b/>
          <w:bCs/>
          <w:color w:val="4A6FA5"/>
          <w:spacing w:val="200"/>
          <w:sz w:val="28"/>
          <w:szCs w:val="28"/>
        </w:rPr>
        <w:t>ROUND LAKES</w:t>
      </w:r>
      <w:proofErr w:type="gramEnd"/>
      <w:r>
        <w:rPr>
          <w:b/>
          <w:bCs/>
          <w:color w:val="4A6FA5"/>
          <w:spacing w:val="200"/>
          <w:sz w:val="28"/>
          <w:szCs w:val="28"/>
        </w:rPr>
        <w:t xml:space="preserve"> COMPANIES</w:t>
      </w:r>
    </w:p>
    <w:p w14:paraId="41EEA205" w14:textId="77777777" w:rsidR="00B103E2" w:rsidRDefault="00000000">
      <w:pPr>
        <w:pBdr>
          <w:bottom w:val="single" w:sz="4" w:space="0" w:color="C9963B"/>
        </w:pBdr>
        <w:spacing w:after="200"/>
        <w:jc w:val="center"/>
      </w:pPr>
      <w:r>
        <w:rPr>
          <w:b/>
          <w:bCs/>
          <w:color w:val="1B3A5C"/>
          <w:sz w:val="44"/>
          <w:szCs w:val="44"/>
        </w:rPr>
        <w:t>Conference Presentation Kit</w:t>
      </w:r>
    </w:p>
    <w:p w14:paraId="7ACA69FD" w14:textId="77777777" w:rsidR="00B103E2" w:rsidRDefault="00000000">
      <w:pPr>
        <w:spacing w:after="40"/>
        <w:jc w:val="center"/>
      </w:pPr>
      <w:r>
        <w:rPr>
          <w:color w:val="4A6FA5"/>
          <w:sz w:val="28"/>
          <w:szCs w:val="28"/>
        </w:rPr>
        <w:t>AI-Driven Commodity Intelligence:</w:t>
      </w:r>
    </w:p>
    <w:p w14:paraId="4250F663" w14:textId="77777777" w:rsidR="00B103E2" w:rsidRDefault="00000000">
      <w:pPr>
        <w:spacing w:after="400"/>
        <w:jc w:val="center"/>
      </w:pPr>
      <w:r>
        <w:rPr>
          <w:color w:val="4A6FA5"/>
          <w:sz w:val="28"/>
          <w:szCs w:val="28"/>
        </w:rPr>
        <w:t>From Architecture to Audit Trail</w:t>
      </w:r>
    </w:p>
    <w:p w14:paraId="370907F6" w14:textId="77777777" w:rsidR="00B103E2" w:rsidRDefault="00000000">
      <w:pPr>
        <w:spacing w:after="40"/>
        <w:jc w:val="center"/>
      </w:pPr>
      <w:r>
        <w:rPr>
          <w:color w:val="666666"/>
        </w:rPr>
        <w:t>Prepared for Tore Alden, Founder</w:t>
      </w:r>
    </w:p>
    <w:p w14:paraId="70833398" w14:textId="77777777" w:rsidR="00B103E2" w:rsidRDefault="00000000">
      <w:pPr>
        <w:spacing w:after="40"/>
        <w:jc w:val="center"/>
      </w:pPr>
      <w:r>
        <w:rPr>
          <w:color w:val="666666"/>
        </w:rPr>
        <w:t>February 2026 — Iteration 2</w:t>
      </w:r>
    </w:p>
    <w:p w14:paraId="745F3624" w14:textId="77777777" w:rsidR="00B103E2" w:rsidRDefault="00B103E2">
      <w:pPr>
        <w:spacing w:after="80"/>
      </w:pPr>
    </w:p>
    <w:p w14:paraId="03AD00E3" w14:textId="77777777" w:rsidR="00B103E2" w:rsidRDefault="00000000">
      <w:pPr>
        <w:jc w:val="center"/>
      </w:pPr>
      <w:r>
        <w:rPr>
          <w:color w:val="888888"/>
          <w:sz w:val="20"/>
          <w:szCs w:val="20"/>
        </w:rPr>
        <w:t xml:space="preserve">Primary target: </w:t>
      </w:r>
      <w:proofErr w:type="spellStart"/>
      <w:r>
        <w:rPr>
          <w:color w:val="888888"/>
          <w:sz w:val="20"/>
          <w:szCs w:val="20"/>
        </w:rPr>
        <w:t>Fastmarkets</w:t>
      </w:r>
      <w:proofErr w:type="spellEnd"/>
      <w:r>
        <w:rPr>
          <w:color w:val="888888"/>
          <w:sz w:val="20"/>
          <w:szCs w:val="20"/>
        </w:rPr>
        <w:t xml:space="preserve"> Biofuels &amp; Feedstocks Americas (May 4–6, Chicago)</w:t>
      </w:r>
    </w:p>
    <w:p w14:paraId="1F07B70B" w14:textId="77777777" w:rsidR="00B103E2" w:rsidRDefault="00000000">
      <w:r>
        <w:br w:type="page"/>
      </w:r>
    </w:p>
    <w:p w14:paraId="0605EBC7" w14:textId="77777777" w:rsidR="00B103E2" w:rsidRDefault="00000000">
      <w:pPr>
        <w:pStyle w:val="Heading1"/>
      </w:pPr>
      <w:r>
        <w:lastRenderedPageBreak/>
        <w:t>What Changed in This Iteration</w:t>
      </w:r>
    </w:p>
    <w:p w14:paraId="2C32EF69" w14:textId="77777777" w:rsidR="00B103E2" w:rsidRDefault="00000000">
      <w:pPr>
        <w:spacing w:after="120"/>
      </w:pPr>
      <w:r>
        <w:t>The prior drafts (v1) provided solid structural frameworks but read as generic “what a system could do” presentations. This iteration makes five specific improvements:</w:t>
      </w:r>
    </w:p>
    <w:p w14:paraId="391758E0" w14:textId="77777777" w:rsidR="00B103E2" w:rsidRDefault="00B103E2">
      <w:pPr>
        <w:spacing w:after="80"/>
      </w:pPr>
    </w:p>
    <w:p w14:paraId="4FB95906" w14:textId="77777777" w:rsidR="00B103E2" w:rsidRDefault="00000000">
      <w:pPr>
        <w:spacing w:after="120"/>
      </w:pPr>
      <w:r>
        <w:rPr>
          <w:b/>
          <w:bCs/>
        </w:rPr>
        <w:t xml:space="preserve">1. Grounded in your actual system. </w:t>
      </w:r>
      <w:r>
        <w:t>The talk now references your real 46-agent architecture, PostgreSQL-backed knowledge graph (200+ nodes), specific API integrations (USDA PSD, Census Bureau trade data, NOAA weather models, EIA capacity data), and production data pipelines — not hypothetical prototypes.</w:t>
      </w:r>
    </w:p>
    <w:p w14:paraId="1499183E" w14:textId="77777777" w:rsidR="00B103E2" w:rsidRDefault="00000000">
      <w:pPr>
        <w:spacing w:after="120"/>
      </w:pPr>
      <w:r>
        <w:rPr>
          <w:b/>
          <w:bCs/>
        </w:rPr>
        <w:t xml:space="preserve">2. Real project examples replace mock demos. </w:t>
      </w:r>
      <w:r>
        <w:t>Instead of placeholder “imagine a WASDE diff,” the talk can reference actual deliverables: the OIC soybean crusher due diligence ($65K PE engagement), the HOBO Renewable Fuels Landscape study (9 sections, 186+ knowledge graph nodes), and the Motiva SAF market assessment. These are proof points, not promises.</w:t>
      </w:r>
    </w:p>
    <w:p w14:paraId="5043CCED" w14:textId="77777777" w:rsidR="00B103E2" w:rsidRDefault="00000000">
      <w:pPr>
        <w:spacing w:after="120"/>
      </w:pPr>
      <w:r>
        <w:rPr>
          <w:b/>
          <w:bCs/>
        </w:rPr>
        <w:t xml:space="preserve">3. Biofuels expertise foregrounded. </w:t>
      </w:r>
      <w:r>
        <w:t>Your decade of RINs, LCFS, feedstock economics, and crush margin analysis is the moat. Generic “AI for commodities” presenters can’t match this domain depth. The talk now leads with biofuels-specific examples that demonstrate why domain expertise is the prerequisite for useful AI systems.</w:t>
      </w:r>
    </w:p>
    <w:p w14:paraId="54198819" w14:textId="77777777" w:rsidR="00B103E2" w:rsidRDefault="00000000">
      <w:pPr>
        <w:spacing w:after="120"/>
      </w:pPr>
      <w:r>
        <w:rPr>
          <w:b/>
          <w:bCs/>
        </w:rPr>
        <w:t xml:space="preserve">4. </w:t>
      </w:r>
      <w:proofErr w:type="spellStart"/>
      <w:r>
        <w:rPr>
          <w:b/>
          <w:bCs/>
        </w:rPr>
        <w:t>Fastmarkets</w:t>
      </w:r>
      <w:proofErr w:type="spellEnd"/>
      <w:r>
        <w:rPr>
          <w:b/>
          <w:bCs/>
        </w:rPr>
        <w:t xml:space="preserve"> relationship positioned carefully. </w:t>
      </w:r>
      <w:r>
        <w:t xml:space="preserve">You worked under/alongside </w:t>
      </w:r>
      <w:proofErr w:type="spellStart"/>
      <w:r>
        <w:t>Fastmarkets</w:t>
      </w:r>
      <w:proofErr w:type="spellEnd"/>
      <w:r>
        <w:t xml:space="preserve"> on consulting engagements. At a </w:t>
      </w:r>
      <w:proofErr w:type="spellStart"/>
      <w:r>
        <w:t>Fastmarkets</w:t>
      </w:r>
      <w:proofErr w:type="spellEnd"/>
      <w:r>
        <w:t>-hosted conference, you should position as a complementary intelligence layer (not a competitor to their PRA function), while leveraging the implicit credibility of having delivered work through their ecosystem.</w:t>
      </w:r>
    </w:p>
    <w:p w14:paraId="7287056A" w14:textId="77777777" w:rsidR="00B103E2" w:rsidRDefault="00000000">
      <w:pPr>
        <w:spacing w:after="120"/>
      </w:pPr>
      <w:r>
        <w:rPr>
          <w:b/>
          <w:bCs/>
        </w:rPr>
        <w:t xml:space="preserve">5. One primary deck built out fully. </w:t>
      </w:r>
      <w:r>
        <w:t>Rather than three 80%-overlapping outlines, this document builds one complete deck (</w:t>
      </w:r>
      <w:proofErr w:type="spellStart"/>
      <w:r>
        <w:t>Fastmarkets</w:t>
      </w:r>
      <w:proofErr w:type="spellEnd"/>
      <w:r>
        <w:t xml:space="preserve"> Biofuels, since it’s the nearest deadline </w:t>
      </w:r>
      <w:proofErr w:type="gramStart"/>
      <w:r>
        <w:t>at</w:t>
      </w:r>
      <w:proofErr w:type="gramEnd"/>
      <w:r>
        <w:t xml:space="preserve"> May 4–6) and provides adaptation notes for AFOA (October) and Geneva Grains (November).</w:t>
      </w:r>
    </w:p>
    <w:p w14:paraId="40E7A7A6" w14:textId="77777777" w:rsidR="00B103E2" w:rsidRDefault="00000000">
      <w:r>
        <w:br w:type="page"/>
      </w:r>
    </w:p>
    <w:p w14:paraId="121753C3" w14:textId="77777777" w:rsidR="00B103E2" w:rsidRDefault="00000000">
      <w:pPr>
        <w:pStyle w:val="Heading1"/>
      </w:pPr>
      <w:r>
        <w:lastRenderedPageBreak/>
        <w:t>Your Differentiator</w:t>
      </w:r>
    </w:p>
    <w:p w14:paraId="23F52C1E" w14:textId="77777777" w:rsidR="00B103E2" w:rsidRDefault="00000000">
      <w:pPr>
        <w:spacing w:after="120"/>
      </w:pPr>
      <w:r>
        <w:t>Most “AI for commodities” talks fall into one of two traps: vendor demos that show polished UIs with no architecture, or academic presentations that explain transformers without ever touching a real market workflow. You occupy a rare third position:</w:t>
      </w:r>
    </w:p>
    <w:p w14:paraId="0FAA514B" w14:textId="77777777" w:rsidR="00B103E2" w:rsidRDefault="00B103E2">
      <w:pPr>
        <w:spacing w:after="80"/>
      </w:pPr>
    </w:p>
    <w:p w14:paraId="13FD6E49" w14:textId="77777777" w:rsidR="00B103E2" w:rsidRDefault="00000000">
      <w:pPr>
        <w:spacing w:after="120"/>
      </w:pPr>
      <w:r>
        <w:rPr>
          <w:b/>
          <w:bCs/>
        </w:rPr>
        <w:t xml:space="preserve">Domain expert who built the system. </w:t>
      </w:r>
      <w:r>
        <w:t xml:space="preserve">You’re not an AI company </w:t>
      </w:r>
      <w:proofErr w:type="gramStart"/>
      <w:r>
        <w:t>pitching to</w:t>
      </w:r>
      <w:proofErr w:type="gramEnd"/>
      <w:r>
        <w:t xml:space="preserve"> commodity people. You’re a commodity analyst who built an AI-driven intelligence platform because you know exactly where the bottlenecks are. You’ve done the WASDE diffs by hand. You’ve built </w:t>
      </w:r>
      <w:proofErr w:type="gramStart"/>
      <w:r>
        <w:t>the crush</w:t>
      </w:r>
      <w:proofErr w:type="gramEnd"/>
      <w:r>
        <w:t xml:space="preserve"> margin models in Excel. You’ve written the due diligence reports manually. Now you’ve automated the workflow while preserving the analytical discipline.</w:t>
      </w:r>
    </w:p>
    <w:p w14:paraId="7C7C974B" w14:textId="77777777" w:rsidR="00B103E2" w:rsidRDefault="00B103E2">
      <w:pPr>
        <w:spacing w:after="80"/>
      </w:pPr>
    </w:p>
    <w:p w14:paraId="52C521F7" w14:textId="77777777" w:rsidR="00B103E2" w:rsidRDefault="00000000">
      <w:pPr>
        <w:spacing w:after="120"/>
      </w:pPr>
      <w:r>
        <w:t>This means your talk has three built-in credibility advantages that no generic AI presenter can match:</w:t>
      </w:r>
    </w:p>
    <w:p w14:paraId="6FB4D52C" w14:textId="77777777" w:rsidR="00B103E2" w:rsidRDefault="00B103E2">
      <w:pPr>
        <w:spacing w:after="80"/>
      </w:pPr>
    </w:p>
    <w:p w14:paraId="0762EE07" w14:textId="77777777" w:rsidR="00B103E2" w:rsidRDefault="00000000">
      <w:pPr>
        <w:spacing w:after="120"/>
      </w:pPr>
      <w:r>
        <w:rPr>
          <w:b/>
          <w:bCs/>
        </w:rPr>
        <w:t xml:space="preserve">You know what “right” looks like. </w:t>
      </w:r>
      <w:r>
        <w:t>When you show a WASDE diff-to-brief pipeline, you can explain exactly which numbers matter, which comparisons are meaningful, and what the analyst would have done with those 45 minutes before the system existed.</w:t>
      </w:r>
    </w:p>
    <w:p w14:paraId="79522B87" w14:textId="77777777" w:rsidR="00B103E2" w:rsidRDefault="00000000">
      <w:pPr>
        <w:spacing w:after="120"/>
      </w:pPr>
      <w:r>
        <w:rPr>
          <w:b/>
          <w:bCs/>
        </w:rPr>
        <w:t xml:space="preserve">You’ve delivered real commercial work. </w:t>
      </w:r>
      <w:r>
        <w:t>The OIC engagement ($65K for PE due diligence on a soybean crusher) and the HOBO study (comprehensive renewable fuels landscape) are proof that the system produces work clients pay for.</w:t>
      </w:r>
    </w:p>
    <w:p w14:paraId="605CC198" w14:textId="77777777" w:rsidR="00B103E2" w:rsidRDefault="00000000">
      <w:pPr>
        <w:spacing w:after="120"/>
      </w:pPr>
      <w:r>
        <w:rPr>
          <w:b/>
          <w:bCs/>
        </w:rPr>
        <w:t xml:space="preserve">You understand the failure modes from the inside. </w:t>
      </w:r>
      <w:r>
        <w:t>When you talk about hallucination risk in feedstock economics, you can give the specific example: “if the system hallucinates a 5¢/</w:t>
      </w:r>
      <w:proofErr w:type="spellStart"/>
      <w:r>
        <w:t>lb</w:t>
      </w:r>
      <w:proofErr w:type="spellEnd"/>
      <w:r>
        <w:t xml:space="preserve"> basis number instead of retrieving the actual local basis, that’s a margin error that compounds across a million-bushel position.”</w:t>
      </w:r>
    </w:p>
    <w:p w14:paraId="617BBF41" w14:textId="77777777" w:rsidR="00B103E2" w:rsidRDefault="00000000">
      <w:r>
        <w:br w:type="page"/>
      </w:r>
    </w:p>
    <w:p w14:paraId="6365150D" w14:textId="77777777" w:rsidR="00B103E2" w:rsidRDefault="00000000">
      <w:pPr>
        <w:pStyle w:val="Heading1"/>
      </w:pPr>
      <w:r>
        <w:lastRenderedPageBreak/>
        <w:t xml:space="preserve">Primary Deck: </w:t>
      </w:r>
      <w:proofErr w:type="spellStart"/>
      <w:r>
        <w:t>Fastmarkets</w:t>
      </w:r>
      <w:proofErr w:type="spellEnd"/>
      <w:r>
        <w:t xml:space="preserve"> Biofuels &amp; Feedstocks Americas</w:t>
      </w:r>
    </w:p>
    <w:p w14:paraId="37E577E7" w14:textId="77777777" w:rsidR="00B103E2" w:rsidRDefault="00000000">
      <w:pPr>
        <w:spacing w:after="120"/>
      </w:pPr>
      <w:r>
        <w:t>Event: May 4–6, 2026, Chicago. Audience: 450+ biofuel producers, feedstock suppliers, traders, refiners, airlines, investors, and policymakers. 30-minute slot (25 talk + 5 Q&amp;A).</w:t>
      </w:r>
    </w:p>
    <w:p w14:paraId="7935AD22" w14:textId="77777777" w:rsidR="00B103E2" w:rsidRDefault="00B103E2">
      <w:pPr>
        <w:spacing w:after="80"/>
      </w:pPr>
    </w:p>
    <w:p w14:paraId="1B3FF7DA" w14:textId="77777777" w:rsidR="00B103E2" w:rsidRDefault="00000000">
      <w:pPr>
        <w:pBdr>
          <w:bottom w:val="single" w:sz="3" w:space="0" w:color="1B3A5C"/>
        </w:pBdr>
        <w:spacing w:after="120"/>
      </w:pPr>
      <w:r>
        <w:rPr>
          <w:b/>
          <w:bCs/>
          <w:color w:val="1B3A5C"/>
          <w:sz w:val="24"/>
          <w:szCs w:val="24"/>
        </w:rPr>
        <w:t xml:space="preserve">Working Title: </w:t>
      </w:r>
      <w:r>
        <w:rPr>
          <w:color w:val="4A6FA5"/>
          <w:sz w:val="24"/>
          <w:szCs w:val="24"/>
        </w:rPr>
        <w:t>Building the Analyst OS: How I Use 46 AI Agents to Deliver Biofuels Intelligence (With an Audit Trail)</w:t>
      </w:r>
    </w:p>
    <w:p w14:paraId="00141B79" w14:textId="77777777" w:rsidR="00B103E2" w:rsidRDefault="00B103E2">
      <w:pPr>
        <w:spacing w:after="80"/>
      </w:pPr>
    </w:p>
    <w:p w14:paraId="1E6EAA0E" w14:textId="77777777" w:rsidR="00B103E2" w:rsidRDefault="00000000">
      <w:pPr>
        <w:pBdr>
          <w:bottom w:val="single" w:sz="2" w:space="0" w:color="C9963B"/>
        </w:pBdr>
        <w:spacing w:before="200" w:after="100"/>
      </w:pPr>
      <w:r>
        <w:rPr>
          <w:b/>
          <w:bCs/>
          <w:color w:val="1B3A5C"/>
          <w:sz w:val="24"/>
          <w:szCs w:val="24"/>
        </w:rPr>
        <w:t>Slide 1 — The Promise and the Problem (1.5 min)</w:t>
      </w:r>
    </w:p>
    <w:p w14:paraId="167E9E4D" w14:textId="77777777" w:rsidR="00B103E2" w:rsidRDefault="00000000">
      <w:pPr>
        <w:spacing w:after="60"/>
        <w:ind w:left="360"/>
      </w:pPr>
      <w:r>
        <w:rPr>
          <w:color w:val="C9963B"/>
        </w:rPr>
        <w:t xml:space="preserve">• </w:t>
      </w:r>
      <w:r>
        <w:t>Everyone says AI will transform commodity analysis</w:t>
      </w:r>
    </w:p>
    <w:p w14:paraId="128BAE77" w14:textId="77777777" w:rsidR="00B103E2" w:rsidRDefault="00000000">
      <w:pPr>
        <w:spacing w:after="60"/>
        <w:ind w:left="360"/>
      </w:pPr>
      <w:r>
        <w:rPr>
          <w:color w:val="C9963B"/>
        </w:rPr>
        <w:t xml:space="preserve">• </w:t>
      </w:r>
      <w:r>
        <w:t xml:space="preserve">Most implementations are chatbots with a Bloomberg terminal — fast but </w:t>
      </w:r>
      <w:proofErr w:type="spellStart"/>
      <w:r>
        <w:t>unauditable</w:t>
      </w:r>
      <w:proofErr w:type="spellEnd"/>
    </w:p>
    <w:p w14:paraId="13B0D171" w14:textId="77777777" w:rsidR="00B103E2" w:rsidRDefault="00000000">
      <w:pPr>
        <w:spacing w:after="60"/>
        <w:ind w:left="360"/>
      </w:pPr>
      <w:r>
        <w:rPr>
          <w:color w:val="C9963B"/>
        </w:rPr>
        <w:t xml:space="preserve">• </w:t>
      </w:r>
      <w:r>
        <w:t>This talk: a working system built by a commodity analyst, not an AI vendor</w:t>
      </w:r>
    </w:p>
    <w:p w14:paraId="015F9719" w14:textId="77777777" w:rsidR="00B103E2" w:rsidRDefault="00000000">
      <w:pPr>
        <w:spacing w:before="100" w:after="40"/>
      </w:pPr>
      <w:r>
        <w:rPr>
          <w:b/>
          <w:bCs/>
          <w:color w:val="4A6FA5"/>
          <w:sz w:val="20"/>
          <w:szCs w:val="20"/>
        </w:rPr>
        <w:t>Speaker Notes:</w:t>
      </w:r>
    </w:p>
    <w:p w14:paraId="4B3452A7" w14:textId="77777777" w:rsidR="00B103E2" w:rsidRDefault="00000000">
      <w:pPr>
        <w:spacing w:after="80"/>
        <w:ind w:left="360"/>
      </w:pPr>
      <w:r>
        <w:rPr>
          <w:color w:val="444444"/>
          <w:sz w:val="20"/>
          <w:szCs w:val="20"/>
        </w:rPr>
        <w:t>Open with the tension: AI hype is everywhere in commodities, but the actual deployments either lack domain depth or lack governance. Position yourself: “I’m an agricultural economist who spent a decade analyzing biofuels markets. I built this system because I needed it — not because I wanted to sell software.”</w:t>
      </w:r>
    </w:p>
    <w:p w14:paraId="3153AFD4" w14:textId="77777777" w:rsidR="00B103E2" w:rsidRDefault="00000000">
      <w:pPr>
        <w:spacing w:after="120"/>
        <w:ind w:left="360"/>
      </w:pPr>
      <w:r>
        <w:rPr>
          <w:b/>
          <w:bCs/>
          <w:color w:val="4A6FA5"/>
          <w:sz w:val="20"/>
          <w:szCs w:val="20"/>
        </w:rPr>
        <w:t xml:space="preserve">Visual: </w:t>
      </w:r>
      <w:r>
        <w:rPr>
          <w:color w:val="666666"/>
          <w:sz w:val="20"/>
          <w:szCs w:val="20"/>
        </w:rPr>
        <w:t>Single slide with your name, RLC logo, and the line: “46 agents. 200+ knowledge graph nodes. Every output cited.”</w:t>
      </w:r>
    </w:p>
    <w:p w14:paraId="728D312D" w14:textId="77777777" w:rsidR="00B103E2" w:rsidRDefault="00000000">
      <w:pPr>
        <w:pBdr>
          <w:bottom w:val="single" w:sz="2" w:space="0" w:color="C9963B"/>
        </w:pBdr>
        <w:spacing w:before="200" w:after="100"/>
      </w:pPr>
      <w:r>
        <w:rPr>
          <w:b/>
          <w:bCs/>
          <w:color w:val="1B3A5C"/>
          <w:sz w:val="24"/>
          <w:szCs w:val="24"/>
        </w:rPr>
        <w:t>Slide 2 — Why Biofuels Intelligence Is a Systems Problem (2 min)</w:t>
      </w:r>
    </w:p>
    <w:p w14:paraId="2DA49165" w14:textId="77777777" w:rsidR="00B103E2" w:rsidRDefault="00000000">
      <w:pPr>
        <w:spacing w:after="60"/>
        <w:ind w:left="360"/>
      </w:pPr>
      <w:r>
        <w:rPr>
          <w:color w:val="C9963B"/>
        </w:rPr>
        <w:t xml:space="preserve">• </w:t>
      </w:r>
      <w:r>
        <w:t>RINs, LCFS credits, 45Z, crush margins, feedstock specs, logistics — all move simultaneously</w:t>
      </w:r>
    </w:p>
    <w:p w14:paraId="1D6AA7E2" w14:textId="77777777" w:rsidR="00B103E2" w:rsidRDefault="00000000">
      <w:pPr>
        <w:spacing w:after="60"/>
        <w:ind w:left="360"/>
      </w:pPr>
      <w:r>
        <w:rPr>
          <w:color w:val="C9963B"/>
        </w:rPr>
        <w:t xml:space="preserve">• </w:t>
      </w:r>
      <w:r>
        <w:t>A single WASDE release changes your oilseed outlook in 30 seconds; synthesis takes 3 hours</w:t>
      </w:r>
    </w:p>
    <w:p w14:paraId="1FB75AED" w14:textId="77777777" w:rsidR="00B103E2" w:rsidRDefault="00000000">
      <w:pPr>
        <w:spacing w:after="60"/>
        <w:ind w:left="360"/>
      </w:pPr>
      <w:r>
        <w:rPr>
          <w:color w:val="C9963B"/>
        </w:rPr>
        <w:t xml:space="preserve">• </w:t>
      </w:r>
      <w:r>
        <w:t>Policy changes (CARB veg oil cap, 45Z ILUC removal) cascade across feedstock, production, and credit economics</w:t>
      </w:r>
    </w:p>
    <w:p w14:paraId="5827F70F" w14:textId="77777777" w:rsidR="00B103E2" w:rsidRDefault="00000000">
      <w:pPr>
        <w:spacing w:before="100" w:after="40"/>
      </w:pPr>
      <w:r>
        <w:rPr>
          <w:b/>
          <w:bCs/>
          <w:color w:val="4A6FA5"/>
          <w:sz w:val="20"/>
          <w:szCs w:val="20"/>
        </w:rPr>
        <w:t>Speaker Notes:</w:t>
      </w:r>
    </w:p>
    <w:p w14:paraId="103DE6CC" w14:textId="77777777" w:rsidR="00B103E2" w:rsidRDefault="00000000">
      <w:pPr>
        <w:spacing w:after="80"/>
        <w:ind w:left="360"/>
      </w:pPr>
      <w:r>
        <w:rPr>
          <w:color w:val="444444"/>
          <w:sz w:val="20"/>
          <w:szCs w:val="20"/>
        </w:rPr>
        <w:t>Ground this in the room’s reality. Reference specific pain points: “When CARB proposed capping vegetable oil eligibility under LCFS, every soybean crusher’s pro forma changed overnight. The question isn’t whether you need to update your analysis — it’s whether you can update it fast enough with sources attached.” This resonates because the audience lives this.</w:t>
      </w:r>
    </w:p>
    <w:p w14:paraId="31CBEC9D" w14:textId="77777777" w:rsidR="00B103E2" w:rsidRDefault="00000000">
      <w:pPr>
        <w:spacing w:after="120"/>
        <w:ind w:left="360"/>
      </w:pPr>
      <w:r>
        <w:rPr>
          <w:b/>
          <w:bCs/>
          <w:color w:val="4A6FA5"/>
          <w:sz w:val="20"/>
          <w:szCs w:val="20"/>
        </w:rPr>
        <w:t xml:space="preserve">Visual: </w:t>
      </w:r>
      <w:r>
        <w:rPr>
          <w:color w:val="666666"/>
          <w:sz w:val="20"/>
          <w:szCs w:val="20"/>
        </w:rPr>
        <w:t>Signal map: policy layer (RFS/LCFS/45Z) → credit layer (RINs/CI scores) → feedstock layer (SBO/UCO/tallow) → margin layer (crush/RD production). Show the interconnections.</w:t>
      </w:r>
    </w:p>
    <w:p w14:paraId="774107F7" w14:textId="77777777" w:rsidR="00B103E2" w:rsidRDefault="00000000">
      <w:pPr>
        <w:pBdr>
          <w:bottom w:val="single" w:sz="2" w:space="0" w:color="C9963B"/>
        </w:pBdr>
        <w:spacing w:before="200" w:after="100"/>
      </w:pPr>
      <w:r>
        <w:rPr>
          <w:b/>
          <w:bCs/>
          <w:color w:val="1B3A5C"/>
          <w:sz w:val="24"/>
          <w:szCs w:val="24"/>
        </w:rPr>
        <w:t>Slide 3 — What I Actually Built: The RLC Architecture (3 min)</w:t>
      </w:r>
    </w:p>
    <w:p w14:paraId="14DB9322" w14:textId="77777777" w:rsidR="00B103E2" w:rsidRDefault="00000000">
      <w:pPr>
        <w:spacing w:after="60"/>
        <w:ind w:left="360"/>
      </w:pPr>
      <w:r>
        <w:rPr>
          <w:color w:val="C9963B"/>
        </w:rPr>
        <w:t xml:space="preserve">• </w:t>
      </w:r>
      <w:r>
        <w:t>46 specialized AI agents, each with a defined role and constrained scope</w:t>
      </w:r>
    </w:p>
    <w:p w14:paraId="46A83154" w14:textId="77777777" w:rsidR="00B103E2" w:rsidRDefault="00000000">
      <w:pPr>
        <w:spacing w:after="60"/>
        <w:ind w:left="360"/>
      </w:pPr>
      <w:r>
        <w:rPr>
          <w:color w:val="C9963B"/>
        </w:rPr>
        <w:t xml:space="preserve">• </w:t>
      </w:r>
      <w:r>
        <w:t>PostgreSQL knowledge graph: 200+ entities, 140+ relationships, 110+ analytical contexts</w:t>
      </w:r>
    </w:p>
    <w:p w14:paraId="3D794346" w14:textId="77777777" w:rsidR="00B103E2" w:rsidRDefault="00000000">
      <w:pPr>
        <w:spacing w:after="60"/>
        <w:ind w:left="360"/>
      </w:pPr>
      <w:r>
        <w:rPr>
          <w:color w:val="C9963B"/>
        </w:rPr>
        <w:t xml:space="preserve">• </w:t>
      </w:r>
      <w:r>
        <w:t>Data pipelines: USDA PSD, Census Bureau trade, EIA capacity, NOAA weather, EPA RIN data</w:t>
      </w:r>
    </w:p>
    <w:p w14:paraId="7016B383" w14:textId="77777777" w:rsidR="00B103E2" w:rsidRDefault="00000000">
      <w:pPr>
        <w:spacing w:after="60"/>
        <w:ind w:left="360"/>
      </w:pPr>
      <w:r>
        <w:rPr>
          <w:color w:val="C9963B"/>
        </w:rPr>
        <w:t xml:space="preserve">• </w:t>
      </w:r>
      <w:r>
        <w:t>Every output links back to source, timestamp, and validation status</w:t>
      </w:r>
    </w:p>
    <w:p w14:paraId="31F195B0" w14:textId="77777777" w:rsidR="00B103E2" w:rsidRDefault="00000000">
      <w:pPr>
        <w:spacing w:before="100" w:after="40"/>
      </w:pPr>
      <w:r>
        <w:rPr>
          <w:b/>
          <w:bCs/>
          <w:color w:val="4A6FA5"/>
          <w:sz w:val="20"/>
          <w:szCs w:val="20"/>
        </w:rPr>
        <w:t>Speaker Notes:</w:t>
      </w:r>
    </w:p>
    <w:p w14:paraId="1C084666" w14:textId="77777777" w:rsidR="00B103E2" w:rsidRDefault="00000000">
      <w:pPr>
        <w:spacing w:after="80"/>
        <w:ind w:left="360"/>
      </w:pPr>
      <w:r>
        <w:rPr>
          <w:color w:val="444444"/>
          <w:sz w:val="20"/>
          <w:szCs w:val="20"/>
        </w:rPr>
        <w:lastRenderedPageBreak/>
        <w:t xml:space="preserve">This is your “credibility slide.” Show the actual architecture — not a concept diagram, but the real system. “This isn’t a prototype. I used this system to deliver </w:t>
      </w:r>
      <w:proofErr w:type="gramStart"/>
      <w:r>
        <w:rPr>
          <w:color w:val="444444"/>
          <w:sz w:val="20"/>
          <w:szCs w:val="20"/>
        </w:rPr>
        <w:t>a $</w:t>
      </w:r>
      <w:proofErr w:type="gramEnd"/>
      <w:r>
        <w:rPr>
          <w:color w:val="444444"/>
          <w:sz w:val="20"/>
          <w:szCs w:val="20"/>
        </w:rPr>
        <w:t>65,000 PE due diligence on a soybean crusher and a comprehensive renewable fuels landscape study. The knowledge graph has extracted entities from 70+ source documents.”</w:t>
      </w:r>
    </w:p>
    <w:p w14:paraId="04817925" w14:textId="77777777" w:rsidR="00B103E2" w:rsidRDefault="00000000">
      <w:pPr>
        <w:spacing w:after="120"/>
        <w:ind w:left="360"/>
      </w:pPr>
      <w:r>
        <w:rPr>
          <w:b/>
          <w:bCs/>
          <w:color w:val="4A6FA5"/>
          <w:sz w:val="20"/>
          <w:szCs w:val="20"/>
        </w:rPr>
        <w:t xml:space="preserve">Visual: </w:t>
      </w:r>
      <w:r>
        <w:rPr>
          <w:color w:val="666666"/>
          <w:sz w:val="20"/>
          <w:szCs w:val="20"/>
        </w:rPr>
        <w:t>Architecture diagram (Mermaid rendered or simplified): Sources → Bronze (raw) → Silver (validated) → Gold (analytics) with agent layer and audit log. Label with REAL source names (USDA PSD, not generic “public data”).</w:t>
      </w:r>
    </w:p>
    <w:p w14:paraId="76113BDB" w14:textId="77777777" w:rsidR="00B103E2" w:rsidRDefault="00000000">
      <w:pPr>
        <w:pBdr>
          <w:bottom w:val="single" w:sz="2" w:space="0" w:color="C9963B"/>
        </w:pBdr>
        <w:spacing w:before="200" w:after="100"/>
      </w:pPr>
      <w:r>
        <w:rPr>
          <w:b/>
          <w:bCs/>
          <w:color w:val="1B3A5C"/>
          <w:sz w:val="24"/>
          <w:szCs w:val="24"/>
        </w:rPr>
        <w:t>Slide 4 — The Knowledge Graph: Your Institutional Memory (2 min)</w:t>
      </w:r>
    </w:p>
    <w:p w14:paraId="0E324256" w14:textId="77777777" w:rsidR="00B103E2" w:rsidRDefault="00000000">
      <w:pPr>
        <w:spacing w:after="60"/>
        <w:ind w:left="360"/>
      </w:pPr>
      <w:r>
        <w:rPr>
          <w:color w:val="C9963B"/>
        </w:rPr>
        <w:t xml:space="preserve">• </w:t>
      </w:r>
      <w:r>
        <w:t>Every report, every entity, every relationship extracted and linked</w:t>
      </w:r>
    </w:p>
    <w:p w14:paraId="3927A7CC" w14:textId="77777777" w:rsidR="00B103E2" w:rsidRDefault="00000000">
      <w:pPr>
        <w:spacing w:after="60"/>
        <w:ind w:left="360"/>
      </w:pPr>
      <w:r>
        <w:rPr>
          <w:color w:val="C9963B"/>
        </w:rPr>
        <w:t xml:space="preserve">• </w:t>
      </w:r>
      <w:r>
        <w:t>Cross-reference: when CARB policy changes, the graph knows which facilities, feedstocks, and margins are affected</w:t>
      </w:r>
    </w:p>
    <w:p w14:paraId="415D0CAF" w14:textId="77777777" w:rsidR="00B103E2" w:rsidRDefault="00000000">
      <w:pPr>
        <w:spacing w:after="60"/>
        <w:ind w:left="360"/>
      </w:pPr>
      <w:r>
        <w:rPr>
          <w:color w:val="C9963B"/>
        </w:rPr>
        <w:t xml:space="preserve">• </w:t>
      </w:r>
      <w:r>
        <w:t>Example: Merrill, Iowa soybean crusher → NW Iowa competitive landscape → RD demand for SBO → CARB veg oil cap risk</w:t>
      </w:r>
    </w:p>
    <w:p w14:paraId="29BC6BAB" w14:textId="77777777" w:rsidR="00B103E2" w:rsidRDefault="00000000">
      <w:pPr>
        <w:spacing w:before="100" w:after="40"/>
      </w:pPr>
      <w:r>
        <w:rPr>
          <w:b/>
          <w:bCs/>
          <w:color w:val="4A6FA5"/>
          <w:sz w:val="20"/>
          <w:szCs w:val="20"/>
        </w:rPr>
        <w:t>Speaker Notes:</w:t>
      </w:r>
    </w:p>
    <w:p w14:paraId="3C7B4DA6" w14:textId="77777777" w:rsidR="00B103E2" w:rsidRDefault="00000000">
      <w:pPr>
        <w:spacing w:after="80"/>
        <w:ind w:left="360"/>
      </w:pPr>
      <w:r>
        <w:rPr>
          <w:color w:val="444444"/>
          <w:sz w:val="20"/>
          <w:szCs w:val="20"/>
        </w:rPr>
        <w:t>Walk through one real traversal: “When I extracted the OIC due diligence documents, the knowledge graph automatically connected the proposed 1,000 TPD Merrill crusher to the HOBO study’s finding that 20+ new crush plants have been announced since the RD boom. It linked the CARB veg oil cap concern from both sources. That cross-reference took seconds, not days.”</w:t>
      </w:r>
    </w:p>
    <w:p w14:paraId="615E9A91" w14:textId="77777777" w:rsidR="00B103E2" w:rsidRDefault="00000000">
      <w:pPr>
        <w:spacing w:after="120"/>
        <w:ind w:left="360"/>
      </w:pPr>
      <w:r>
        <w:rPr>
          <w:b/>
          <w:bCs/>
          <w:color w:val="4A6FA5"/>
          <w:sz w:val="20"/>
          <w:szCs w:val="20"/>
        </w:rPr>
        <w:t xml:space="preserve">Visual: </w:t>
      </w:r>
      <w:r>
        <w:rPr>
          <w:color w:val="666666"/>
          <w:sz w:val="20"/>
          <w:szCs w:val="20"/>
        </w:rPr>
        <w:t>Knowledge graph visualization showing 3–4 connected nodes with real labels (Merrill facility → NW Iowa competition → SBO demand from RD → CARB veg oil cap).</w:t>
      </w:r>
    </w:p>
    <w:p w14:paraId="055C8E89" w14:textId="77777777" w:rsidR="00B103E2" w:rsidRDefault="00000000">
      <w:pPr>
        <w:pBdr>
          <w:bottom w:val="single" w:sz="2" w:space="0" w:color="C9963B"/>
        </w:pBdr>
        <w:spacing w:before="200" w:after="100"/>
      </w:pPr>
      <w:r>
        <w:rPr>
          <w:b/>
          <w:bCs/>
          <w:color w:val="1B3A5C"/>
          <w:sz w:val="24"/>
          <w:szCs w:val="24"/>
        </w:rPr>
        <w:t>Slide 5 — What LLMs Actually Are (Honest Version) (1.5 min)</w:t>
      </w:r>
    </w:p>
    <w:p w14:paraId="4AD4D9C9" w14:textId="77777777" w:rsidR="00B103E2" w:rsidRDefault="00000000">
      <w:pPr>
        <w:spacing w:after="60"/>
        <w:ind w:left="360"/>
      </w:pPr>
      <w:r>
        <w:rPr>
          <w:color w:val="C9963B"/>
        </w:rPr>
        <w:t xml:space="preserve">• </w:t>
      </w:r>
      <w:r>
        <w:t>Probabilistic language models: powerful at text-to-structure transformation</w:t>
      </w:r>
    </w:p>
    <w:p w14:paraId="62B3E0D0" w14:textId="77777777" w:rsidR="00B103E2" w:rsidRDefault="00000000">
      <w:pPr>
        <w:spacing w:after="60"/>
        <w:ind w:left="360"/>
      </w:pPr>
      <w:r>
        <w:rPr>
          <w:color w:val="C9963B"/>
        </w:rPr>
        <w:t xml:space="preserve">• </w:t>
      </w:r>
      <w:r>
        <w:t>Not databases. Not oracles. Can hallucinate confidently.</w:t>
      </w:r>
    </w:p>
    <w:p w14:paraId="29C481E0" w14:textId="77777777" w:rsidR="00B103E2" w:rsidRDefault="00000000">
      <w:pPr>
        <w:spacing w:after="60"/>
        <w:ind w:left="360"/>
      </w:pPr>
      <w:r>
        <w:rPr>
          <w:color w:val="C9963B"/>
        </w:rPr>
        <w:t xml:space="preserve">• </w:t>
      </w:r>
      <w:r>
        <w:t>Rule: LLM output is draft + structure until grounded and validated</w:t>
      </w:r>
    </w:p>
    <w:p w14:paraId="72B740F1" w14:textId="77777777" w:rsidR="00B103E2" w:rsidRDefault="00000000">
      <w:pPr>
        <w:spacing w:before="100" w:after="40"/>
      </w:pPr>
      <w:r>
        <w:rPr>
          <w:b/>
          <w:bCs/>
          <w:color w:val="4A6FA5"/>
          <w:sz w:val="20"/>
          <w:szCs w:val="20"/>
        </w:rPr>
        <w:t>Speaker Notes:</w:t>
      </w:r>
    </w:p>
    <w:p w14:paraId="7B436432" w14:textId="77777777" w:rsidR="00B103E2" w:rsidRDefault="00000000">
      <w:pPr>
        <w:spacing w:after="80"/>
        <w:ind w:left="360"/>
      </w:pPr>
      <w:r>
        <w:rPr>
          <w:color w:val="444444"/>
          <w:sz w:val="20"/>
          <w:szCs w:val="20"/>
        </w:rPr>
        <w:t xml:space="preserve">Keep this tight and earn trust by being honest. “I use Claude and other models as high-throughput structuring engines. They’re extraordinary at extracting entities from a 200-page report and mapping them </w:t>
      </w:r>
      <w:proofErr w:type="gramStart"/>
      <w:r>
        <w:rPr>
          <w:color w:val="444444"/>
          <w:sz w:val="20"/>
          <w:szCs w:val="20"/>
        </w:rPr>
        <w:t>to</w:t>
      </w:r>
      <w:proofErr w:type="gramEnd"/>
      <w:r>
        <w:rPr>
          <w:color w:val="444444"/>
          <w:sz w:val="20"/>
          <w:szCs w:val="20"/>
        </w:rPr>
        <w:t xml:space="preserve"> a schema. They are not reliable at inventing numbers. </w:t>
      </w:r>
      <w:proofErr w:type="gramStart"/>
      <w:r>
        <w:rPr>
          <w:color w:val="444444"/>
          <w:sz w:val="20"/>
          <w:szCs w:val="20"/>
        </w:rPr>
        <w:t>So</w:t>
      </w:r>
      <w:proofErr w:type="gramEnd"/>
      <w:r>
        <w:rPr>
          <w:color w:val="444444"/>
          <w:sz w:val="20"/>
          <w:szCs w:val="20"/>
        </w:rPr>
        <w:t xml:space="preserve"> I never let them.”</w:t>
      </w:r>
    </w:p>
    <w:p w14:paraId="6367BBBC" w14:textId="77777777" w:rsidR="00B103E2" w:rsidRDefault="00000000">
      <w:pPr>
        <w:spacing w:after="120"/>
        <w:ind w:left="360"/>
      </w:pPr>
      <w:r>
        <w:rPr>
          <w:b/>
          <w:bCs/>
          <w:color w:val="4A6FA5"/>
          <w:sz w:val="20"/>
          <w:szCs w:val="20"/>
        </w:rPr>
        <w:t xml:space="preserve">Visual: </w:t>
      </w:r>
      <w:r>
        <w:rPr>
          <w:color w:val="666666"/>
          <w:sz w:val="20"/>
          <w:szCs w:val="20"/>
        </w:rPr>
        <w:t>Triangle: LLM + Retrieval (RAG) + Deterministic Validators. The LLM sits in the middle, not on top.</w:t>
      </w:r>
    </w:p>
    <w:p w14:paraId="1D9A18F4" w14:textId="77777777" w:rsidR="00B103E2" w:rsidRDefault="00000000">
      <w:pPr>
        <w:pBdr>
          <w:bottom w:val="single" w:sz="2" w:space="0" w:color="C9963B"/>
        </w:pBdr>
        <w:spacing w:before="200" w:after="100"/>
      </w:pPr>
      <w:r>
        <w:rPr>
          <w:b/>
          <w:bCs/>
          <w:color w:val="1B3A5C"/>
          <w:sz w:val="24"/>
          <w:szCs w:val="24"/>
        </w:rPr>
        <w:t>Slide 6 — Medallion Architecture: Bronze / Silver / Gold (2 min)</w:t>
      </w:r>
    </w:p>
    <w:p w14:paraId="3BBC1392" w14:textId="77777777" w:rsidR="00B103E2" w:rsidRDefault="00000000">
      <w:pPr>
        <w:spacing w:after="60"/>
        <w:ind w:left="360"/>
      </w:pPr>
      <w:r>
        <w:rPr>
          <w:color w:val="C9963B"/>
        </w:rPr>
        <w:t xml:space="preserve">• </w:t>
      </w:r>
      <w:r>
        <w:t>Bronze: immutable raw snapshots (PDFs, HTML, API responses) with metadata</w:t>
      </w:r>
    </w:p>
    <w:p w14:paraId="39479418" w14:textId="77777777" w:rsidR="00B103E2" w:rsidRDefault="00000000">
      <w:pPr>
        <w:spacing w:after="60"/>
        <w:ind w:left="360"/>
      </w:pPr>
      <w:r>
        <w:rPr>
          <w:color w:val="C9963B"/>
        </w:rPr>
        <w:t xml:space="preserve">• </w:t>
      </w:r>
      <w:r>
        <w:t>Silver: schema-bound validated objects (price observations, policy updates, balance sheet deltas)</w:t>
      </w:r>
    </w:p>
    <w:p w14:paraId="0A091E36" w14:textId="77777777" w:rsidR="00B103E2" w:rsidRDefault="00000000">
      <w:pPr>
        <w:spacing w:after="60"/>
        <w:ind w:left="360"/>
      </w:pPr>
      <w:r>
        <w:rPr>
          <w:color w:val="C9963B"/>
        </w:rPr>
        <w:t xml:space="preserve">• </w:t>
      </w:r>
      <w:r>
        <w:t>Gold: analytics products (scenario matrices, basis series, daily briefs, research objects)</w:t>
      </w:r>
    </w:p>
    <w:p w14:paraId="1AD8A7A8" w14:textId="77777777" w:rsidR="00B103E2" w:rsidRDefault="00000000">
      <w:pPr>
        <w:spacing w:before="100" w:after="40"/>
      </w:pPr>
      <w:r>
        <w:rPr>
          <w:b/>
          <w:bCs/>
          <w:color w:val="4A6FA5"/>
          <w:sz w:val="20"/>
          <w:szCs w:val="20"/>
        </w:rPr>
        <w:t>Speaker Notes:</w:t>
      </w:r>
    </w:p>
    <w:p w14:paraId="04A487B1" w14:textId="77777777" w:rsidR="00B103E2" w:rsidRDefault="00000000">
      <w:pPr>
        <w:spacing w:after="80"/>
        <w:ind w:left="360"/>
      </w:pPr>
      <w:r>
        <w:rPr>
          <w:color w:val="444444"/>
          <w:sz w:val="20"/>
          <w:szCs w:val="20"/>
        </w:rPr>
        <w:t>Use a biofuels-specific example: “When EPA updates RIN generation data, my collector agent snapshots the page into Bronze with a timestamp. The parser extracts the numbers into a standardized schema. Validation checks whether the numbers fall within historical ranges. Only then does the analyst agent touch it to build a scenario.”</w:t>
      </w:r>
    </w:p>
    <w:p w14:paraId="36F6327F" w14:textId="77777777" w:rsidR="00B103E2" w:rsidRDefault="00000000">
      <w:pPr>
        <w:spacing w:after="120"/>
        <w:ind w:left="360"/>
      </w:pPr>
      <w:r>
        <w:rPr>
          <w:b/>
          <w:bCs/>
          <w:color w:val="4A6FA5"/>
          <w:sz w:val="20"/>
          <w:szCs w:val="20"/>
        </w:rPr>
        <w:t xml:space="preserve">Visual: </w:t>
      </w:r>
      <w:r>
        <w:rPr>
          <w:color w:val="666666"/>
          <w:sz w:val="20"/>
          <w:szCs w:val="20"/>
        </w:rPr>
        <w:t>Three-layer stack with one concrete example flowing through: EPA RIN data page → Bronze snapshot → Silver “</w:t>
      </w:r>
      <w:proofErr w:type="spellStart"/>
      <w:r>
        <w:rPr>
          <w:color w:val="666666"/>
          <w:sz w:val="20"/>
          <w:szCs w:val="20"/>
        </w:rPr>
        <w:t>rin_generation_observation</w:t>
      </w:r>
      <w:proofErr w:type="spellEnd"/>
      <w:r>
        <w:rPr>
          <w:color w:val="666666"/>
          <w:sz w:val="20"/>
          <w:szCs w:val="20"/>
        </w:rPr>
        <w:t>” object → Gold “credit supply scenario.”</w:t>
      </w:r>
    </w:p>
    <w:p w14:paraId="1DFBF786" w14:textId="77777777" w:rsidR="00B103E2" w:rsidRDefault="00000000">
      <w:pPr>
        <w:pBdr>
          <w:bottom w:val="single" w:sz="2" w:space="0" w:color="C9963B"/>
        </w:pBdr>
        <w:spacing w:before="200" w:after="100"/>
      </w:pPr>
      <w:r>
        <w:rPr>
          <w:b/>
          <w:bCs/>
          <w:color w:val="1B3A5C"/>
          <w:sz w:val="24"/>
          <w:szCs w:val="24"/>
        </w:rPr>
        <w:t>Slide 7 — Agent Decomposition: Why 46, Not 1 (2 min)</w:t>
      </w:r>
    </w:p>
    <w:p w14:paraId="66538ACC" w14:textId="77777777" w:rsidR="00B103E2" w:rsidRDefault="00000000">
      <w:pPr>
        <w:spacing w:after="60"/>
        <w:ind w:left="360"/>
      </w:pPr>
      <w:r>
        <w:rPr>
          <w:color w:val="C9963B"/>
        </w:rPr>
        <w:t xml:space="preserve">• </w:t>
      </w:r>
      <w:r>
        <w:t>Collector agents: acquire and snapshot (never opine)</w:t>
      </w:r>
    </w:p>
    <w:p w14:paraId="2E009A03" w14:textId="77777777" w:rsidR="00B103E2" w:rsidRDefault="00000000">
      <w:pPr>
        <w:spacing w:after="60"/>
        <w:ind w:left="360"/>
      </w:pPr>
      <w:r>
        <w:rPr>
          <w:color w:val="C9963B"/>
        </w:rPr>
        <w:lastRenderedPageBreak/>
        <w:t xml:space="preserve">• </w:t>
      </w:r>
      <w:r>
        <w:t>Validator agents: unit checks, range checks, cross-source diffs (never generate narrative)</w:t>
      </w:r>
    </w:p>
    <w:p w14:paraId="68214020" w14:textId="77777777" w:rsidR="00B103E2" w:rsidRDefault="00000000">
      <w:pPr>
        <w:spacing w:after="60"/>
        <w:ind w:left="360"/>
      </w:pPr>
      <w:r>
        <w:rPr>
          <w:color w:val="C9963B"/>
        </w:rPr>
        <w:t xml:space="preserve">• </w:t>
      </w:r>
      <w:r>
        <w:t>Analyst agents: interpret deltas, build scenarios (only from validated Silver objects)</w:t>
      </w:r>
    </w:p>
    <w:p w14:paraId="5EA60010" w14:textId="77777777" w:rsidR="00B103E2" w:rsidRDefault="00000000">
      <w:pPr>
        <w:spacing w:after="60"/>
        <w:ind w:left="360"/>
      </w:pPr>
      <w:r>
        <w:rPr>
          <w:color w:val="C9963B"/>
        </w:rPr>
        <w:t xml:space="preserve">• </w:t>
      </w:r>
      <w:r>
        <w:t>Writer agents: produce cited outputs (must link every claim to a source)</w:t>
      </w:r>
    </w:p>
    <w:p w14:paraId="215D49FE" w14:textId="77777777" w:rsidR="00B103E2" w:rsidRDefault="00000000">
      <w:pPr>
        <w:spacing w:before="100" w:after="40"/>
      </w:pPr>
      <w:r>
        <w:rPr>
          <w:b/>
          <w:bCs/>
          <w:color w:val="4A6FA5"/>
          <w:sz w:val="20"/>
          <w:szCs w:val="20"/>
        </w:rPr>
        <w:t>Speaker Notes:</w:t>
      </w:r>
    </w:p>
    <w:p w14:paraId="12EC697F" w14:textId="77777777" w:rsidR="00B103E2" w:rsidRDefault="00000000">
      <w:pPr>
        <w:spacing w:after="80"/>
        <w:ind w:left="360"/>
      </w:pPr>
      <w:r>
        <w:rPr>
          <w:color w:val="444444"/>
          <w:sz w:val="20"/>
          <w:szCs w:val="20"/>
        </w:rPr>
        <w:t>The “why 46” question will come up in Q&amp;A. Answer it here: “Decomposition increases reliability. A collector agent that fetches USDA PSD data has one job: get the data and tag it correctly. It never tries to interpret it. The analyst agent that builds a crush margin scenario never fetches data — it works from validated objects. This separation is why the system produces auditable outputs instead of plausible fiction.”</w:t>
      </w:r>
    </w:p>
    <w:p w14:paraId="1297E6E9" w14:textId="77777777" w:rsidR="00B103E2" w:rsidRDefault="00000000">
      <w:pPr>
        <w:spacing w:after="120"/>
        <w:ind w:left="360"/>
      </w:pPr>
      <w:r>
        <w:rPr>
          <w:b/>
          <w:bCs/>
          <w:color w:val="4A6FA5"/>
          <w:sz w:val="20"/>
          <w:szCs w:val="20"/>
        </w:rPr>
        <w:t xml:space="preserve">Visual: </w:t>
      </w:r>
      <w:r>
        <w:rPr>
          <w:color w:val="666666"/>
          <w:sz w:val="20"/>
          <w:szCs w:val="20"/>
        </w:rPr>
        <w:t>Swimlane diagram showing the handoff: Collector → Validator → Analyst → Writer, with “human review gate” after Writer.</w:t>
      </w:r>
    </w:p>
    <w:p w14:paraId="68822DD7" w14:textId="77777777" w:rsidR="00B103E2" w:rsidRDefault="00000000">
      <w:pPr>
        <w:pBdr>
          <w:bottom w:val="single" w:sz="2" w:space="0" w:color="C9963B"/>
        </w:pBdr>
        <w:spacing w:before="200" w:after="100"/>
      </w:pPr>
      <w:r>
        <w:rPr>
          <w:b/>
          <w:bCs/>
          <w:color w:val="1B3A5C"/>
          <w:sz w:val="24"/>
          <w:szCs w:val="24"/>
        </w:rPr>
        <w:t>Slide 8 — Demo #1: WASDE Day Oilseeds Diff-to-Brief (3 min)</w:t>
      </w:r>
    </w:p>
    <w:p w14:paraId="65258FF5" w14:textId="77777777" w:rsidR="00B103E2" w:rsidRDefault="00000000">
      <w:pPr>
        <w:spacing w:after="60"/>
        <w:ind w:left="360"/>
      </w:pPr>
      <w:r w:rsidRPr="006C7A62">
        <w:rPr>
          <w:color w:val="C9963B"/>
          <w:lang w:val="da-DK"/>
        </w:rPr>
        <w:t xml:space="preserve">• </w:t>
      </w:r>
      <w:proofErr w:type="gramStart"/>
      <w:r w:rsidRPr="006C7A62">
        <w:rPr>
          <w:lang w:val="da-DK"/>
        </w:rPr>
        <w:t>WASDE drops</w:t>
      </w:r>
      <w:proofErr w:type="gramEnd"/>
      <w:r w:rsidRPr="006C7A62">
        <w:rPr>
          <w:lang w:val="da-DK"/>
        </w:rPr>
        <w:t xml:space="preserve"> at </w:t>
      </w:r>
      <w:proofErr w:type="spellStart"/>
      <w:r w:rsidRPr="006C7A62">
        <w:rPr>
          <w:lang w:val="da-DK"/>
        </w:rPr>
        <w:t>noon</w:t>
      </w:r>
      <w:proofErr w:type="spellEnd"/>
      <w:r w:rsidRPr="006C7A62">
        <w:rPr>
          <w:lang w:val="da-DK"/>
        </w:rPr>
        <w:t xml:space="preserve"> ET. </w:t>
      </w:r>
      <w:r>
        <w:t>Your phone is already buzzing.</w:t>
      </w:r>
    </w:p>
    <w:p w14:paraId="6D1097B2" w14:textId="77777777" w:rsidR="00B103E2" w:rsidRDefault="00000000">
      <w:pPr>
        <w:spacing w:after="60"/>
        <w:ind w:left="360"/>
      </w:pPr>
      <w:r>
        <w:rPr>
          <w:color w:val="C9963B"/>
        </w:rPr>
        <w:t xml:space="preserve">• </w:t>
      </w:r>
      <w:r>
        <w:t>System: snapshot → extract oilseeds tables → compute deltas vs prior month → flag outliers → draft implications memo</w:t>
      </w:r>
    </w:p>
    <w:p w14:paraId="309884DF" w14:textId="77777777" w:rsidR="00B103E2" w:rsidRDefault="00000000">
      <w:pPr>
        <w:spacing w:after="60"/>
        <w:ind w:left="360"/>
      </w:pPr>
      <w:r>
        <w:rPr>
          <w:color w:val="C9963B"/>
        </w:rPr>
        <w:t xml:space="preserve">• </w:t>
      </w:r>
      <w:r>
        <w:t>Output: 1-page brief with every number linked to the source table cell. Ready in ~8 minutes.</w:t>
      </w:r>
    </w:p>
    <w:p w14:paraId="662E2691" w14:textId="77777777" w:rsidR="00B103E2" w:rsidRDefault="00000000">
      <w:pPr>
        <w:spacing w:before="100" w:after="40"/>
      </w:pPr>
      <w:r>
        <w:rPr>
          <w:b/>
          <w:bCs/>
          <w:color w:val="4A6FA5"/>
          <w:sz w:val="20"/>
          <w:szCs w:val="20"/>
        </w:rPr>
        <w:t>Speaker Notes:</w:t>
      </w:r>
    </w:p>
    <w:p w14:paraId="138A746D" w14:textId="77777777" w:rsidR="00B103E2" w:rsidRDefault="00000000">
      <w:pPr>
        <w:spacing w:after="80"/>
        <w:ind w:left="360"/>
      </w:pPr>
      <w:r>
        <w:rPr>
          <w:color w:val="444444"/>
          <w:sz w:val="20"/>
          <w:szCs w:val="20"/>
        </w:rPr>
        <w:t>If you can do a live demo, this is the one. If not, show actual output from a recent WASDE. Walk through: “Here’s the February WASDE. The system extracted the world oilseeds S&amp;D table, computed that Brazil soybean production was revised down 3 MMT, flagged it as the largest delta, and drafted this paragraph: [show real output with citations]. Total time: 8 minutes from release to reviewed brief.”</w:t>
      </w:r>
    </w:p>
    <w:p w14:paraId="41A134B7" w14:textId="77777777" w:rsidR="00B103E2" w:rsidRDefault="00000000">
      <w:pPr>
        <w:spacing w:after="120"/>
        <w:ind w:left="360"/>
      </w:pPr>
      <w:r>
        <w:rPr>
          <w:b/>
          <w:bCs/>
          <w:color w:val="4A6FA5"/>
          <w:sz w:val="20"/>
          <w:szCs w:val="20"/>
        </w:rPr>
        <w:t xml:space="preserve">Visual: </w:t>
      </w:r>
      <w:r>
        <w:rPr>
          <w:color w:val="666666"/>
          <w:sz w:val="20"/>
          <w:szCs w:val="20"/>
        </w:rPr>
        <w:t>Split screen: left side shows delta table (this month vs last month, key changes highlighted in gold), right side shows the 1-paragraph cited memo output.</w:t>
      </w:r>
    </w:p>
    <w:p w14:paraId="60703662" w14:textId="77777777" w:rsidR="00B103E2" w:rsidRDefault="00000000">
      <w:pPr>
        <w:pBdr>
          <w:bottom w:val="single" w:sz="2" w:space="0" w:color="C9963B"/>
        </w:pBdr>
        <w:spacing w:before="200" w:after="100"/>
      </w:pPr>
      <w:r>
        <w:rPr>
          <w:b/>
          <w:bCs/>
          <w:color w:val="1B3A5C"/>
          <w:sz w:val="24"/>
          <w:szCs w:val="24"/>
        </w:rPr>
        <w:t>Slide 9 — Demo #2: Policy Shock → Margin Scenario Matrix (3 min)</w:t>
      </w:r>
    </w:p>
    <w:p w14:paraId="4BE328A4" w14:textId="77777777" w:rsidR="00B103E2" w:rsidRDefault="00000000">
      <w:pPr>
        <w:spacing w:after="60"/>
        <w:ind w:left="360"/>
      </w:pPr>
      <w:r>
        <w:rPr>
          <w:color w:val="C9963B"/>
        </w:rPr>
        <w:t xml:space="preserve">• </w:t>
      </w:r>
      <w:r>
        <w:t>Scenario: CARB finalizes veg oil cap under LCFS. What happens to your soybean crusher?</w:t>
      </w:r>
    </w:p>
    <w:p w14:paraId="649AE9A7" w14:textId="77777777" w:rsidR="00B103E2" w:rsidRDefault="00000000">
      <w:pPr>
        <w:spacing w:after="60"/>
        <w:ind w:left="360"/>
      </w:pPr>
      <w:r>
        <w:rPr>
          <w:color w:val="C9963B"/>
        </w:rPr>
        <w:t xml:space="preserve">• </w:t>
      </w:r>
      <w:r>
        <w:t>System traces the causal chain: LCFS credit value for SBO-RD drops → SBO demand from CA refiners weakens → oil leg of crush margin compresses → Merrill facility ROI changes</w:t>
      </w:r>
    </w:p>
    <w:p w14:paraId="26028FD9" w14:textId="77777777" w:rsidR="00B103E2" w:rsidRDefault="00000000">
      <w:pPr>
        <w:spacing w:after="60"/>
        <w:ind w:left="360"/>
      </w:pPr>
      <w:r>
        <w:rPr>
          <w:color w:val="C9963B"/>
        </w:rPr>
        <w:t xml:space="preserve">• </w:t>
      </w:r>
      <w:r>
        <w:t>Output: scenario matrix (Base/Bull/Bear) with explicit assumptions and a watchlist</w:t>
      </w:r>
    </w:p>
    <w:p w14:paraId="4B554C0D" w14:textId="77777777" w:rsidR="00B103E2" w:rsidRDefault="00000000">
      <w:pPr>
        <w:spacing w:before="100" w:after="40"/>
      </w:pPr>
      <w:r>
        <w:rPr>
          <w:b/>
          <w:bCs/>
          <w:color w:val="4A6FA5"/>
          <w:sz w:val="20"/>
          <w:szCs w:val="20"/>
        </w:rPr>
        <w:t>Speaker Notes:</w:t>
      </w:r>
    </w:p>
    <w:p w14:paraId="22536EDC" w14:textId="77777777" w:rsidR="00B103E2" w:rsidRDefault="00000000">
      <w:pPr>
        <w:spacing w:after="80"/>
        <w:ind w:left="360"/>
      </w:pPr>
      <w:r>
        <w:rPr>
          <w:color w:val="444444"/>
          <w:sz w:val="20"/>
          <w:szCs w:val="20"/>
        </w:rPr>
        <w:t xml:space="preserve">This is where domain expertise matters. “A generic AI system would tell </w:t>
      </w:r>
      <w:proofErr w:type="gramStart"/>
      <w:r>
        <w:rPr>
          <w:color w:val="444444"/>
          <w:sz w:val="20"/>
          <w:szCs w:val="20"/>
        </w:rPr>
        <w:t>you</w:t>
      </w:r>
      <w:proofErr w:type="gramEnd"/>
      <w:r>
        <w:rPr>
          <w:color w:val="444444"/>
          <w:sz w:val="20"/>
          <w:szCs w:val="20"/>
        </w:rPr>
        <w:t xml:space="preserve"> ‘CARB policy affects biofuels.’ My system tells you: ‘If CARB caps veg oil at X%, the LCFS credit differential between SBO-based RD and UCO-based RD narrows by $Y/gallon, which compresses the oil leg of the crush margin by Z cents/bushel, which drops the Merrill facility’s projected DCF-ROI from 24.7% to W%.’ That’s the difference between a chatbot and an intelligence system.”</w:t>
      </w:r>
    </w:p>
    <w:p w14:paraId="75D0A31E" w14:textId="77777777" w:rsidR="00B103E2" w:rsidRDefault="00000000">
      <w:pPr>
        <w:spacing w:after="120"/>
        <w:ind w:left="360"/>
      </w:pPr>
      <w:r>
        <w:rPr>
          <w:b/>
          <w:bCs/>
          <w:color w:val="4A6FA5"/>
          <w:sz w:val="20"/>
          <w:szCs w:val="20"/>
        </w:rPr>
        <w:t xml:space="preserve">Visual: </w:t>
      </w:r>
      <w:r>
        <w:rPr>
          <w:color w:val="666666"/>
          <w:sz w:val="20"/>
          <w:szCs w:val="20"/>
        </w:rPr>
        <w:t>Causal chain diagram: CARB veg oil cap → LCFS credit reduction → SBO demand impact → crush margin sensitivity → facility ROI scenario table.</w:t>
      </w:r>
    </w:p>
    <w:p w14:paraId="600EB4C0" w14:textId="77777777" w:rsidR="00B103E2" w:rsidRDefault="00000000">
      <w:pPr>
        <w:pBdr>
          <w:bottom w:val="single" w:sz="2" w:space="0" w:color="C9963B"/>
        </w:pBdr>
        <w:spacing w:before="200" w:after="100"/>
      </w:pPr>
      <w:r>
        <w:rPr>
          <w:b/>
          <w:bCs/>
          <w:color w:val="1B3A5C"/>
          <w:sz w:val="24"/>
          <w:szCs w:val="24"/>
        </w:rPr>
        <w:t>Slide 10 — Demo #3: Basis Anomaly Triage (2 min)</w:t>
      </w:r>
    </w:p>
    <w:p w14:paraId="2F391785" w14:textId="77777777" w:rsidR="00B103E2" w:rsidRDefault="00000000">
      <w:pPr>
        <w:spacing w:after="60"/>
        <w:ind w:left="360"/>
      </w:pPr>
      <w:r>
        <w:rPr>
          <w:color w:val="C9963B"/>
        </w:rPr>
        <w:t xml:space="preserve">• </w:t>
      </w:r>
      <w:r>
        <w:t xml:space="preserve">Local soybean basis in NW Iowa diverges from historical </w:t>
      </w:r>
      <w:proofErr w:type="gramStart"/>
      <w:r>
        <w:t>pattern</w:t>
      </w:r>
      <w:proofErr w:type="gramEnd"/>
      <w:r>
        <w:t xml:space="preserve"> and peer locations</w:t>
      </w:r>
    </w:p>
    <w:p w14:paraId="3C482721" w14:textId="77777777" w:rsidR="00B103E2" w:rsidRDefault="00000000">
      <w:pPr>
        <w:spacing w:after="60"/>
        <w:ind w:left="360"/>
      </w:pPr>
      <w:r>
        <w:rPr>
          <w:color w:val="C9963B"/>
        </w:rPr>
        <w:t xml:space="preserve">• </w:t>
      </w:r>
      <w:r>
        <w:t>System flags the anomaly, generates hypothesis tree (new crusher competition, logistics bottleneck, quality issue, weather)</w:t>
      </w:r>
    </w:p>
    <w:p w14:paraId="3711E05A" w14:textId="77777777" w:rsidR="00B103E2" w:rsidRDefault="00000000">
      <w:pPr>
        <w:spacing w:after="60"/>
        <w:ind w:left="360"/>
      </w:pPr>
      <w:r>
        <w:rPr>
          <w:color w:val="C9963B"/>
        </w:rPr>
        <w:t xml:space="preserve">• </w:t>
      </w:r>
      <w:r>
        <w:t>Output: triage brief separating observations from hypotheses, with a confirmation checklist</w:t>
      </w:r>
    </w:p>
    <w:p w14:paraId="43D89B7C" w14:textId="77777777" w:rsidR="00B103E2" w:rsidRDefault="00000000">
      <w:pPr>
        <w:spacing w:before="100" w:after="40"/>
      </w:pPr>
      <w:r>
        <w:rPr>
          <w:b/>
          <w:bCs/>
          <w:color w:val="4A6FA5"/>
          <w:sz w:val="20"/>
          <w:szCs w:val="20"/>
        </w:rPr>
        <w:lastRenderedPageBreak/>
        <w:t>Speaker Notes:</w:t>
      </w:r>
    </w:p>
    <w:p w14:paraId="67D1C620" w14:textId="77777777" w:rsidR="00B103E2" w:rsidRDefault="00000000">
      <w:pPr>
        <w:spacing w:after="80"/>
        <w:ind w:left="360"/>
      </w:pPr>
      <w:r>
        <w:rPr>
          <w:color w:val="444444"/>
          <w:sz w:val="20"/>
          <w:szCs w:val="20"/>
        </w:rPr>
        <w:t xml:space="preserve">Use the OIC context: “When you’re evaluating a new 1,000 TPD crusher in an area where three other plants just announced, basis behavior is your leading indicator of overcapacity. The system </w:t>
      </w:r>
      <w:proofErr w:type="gramStart"/>
      <w:r>
        <w:rPr>
          <w:color w:val="444444"/>
          <w:sz w:val="20"/>
          <w:szCs w:val="20"/>
        </w:rPr>
        <w:t>watches for</w:t>
      </w:r>
      <w:proofErr w:type="gramEnd"/>
      <w:r>
        <w:rPr>
          <w:color w:val="444444"/>
          <w:sz w:val="20"/>
          <w:szCs w:val="20"/>
        </w:rPr>
        <w:t xml:space="preserve"> exactly this: basis getting bid up beyond what the local supply can support. It doesn’t guess the cause — it proposes hypotheses and tells you what data to </w:t>
      </w:r>
      <w:proofErr w:type="gramStart"/>
      <w:r>
        <w:rPr>
          <w:color w:val="444444"/>
          <w:sz w:val="20"/>
          <w:szCs w:val="20"/>
        </w:rPr>
        <w:t>check.”</w:t>
      </w:r>
      <w:proofErr w:type="gramEnd"/>
    </w:p>
    <w:p w14:paraId="75AAB0E8" w14:textId="77777777" w:rsidR="00B103E2" w:rsidRDefault="00000000">
      <w:pPr>
        <w:spacing w:after="120"/>
        <w:ind w:left="360"/>
      </w:pPr>
      <w:r>
        <w:rPr>
          <w:b/>
          <w:bCs/>
          <w:color w:val="4A6FA5"/>
          <w:sz w:val="20"/>
          <w:szCs w:val="20"/>
        </w:rPr>
        <w:t xml:space="preserve">Visual: </w:t>
      </w:r>
      <w:r>
        <w:rPr>
          <w:color w:val="666666"/>
          <w:sz w:val="20"/>
          <w:szCs w:val="20"/>
        </w:rPr>
        <w:t>Basis heatmap (NW Iowa locations) with one anomaly highlighted in red, plus the hypothesis tree branching from “anomaly detected.”</w:t>
      </w:r>
    </w:p>
    <w:p w14:paraId="3051BB14" w14:textId="77777777" w:rsidR="00B103E2" w:rsidRDefault="00000000">
      <w:pPr>
        <w:pBdr>
          <w:bottom w:val="single" w:sz="2" w:space="0" w:color="C9963B"/>
        </w:pBdr>
        <w:spacing w:before="200" w:after="100"/>
      </w:pPr>
      <w:r>
        <w:rPr>
          <w:b/>
          <w:bCs/>
          <w:color w:val="1B3A5C"/>
          <w:sz w:val="24"/>
          <w:szCs w:val="24"/>
        </w:rPr>
        <w:t>Slide 11 — Guardrails That Earn Trust (2 min)</w:t>
      </w:r>
    </w:p>
    <w:p w14:paraId="4A82BF6A" w14:textId="77777777" w:rsidR="00B103E2" w:rsidRDefault="00000000">
      <w:pPr>
        <w:spacing w:after="60"/>
        <w:ind w:left="360"/>
      </w:pPr>
      <w:r>
        <w:rPr>
          <w:color w:val="C9963B"/>
        </w:rPr>
        <w:t xml:space="preserve">• </w:t>
      </w:r>
      <w:r>
        <w:t>RAG (retrieval-augmented generation): generate from retrieved sources, not from “memory”</w:t>
      </w:r>
    </w:p>
    <w:p w14:paraId="14F6147C" w14:textId="77777777" w:rsidR="00B103E2" w:rsidRDefault="00000000">
      <w:pPr>
        <w:spacing w:after="60"/>
        <w:ind w:left="360"/>
      </w:pPr>
      <w:r>
        <w:rPr>
          <w:color w:val="C9963B"/>
        </w:rPr>
        <w:t xml:space="preserve">• </w:t>
      </w:r>
      <w:r>
        <w:t xml:space="preserve">Validation gates: deterministic checks before any narrative </w:t>
      </w:r>
      <w:proofErr w:type="gramStart"/>
      <w:r>
        <w:t>is</w:t>
      </w:r>
      <w:proofErr w:type="gramEnd"/>
      <w:r>
        <w:t xml:space="preserve"> produced</w:t>
      </w:r>
    </w:p>
    <w:p w14:paraId="3F7C9DC2" w14:textId="77777777" w:rsidR="00B103E2" w:rsidRDefault="00000000">
      <w:pPr>
        <w:spacing w:after="60"/>
        <w:ind w:left="360"/>
      </w:pPr>
      <w:r>
        <w:rPr>
          <w:color w:val="C9963B"/>
        </w:rPr>
        <w:t xml:space="preserve">• </w:t>
      </w:r>
      <w:r>
        <w:t>Stop conditions: when sources conflict, the system escalates instead of guessing</w:t>
      </w:r>
    </w:p>
    <w:p w14:paraId="2ABCE49C" w14:textId="77777777" w:rsidR="00B103E2" w:rsidRDefault="00000000">
      <w:pPr>
        <w:spacing w:after="60"/>
        <w:ind w:left="360"/>
      </w:pPr>
      <w:r>
        <w:rPr>
          <w:color w:val="C9963B"/>
        </w:rPr>
        <w:t xml:space="preserve">• </w:t>
      </w:r>
      <w:r>
        <w:t>Human review gate: high-stakes outputs require sign-off before distribution</w:t>
      </w:r>
    </w:p>
    <w:p w14:paraId="2B9AF2F0" w14:textId="77777777" w:rsidR="00B103E2" w:rsidRDefault="00000000">
      <w:pPr>
        <w:spacing w:before="100" w:after="40"/>
      </w:pPr>
      <w:r>
        <w:rPr>
          <w:b/>
          <w:bCs/>
          <w:color w:val="4A6FA5"/>
          <w:sz w:val="20"/>
          <w:szCs w:val="20"/>
        </w:rPr>
        <w:t>Speaker Notes:</w:t>
      </w:r>
    </w:p>
    <w:p w14:paraId="7266B8DA" w14:textId="77777777" w:rsidR="00B103E2" w:rsidRDefault="00000000">
      <w:pPr>
        <w:spacing w:after="80"/>
        <w:ind w:left="360"/>
      </w:pPr>
      <w:r>
        <w:rPr>
          <w:color w:val="444444"/>
          <w:sz w:val="20"/>
          <w:szCs w:val="20"/>
        </w:rPr>
        <w:t xml:space="preserve">Position guardrails as the product, not the constraint. “The most important feature of my system is what it refuses to do. When two sources disagree on a feedstock price, it doesn’t average them — it flags the conflict, shows you both, and asks which one to trust. When the WASDE table has a number that’s outside historical range, the validator stops the pipeline and </w:t>
      </w:r>
      <w:proofErr w:type="gramStart"/>
      <w:r>
        <w:rPr>
          <w:color w:val="444444"/>
          <w:sz w:val="20"/>
          <w:szCs w:val="20"/>
        </w:rPr>
        <w:t>says</w:t>
      </w:r>
      <w:proofErr w:type="gramEnd"/>
      <w:r>
        <w:rPr>
          <w:color w:val="444444"/>
          <w:sz w:val="20"/>
          <w:szCs w:val="20"/>
        </w:rPr>
        <w:t xml:space="preserve"> ‘this needs human review.’ That discipline is worth more than speed.”</w:t>
      </w:r>
    </w:p>
    <w:p w14:paraId="69CE70F7" w14:textId="77777777" w:rsidR="00B103E2" w:rsidRDefault="00000000">
      <w:pPr>
        <w:spacing w:after="120"/>
        <w:ind w:left="360"/>
      </w:pPr>
      <w:r>
        <w:rPr>
          <w:b/>
          <w:bCs/>
          <w:color w:val="4A6FA5"/>
          <w:sz w:val="20"/>
          <w:szCs w:val="20"/>
        </w:rPr>
        <w:t xml:space="preserve">Visual: </w:t>
      </w:r>
      <w:r>
        <w:rPr>
          <w:color w:val="666666"/>
          <w:sz w:val="20"/>
          <w:szCs w:val="20"/>
        </w:rPr>
        <w:t>RAG loop diagram with validation gate and “escalate to human” branch.</w:t>
      </w:r>
    </w:p>
    <w:p w14:paraId="2FD0919E" w14:textId="77777777" w:rsidR="00B103E2" w:rsidRDefault="00000000">
      <w:pPr>
        <w:pBdr>
          <w:bottom w:val="single" w:sz="2" w:space="0" w:color="C9963B"/>
        </w:pBdr>
        <w:spacing w:before="200" w:after="100"/>
      </w:pPr>
      <w:r>
        <w:rPr>
          <w:b/>
          <w:bCs/>
          <w:color w:val="1B3A5C"/>
          <w:sz w:val="24"/>
          <w:szCs w:val="24"/>
        </w:rPr>
        <w:t>Slide 12 — Where LLMs Still Fail (Said Plainly) (1.5 min)</w:t>
      </w:r>
    </w:p>
    <w:p w14:paraId="6F6F24BA" w14:textId="77777777" w:rsidR="00B103E2" w:rsidRDefault="00000000">
      <w:pPr>
        <w:spacing w:after="60"/>
        <w:ind w:left="360"/>
      </w:pPr>
      <w:r>
        <w:rPr>
          <w:color w:val="C9963B"/>
        </w:rPr>
        <w:t xml:space="preserve">• </w:t>
      </w:r>
      <w:r>
        <w:t>Hallucinations: plausible but wrong outputs, especially under ambiguity</w:t>
      </w:r>
    </w:p>
    <w:p w14:paraId="15E0D49B" w14:textId="77777777" w:rsidR="00B103E2" w:rsidRDefault="00000000">
      <w:pPr>
        <w:spacing w:after="60"/>
        <w:ind w:left="360"/>
      </w:pPr>
      <w:r>
        <w:rPr>
          <w:color w:val="C9963B"/>
        </w:rPr>
        <w:t xml:space="preserve">• </w:t>
      </w:r>
      <w:r>
        <w:t>Silent drift: definitions change, sources go stale, the model doesn’t notice</w:t>
      </w:r>
    </w:p>
    <w:p w14:paraId="6D48FA79" w14:textId="77777777" w:rsidR="00B103E2" w:rsidRDefault="00000000">
      <w:pPr>
        <w:spacing w:after="60"/>
        <w:ind w:left="360"/>
      </w:pPr>
      <w:r>
        <w:rPr>
          <w:color w:val="C9963B"/>
        </w:rPr>
        <w:t xml:space="preserve">• </w:t>
      </w:r>
      <w:r>
        <w:t>Overconfident narrative: the model can tell a compelling story about the wrong number</w:t>
      </w:r>
    </w:p>
    <w:p w14:paraId="23BDEEB1" w14:textId="77777777" w:rsidR="00B103E2" w:rsidRDefault="00000000">
      <w:pPr>
        <w:spacing w:before="100" w:after="40"/>
      </w:pPr>
      <w:r>
        <w:rPr>
          <w:b/>
          <w:bCs/>
          <w:color w:val="4A6FA5"/>
          <w:sz w:val="20"/>
          <w:szCs w:val="20"/>
        </w:rPr>
        <w:t>Speaker Notes:</w:t>
      </w:r>
    </w:p>
    <w:p w14:paraId="487AC428" w14:textId="77777777" w:rsidR="00B103E2" w:rsidRDefault="00000000">
      <w:pPr>
        <w:spacing w:after="80"/>
        <w:ind w:left="360"/>
      </w:pPr>
      <w:r>
        <w:rPr>
          <w:color w:val="444444"/>
          <w:sz w:val="20"/>
          <w:szCs w:val="20"/>
        </w:rPr>
        <w:t>Earn trust by acknowledging limits. “I’ve caught my system hallucinating a tallow price that was plausible but wrong by 3 cents/lb. In a market where margins are measured in pennies, that matters. The mitigation is systematic: retrieval, validation, logging, and human review. Not ‘better prompts.’”</w:t>
      </w:r>
    </w:p>
    <w:p w14:paraId="28C413CA" w14:textId="77777777" w:rsidR="00B103E2" w:rsidRDefault="00000000">
      <w:pPr>
        <w:spacing w:after="120"/>
        <w:ind w:left="360"/>
      </w:pPr>
      <w:r>
        <w:rPr>
          <w:b/>
          <w:bCs/>
          <w:color w:val="4A6FA5"/>
          <w:sz w:val="20"/>
          <w:szCs w:val="20"/>
        </w:rPr>
        <w:t xml:space="preserve">Visual: </w:t>
      </w:r>
      <w:r>
        <w:rPr>
          <w:color w:val="666666"/>
          <w:sz w:val="20"/>
          <w:szCs w:val="20"/>
        </w:rPr>
        <w:t>Failure mode table: Hallucination / Silent drift / Overconfidence, each with one-line mitigation.</w:t>
      </w:r>
    </w:p>
    <w:p w14:paraId="0537FD62" w14:textId="77777777" w:rsidR="00B103E2" w:rsidRDefault="00000000">
      <w:pPr>
        <w:pBdr>
          <w:bottom w:val="single" w:sz="2" w:space="0" w:color="C9963B"/>
        </w:pBdr>
        <w:spacing w:before="200" w:after="100"/>
      </w:pPr>
      <w:r>
        <w:rPr>
          <w:b/>
          <w:bCs/>
          <w:color w:val="1B3A5C"/>
          <w:sz w:val="24"/>
          <w:szCs w:val="24"/>
        </w:rPr>
        <w:t>Slide 13 — What This Changes for Your Organization (1.5 min)</w:t>
      </w:r>
    </w:p>
    <w:p w14:paraId="500059A3" w14:textId="77777777" w:rsidR="00B103E2" w:rsidRDefault="00000000">
      <w:pPr>
        <w:spacing w:after="60"/>
        <w:ind w:left="360"/>
      </w:pPr>
      <w:r>
        <w:rPr>
          <w:color w:val="C9963B"/>
        </w:rPr>
        <w:t xml:space="preserve">• </w:t>
      </w:r>
      <w:r>
        <w:t>Analyst time shifts from data janitorial work to scenario framing and judgment</w:t>
      </w:r>
    </w:p>
    <w:p w14:paraId="387BB588" w14:textId="77777777" w:rsidR="00B103E2" w:rsidRDefault="00000000">
      <w:pPr>
        <w:spacing w:after="60"/>
        <w:ind w:left="360"/>
      </w:pPr>
      <w:r>
        <w:rPr>
          <w:color w:val="C9963B"/>
        </w:rPr>
        <w:t xml:space="preserve">• </w:t>
      </w:r>
      <w:r>
        <w:t>Coverage expands without adding headcount: more markets, more cadences, same team</w:t>
      </w:r>
    </w:p>
    <w:p w14:paraId="7CEFEAC9" w14:textId="77777777" w:rsidR="00B103E2" w:rsidRDefault="00000000">
      <w:pPr>
        <w:spacing w:after="60"/>
        <w:ind w:left="360"/>
      </w:pPr>
      <w:r>
        <w:rPr>
          <w:color w:val="C9963B"/>
        </w:rPr>
        <w:t xml:space="preserve">• </w:t>
      </w:r>
      <w:r>
        <w:t>Institutional memory compounds: every analysis builds the knowledge graph</w:t>
      </w:r>
    </w:p>
    <w:p w14:paraId="1B0F0CB2" w14:textId="77777777" w:rsidR="00B103E2" w:rsidRDefault="00000000">
      <w:pPr>
        <w:spacing w:before="100" w:after="40"/>
      </w:pPr>
      <w:r>
        <w:rPr>
          <w:b/>
          <w:bCs/>
          <w:color w:val="4A6FA5"/>
          <w:sz w:val="20"/>
          <w:szCs w:val="20"/>
        </w:rPr>
        <w:t>Speaker Notes:</w:t>
      </w:r>
    </w:p>
    <w:p w14:paraId="2B66BCE4" w14:textId="77777777" w:rsidR="00B103E2" w:rsidRDefault="00000000">
      <w:pPr>
        <w:spacing w:after="80"/>
        <w:ind w:left="360"/>
      </w:pPr>
      <w:r>
        <w:rPr>
          <w:color w:val="444444"/>
          <w:sz w:val="20"/>
          <w:szCs w:val="20"/>
        </w:rPr>
        <w:t>Make it concrete: “The HOBO Renewable Fuels Landscape study — a comprehensive 9-section analysis covering feedstocks, technology, policy, and market dynamics — produced 186 knowledge graph nodes. When the next client asks about soybean oil feedstock dynamics, I don’t start from scratch. The graph already has the entities, relationships, and analytical contexts. The system gets smarter with every engagement.”</w:t>
      </w:r>
    </w:p>
    <w:p w14:paraId="1F694176" w14:textId="77777777" w:rsidR="00B103E2" w:rsidRDefault="00000000">
      <w:pPr>
        <w:spacing w:after="120"/>
        <w:ind w:left="360"/>
      </w:pPr>
      <w:r>
        <w:rPr>
          <w:b/>
          <w:bCs/>
          <w:color w:val="4A6FA5"/>
          <w:sz w:val="20"/>
          <w:szCs w:val="20"/>
        </w:rPr>
        <w:t xml:space="preserve">Visual: </w:t>
      </w:r>
      <w:r>
        <w:rPr>
          <w:color w:val="666666"/>
          <w:sz w:val="20"/>
          <w:szCs w:val="20"/>
        </w:rPr>
        <w:t>Before/after time allocation: janitorial (collection, cleaning, reconciliation) vs. interpretation (scenario framing, judgment, communication). Show the shift.</w:t>
      </w:r>
    </w:p>
    <w:p w14:paraId="2400FC0C" w14:textId="77777777" w:rsidR="00B103E2" w:rsidRDefault="00000000">
      <w:pPr>
        <w:pBdr>
          <w:bottom w:val="single" w:sz="2" w:space="0" w:color="C9963B"/>
        </w:pBdr>
        <w:spacing w:before="200" w:after="100"/>
      </w:pPr>
      <w:r>
        <w:rPr>
          <w:b/>
          <w:bCs/>
          <w:color w:val="1B3A5C"/>
          <w:sz w:val="24"/>
          <w:szCs w:val="24"/>
        </w:rPr>
        <w:t>Slide 14 — Close: Architecture Is Strategy (1.5 min)</w:t>
      </w:r>
    </w:p>
    <w:p w14:paraId="54D22A54" w14:textId="77777777" w:rsidR="00B103E2" w:rsidRDefault="00000000">
      <w:pPr>
        <w:spacing w:after="60"/>
        <w:ind w:left="360"/>
      </w:pPr>
      <w:r>
        <w:rPr>
          <w:color w:val="C9963B"/>
        </w:rPr>
        <w:lastRenderedPageBreak/>
        <w:t xml:space="preserve">• </w:t>
      </w:r>
      <w:r>
        <w:t>The edge is not “using AI” — it’s building disciplined systems that make correct work the default</w:t>
      </w:r>
    </w:p>
    <w:p w14:paraId="1DAECDC8" w14:textId="77777777" w:rsidR="00B103E2" w:rsidRDefault="00000000">
      <w:pPr>
        <w:spacing w:after="60"/>
        <w:ind w:left="360"/>
      </w:pPr>
      <w:r>
        <w:rPr>
          <w:color w:val="C9963B"/>
        </w:rPr>
        <w:t xml:space="preserve">• </w:t>
      </w:r>
      <w:r>
        <w:t>Humans own judgment; systems own throughput</w:t>
      </w:r>
    </w:p>
    <w:p w14:paraId="56192F65" w14:textId="77777777" w:rsidR="00B103E2" w:rsidRDefault="00000000">
      <w:pPr>
        <w:spacing w:after="60"/>
        <w:ind w:left="360"/>
      </w:pPr>
      <w:r>
        <w:rPr>
          <w:color w:val="C9963B"/>
        </w:rPr>
        <w:t xml:space="preserve">• </w:t>
      </w:r>
      <w:r>
        <w:t>The future desk is not bigger — it’s better architected</w:t>
      </w:r>
    </w:p>
    <w:p w14:paraId="1F3C294F" w14:textId="77777777" w:rsidR="00B103E2" w:rsidRDefault="00000000">
      <w:pPr>
        <w:spacing w:before="100" w:after="40"/>
      </w:pPr>
      <w:r>
        <w:rPr>
          <w:b/>
          <w:bCs/>
          <w:color w:val="4A6FA5"/>
          <w:sz w:val="20"/>
          <w:szCs w:val="20"/>
        </w:rPr>
        <w:t>Speaker Notes:</w:t>
      </w:r>
    </w:p>
    <w:p w14:paraId="62097997" w14:textId="77777777" w:rsidR="00B103E2" w:rsidRDefault="00000000">
      <w:pPr>
        <w:spacing w:after="80"/>
        <w:ind w:left="360"/>
      </w:pPr>
      <w:r>
        <w:rPr>
          <w:color w:val="444444"/>
          <w:sz w:val="20"/>
          <w:szCs w:val="20"/>
        </w:rPr>
        <w:t>Close with your thesis: “The commodity analysts who will win the next decade aren’t the ones with the best chatbot. They’re the ones who build systems where provenance is automatic, validation is enforced, and uncertainty is visible. That’s what I’m building. I’m happy to talk about how.” Leave your contact info visible.</w:t>
      </w:r>
    </w:p>
    <w:p w14:paraId="208A710C" w14:textId="77777777" w:rsidR="00B103E2" w:rsidRDefault="00000000">
      <w:pPr>
        <w:spacing w:after="120"/>
        <w:ind w:left="360"/>
      </w:pPr>
      <w:r>
        <w:rPr>
          <w:b/>
          <w:bCs/>
          <w:color w:val="4A6FA5"/>
          <w:sz w:val="20"/>
          <w:szCs w:val="20"/>
        </w:rPr>
        <w:t xml:space="preserve">Visual: </w:t>
      </w:r>
      <w:r>
        <w:rPr>
          <w:color w:val="666666"/>
          <w:sz w:val="20"/>
          <w:szCs w:val="20"/>
        </w:rPr>
        <w:t>Simple closing slide: your name, RLC logo, contact info, and the line “46 agents. Every output cited. Architecture is strategy.”</w:t>
      </w:r>
    </w:p>
    <w:p w14:paraId="7A1F8F01" w14:textId="77777777" w:rsidR="00B103E2" w:rsidRDefault="00000000">
      <w:r>
        <w:br w:type="page"/>
      </w:r>
    </w:p>
    <w:p w14:paraId="27BE1BAA" w14:textId="77777777" w:rsidR="00B103E2" w:rsidRDefault="00000000">
      <w:pPr>
        <w:pStyle w:val="Heading1"/>
      </w:pPr>
      <w:r>
        <w:lastRenderedPageBreak/>
        <w:t>Adaptation Notes for Other Conferences</w:t>
      </w:r>
    </w:p>
    <w:p w14:paraId="43381DCD" w14:textId="77777777" w:rsidR="00B103E2" w:rsidRDefault="00000000">
      <w:pPr>
        <w:pStyle w:val="Heading2"/>
      </w:pPr>
      <w:r>
        <w:t>AFOA (October 7–8, Kansas City)</w:t>
      </w:r>
    </w:p>
    <w:p w14:paraId="5ADC2188" w14:textId="77777777" w:rsidR="00B103E2" w:rsidRDefault="00000000">
      <w:pPr>
        <w:spacing w:after="120"/>
      </w:pPr>
      <w:r>
        <w:t xml:space="preserve">Audience: Fats, oils, greases, and feedstock industry. More operational/physical than the </w:t>
      </w:r>
      <w:proofErr w:type="spellStart"/>
      <w:r>
        <w:t>Fastmarkets</w:t>
      </w:r>
      <w:proofErr w:type="spellEnd"/>
      <w:r>
        <w:t xml:space="preserve"> crowd. Key adaptations:</w:t>
      </w:r>
    </w:p>
    <w:p w14:paraId="49FF3300" w14:textId="77777777" w:rsidR="00B103E2" w:rsidRDefault="00B103E2">
      <w:pPr>
        <w:spacing w:after="80"/>
      </w:pPr>
    </w:p>
    <w:p w14:paraId="5E54639C" w14:textId="77777777" w:rsidR="00B103E2" w:rsidRDefault="00000000">
      <w:pPr>
        <w:spacing w:after="120"/>
      </w:pPr>
      <w:r>
        <w:rPr>
          <w:b/>
          <w:bCs/>
        </w:rPr>
        <w:t xml:space="preserve">Swap Demo #2 focus: </w:t>
      </w:r>
      <w:r>
        <w:t>Instead of the CARB policy shock through the RD/crush lens, use a feedstock spec example. Show how the system extracts and validates quality specifications (FFA, MIU, moisture) from counterparty documents and flags mismatches against contract terms. The AFOA room lives in specs and logistics — show them you do too.</w:t>
      </w:r>
    </w:p>
    <w:p w14:paraId="667E44FD" w14:textId="77777777" w:rsidR="00B103E2" w:rsidRDefault="00000000">
      <w:pPr>
        <w:spacing w:after="120"/>
      </w:pPr>
      <w:r>
        <w:rPr>
          <w:b/>
          <w:bCs/>
        </w:rPr>
        <w:t xml:space="preserve">Emphasize the physical chain: </w:t>
      </w:r>
      <w:r>
        <w:t xml:space="preserve">Tallow, UCO, corn oil, animal fats. These are messy, spec-driven commodities. Your </w:t>
      </w:r>
      <w:proofErr w:type="spellStart"/>
      <w:r>
        <w:t>BioTrack</w:t>
      </w:r>
      <w:proofErr w:type="spellEnd"/>
      <w:r>
        <w:t xml:space="preserve"> AI rail monitoring system (computer vision for tracking feedstock movements) is a unique talking point for this audience.</w:t>
      </w:r>
    </w:p>
    <w:p w14:paraId="15299EA4" w14:textId="77777777" w:rsidR="00B103E2" w:rsidRDefault="00000000">
      <w:pPr>
        <w:spacing w:after="120"/>
      </w:pPr>
      <w:r>
        <w:rPr>
          <w:b/>
          <w:bCs/>
        </w:rPr>
        <w:t xml:space="preserve">Reduce policy depth, increase logistics depth: </w:t>
      </w:r>
      <w:r>
        <w:t>AFOA attendees care more about freight, storage, and handling constraints than about LCFS credit mechanics. Shift 2–3 minutes from policy slides to logistics and spec validation.</w:t>
      </w:r>
    </w:p>
    <w:p w14:paraId="78B7AF4C" w14:textId="77777777" w:rsidR="00B103E2" w:rsidRDefault="00B103E2">
      <w:pPr>
        <w:spacing w:after="80"/>
      </w:pPr>
    </w:p>
    <w:p w14:paraId="39CCFFE1" w14:textId="77777777" w:rsidR="00B103E2" w:rsidRDefault="00000000">
      <w:pPr>
        <w:pStyle w:val="Heading2"/>
      </w:pPr>
      <w:r>
        <w:t>Geneva Grains / Global Grain (November, Geneva)</w:t>
      </w:r>
    </w:p>
    <w:p w14:paraId="08812B97" w14:textId="77777777" w:rsidR="00B103E2" w:rsidRDefault="00000000">
      <w:pPr>
        <w:spacing w:after="120"/>
      </w:pPr>
      <w:r>
        <w:t xml:space="preserve">Audience: Senior grain trade decision-makers (41% C-suite per </w:t>
      </w:r>
      <w:proofErr w:type="spellStart"/>
      <w:r>
        <w:t>Fastmarkets</w:t>
      </w:r>
      <w:proofErr w:type="spellEnd"/>
      <w:r>
        <w:t>). International trade flows, macro, and basis/freight focus. Key adaptations:</w:t>
      </w:r>
    </w:p>
    <w:p w14:paraId="5E71F2F4" w14:textId="77777777" w:rsidR="00B103E2" w:rsidRDefault="00B103E2">
      <w:pPr>
        <w:spacing w:after="80"/>
      </w:pPr>
    </w:p>
    <w:p w14:paraId="54827632" w14:textId="77777777" w:rsidR="00B103E2" w:rsidRDefault="00000000">
      <w:pPr>
        <w:spacing w:after="120"/>
      </w:pPr>
      <w:r>
        <w:rPr>
          <w:b/>
          <w:bCs/>
        </w:rPr>
        <w:t xml:space="preserve">Lead with trade flows and basis: </w:t>
      </w:r>
      <w:r>
        <w:t>Demo #3 (basis anomaly) should be your opener, not Demo #1. Geneva rooms care about spreads, flows, and freight — not USDA release cadence.</w:t>
      </w:r>
    </w:p>
    <w:p w14:paraId="2BFD4A29" w14:textId="77777777" w:rsidR="00B103E2" w:rsidRDefault="00000000">
      <w:pPr>
        <w:spacing w:after="120"/>
      </w:pPr>
      <w:r>
        <w:rPr>
          <w:b/>
          <w:bCs/>
        </w:rPr>
        <w:t xml:space="preserve">Add international data sources: </w:t>
      </w:r>
      <w:r>
        <w:t>Reference AMIS (FAO market transparency for wheat, maize, rice, soybeans), IGC data, and Census Bureau trade flows. Show that your system ingests Brazilian export data, Black Sea freight indices, and FX context as structured variables.</w:t>
      </w:r>
    </w:p>
    <w:p w14:paraId="2F12D33F" w14:textId="77777777" w:rsidR="00B103E2" w:rsidRDefault="00000000">
      <w:pPr>
        <w:spacing w:after="120"/>
      </w:pPr>
      <w:r>
        <w:rPr>
          <w:b/>
          <w:bCs/>
        </w:rPr>
        <w:t xml:space="preserve">Felipe/Brazil angle: </w:t>
      </w:r>
      <w:r>
        <w:t>If Felipe presents with you or is referenced, the Portuguese-language Brazil market coverage differentiates you from generic AI systems that only work in English.</w:t>
      </w:r>
    </w:p>
    <w:p w14:paraId="003EF540" w14:textId="77777777" w:rsidR="00B103E2" w:rsidRDefault="00000000">
      <w:pPr>
        <w:spacing w:after="120"/>
      </w:pPr>
      <w:r>
        <w:rPr>
          <w:b/>
          <w:bCs/>
        </w:rPr>
        <w:t xml:space="preserve">Elevate the tone: </w:t>
      </w:r>
      <w:r>
        <w:t>This room is more strategic than operational. Talk less about “agent architecture” and more about “institutional memory” and “reproducible trade intelligence.”</w:t>
      </w:r>
    </w:p>
    <w:p w14:paraId="0A53582B" w14:textId="77777777" w:rsidR="00B103E2" w:rsidRDefault="00000000">
      <w:r>
        <w:br w:type="page"/>
      </w:r>
    </w:p>
    <w:p w14:paraId="3A6A1AC7" w14:textId="77777777" w:rsidR="00B103E2" w:rsidRDefault="00000000">
      <w:pPr>
        <w:pStyle w:val="Heading1"/>
      </w:pPr>
      <w:r>
        <w:lastRenderedPageBreak/>
        <w:t>Revised Speaker Bio</w:t>
      </w:r>
    </w:p>
    <w:p w14:paraId="13920C25" w14:textId="77777777" w:rsidR="00B103E2" w:rsidRDefault="00000000">
      <w:pPr>
        <w:pStyle w:val="Heading2"/>
      </w:pPr>
      <w:r>
        <w:t>Short version (conference programs)</w:t>
      </w:r>
    </w:p>
    <w:p w14:paraId="64E8930C" w14:textId="77777777" w:rsidR="00B103E2" w:rsidRDefault="00000000">
      <w:pPr>
        <w:spacing w:after="120"/>
      </w:pPr>
      <w:r>
        <w:t>Tore Alden is the founder of Round Lakes Companies (RLC), a commodity market analysis firm specializing in agricultural commodities, biofuels, and renewable energy markets. With a decade of experience in biofuels industry analysis — spanning RINs, LCFS, crush margins, and feedstock economics — he has delivered market intelligence and due diligence for private equity clients, industry associations, and commercial organizations. He is currently building an AI-driven commodity intelligence platform (46 specialized agents, knowledge graph architecture, medallion data layers) that produces auditable, source-linked analysis for feedstocks, renewable fuels, and global grain trade.</w:t>
      </w:r>
    </w:p>
    <w:p w14:paraId="495E289F" w14:textId="77777777" w:rsidR="00B103E2" w:rsidRDefault="00B103E2">
      <w:pPr>
        <w:spacing w:after="80"/>
      </w:pPr>
    </w:p>
    <w:p w14:paraId="3C493FDE" w14:textId="77777777" w:rsidR="00B103E2" w:rsidRDefault="00000000">
      <w:pPr>
        <w:pStyle w:val="Heading2"/>
      </w:pPr>
      <w:r>
        <w:t>Extended version (speaker pages/introductions)</w:t>
      </w:r>
    </w:p>
    <w:p w14:paraId="6123F4E6" w14:textId="77777777" w:rsidR="00B103E2" w:rsidRDefault="00000000">
      <w:pPr>
        <w:spacing w:after="120"/>
      </w:pPr>
      <w:r>
        <w:t xml:space="preserve">Tore Alden is the founder of Round Lakes Companies (RLC), a commodity market analysis firm with three operating divisions: RLC Consulting (market intelligence and due diligence), RLC Trading (systematic trading), and RLC Meats (planned cattle ranching). His consulting practice </w:t>
      </w:r>
      <w:proofErr w:type="gramStart"/>
      <w:r>
        <w:t>has delivered</w:t>
      </w:r>
      <w:proofErr w:type="gramEnd"/>
      <w:r>
        <w:t xml:space="preserve"> PE-backed facility due diligence (soybean crushing, renewable diesel), comprehensive renewable fuels landscape studies, and SAF market assessments for commercial clients.</w:t>
      </w:r>
    </w:p>
    <w:p w14:paraId="3B76FFCF" w14:textId="77777777" w:rsidR="00B103E2" w:rsidRDefault="00000000">
      <w:pPr>
        <w:spacing w:after="120"/>
      </w:pPr>
      <w:r>
        <w:t xml:space="preserve">Tore’s approach combines deep domain expertise in agricultural commodity markets with systematic AI-driven analysis. His platform uses 46 specialized AI agents, a PostgreSQL-backed knowledge graph with 200+ entities and 140+ relationships, and data pipelines spanning USDA, NOAA, EIA, EPA, and Census Bureau sources. The system produces auditable intelligence products where every claim links to a source, every run is </w:t>
      </w:r>
      <w:proofErr w:type="spellStart"/>
      <w:r>
        <w:t>replayable</w:t>
      </w:r>
      <w:proofErr w:type="spellEnd"/>
      <w:r>
        <w:t>, and every validation is logged.</w:t>
      </w:r>
    </w:p>
    <w:p w14:paraId="5F408363" w14:textId="77777777" w:rsidR="00B103E2" w:rsidRDefault="00000000">
      <w:pPr>
        <w:spacing w:after="120"/>
      </w:pPr>
      <w:r>
        <w:t xml:space="preserve">Prior to founding RLC, Tore led agricultural analytics operations and built market intelligence capabilities for biofuels and feedstock markets. He holds </w:t>
      </w:r>
      <w:proofErr w:type="gramStart"/>
      <w:r>
        <w:t>particular expertise</w:t>
      </w:r>
      <w:proofErr w:type="gramEnd"/>
      <w:r>
        <w:t xml:space="preserve"> in renewable identification numbers (RINs), LCFS credit economics, soybean crush margin analysis, and feedstock supply chain dynamics.</w:t>
      </w:r>
    </w:p>
    <w:p w14:paraId="48FD48FA" w14:textId="77777777" w:rsidR="00B103E2" w:rsidRDefault="00000000">
      <w:r>
        <w:br w:type="page"/>
      </w:r>
    </w:p>
    <w:p w14:paraId="37E57AC2" w14:textId="77777777" w:rsidR="00B103E2" w:rsidRDefault="00000000">
      <w:pPr>
        <w:pStyle w:val="Heading1"/>
      </w:pPr>
      <w:r>
        <w:lastRenderedPageBreak/>
        <w:t>Revised Outreach Email</w:t>
      </w:r>
    </w:p>
    <w:p w14:paraId="79A33971" w14:textId="77777777" w:rsidR="00B103E2" w:rsidRDefault="00000000">
      <w:pPr>
        <w:pStyle w:val="Heading2"/>
      </w:pPr>
      <w:r>
        <w:t xml:space="preserve">For </w:t>
      </w:r>
      <w:proofErr w:type="spellStart"/>
      <w:r>
        <w:t>Fastmarkets</w:t>
      </w:r>
      <w:proofErr w:type="spellEnd"/>
      <w:r>
        <w:t xml:space="preserve"> Biofuels &amp; Feedstocks Americas</w:t>
      </w:r>
    </w:p>
    <w:p w14:paraId="05DFA382" w14:textId="77777777" w:rsidR="00B103E2" w:rsidRDefault="00B103E2">
      <w:pPr>
        <w:spacing w:after="80"/>
      </w:pPr>
    </w:p>
    <w:p w14:paraId="6F9064A7" w14:textId="77777777" w:rsidR="00B103E2" w:rsidRDefault="00000000">
      <w:pPr>
        <w:spacing w:after="120"/>
      </w:pPr>
      <w:r>
        <w:rPr>
          <w:b/>
          <w:bCs/>
        </w:rPr>
        <w:t xml:space="preserve">Subject: </w:t>
      </w:r>
      <w:r>
        <w:t>Speaker proposal: How I use 46 AI agents to deliver biofuels intelligence (architecture + live demos, no hype)</w:t>
      </w:r>
    </w:p>
    <w:p w14:paraId="11723DE0" w14:textId="77777777" w:rsidR="00B103E2" w:rsidRDefault="00B103E2">
      <w:pPr>
        <w:spacing w:after="80"/>
      </w:pPr>
    </w:p>
    <w:p w14:paraId="66BC80BB" w14:textId="77777777" w:rsidR="00B103E2" w:rsidRDefault="00000000">
      <w:pPr>
        <w:spacing w:after="120"/>
      </w:pPr>
      <w:r>
        <w:t>Hello [Program Chair],</w:t>
      </w:r>
    </w:p>
    <w:p w14:paraId="68A37546" w14:textId="77777777" w:rsidR="00B103E2" w:rsidRDefault="00B103E2">
      <w:pPr>
        <w:spacing w:after="80"/>
      </w:pPr>
    </w:p>
    <w:p w14:paraId="61D6FB7C" w14:textId="77777777" w:rsidR="00B103E2" w:rsidRDefault="00000000">
      <w:pPr>
        <w:spacing w:after="120"/>
      </w:pPr>
      <w:r>
        <w:t xml:space="preserve">I’d like to propose a 30-minute session for Biofuels &amp; Feedstocks Americas on how I’ve built an AI-driven commodity intelligence platform specifically for biofuels and feedstock analysis — and what it </w:t>
      </w:r>
      <w:proofErr w:type="gramStart"/>
      <w:r>
        <w:t>actually takes</w:t>
      </w:r>
      <w:proofErr w:type="gramEnd"/>
      <w:r>
        <w:t xml:space="preserve"> to make LLM outputs trustworthy enough for commercial decisions.</w:t>
      </w:r>
    </w:p>
    <w:p w14:paraId="0F7AA3F5" w14:textId="77777777" w:rsidR="00B103E2" w:rsidRDefault="00000000">
      <w:pPr>
        <w:spacing w:after="120"/>
      </w:pPr>
      <w:r>
        <w:t>This is not a vendor pitch or an “AI will change everything” talk. I’m an agricultural economist who spent a decade analyzing biofuels markets (RINs, LCFS, crush margins, feedstock economics) and built this system because I needed it. The platform uses 46 specialized AI agents, a knowledge graph with 200+ entities, and data pipelines across USDA, EPA, EIA, and Census Bureau sources — all producing outputs where every number traces back to a source.</w:t>
      </w:r>
    </w:p>
    <w:p w14:paraId="6EF0B4A9" w14:textId="77777777" w:rsidR="00B103E2" w:rsidRDefault="00000000">
      <w:pPr>
        <w:spacing w:after="120"/>
      </w:pPr>
      <w:r>
        <w:t>I’ll show three short demos your audience will recognize:</w:t>
      </w:r>
    </w:p>
    <w:p w14:paraId="234F9C40" w14:textId="77777777" w:rsidR="00B103E2" w:rsidRDefault="00B103E2">
      <w:pPr>
        <w:spacing w:after="80"/>
      </w:pPr>
    </w:p>
    <w:p w14:paraId="402A099C" w14:textId="77777777" w:rsidR="00B103E2" w:rsidRDefault="00000000">
      <w:pPr>
        <w:spacing w:after="120"/>
      </w:pPr>
      <w:r>
        <w:rPr>
          <w:b/>
          <w:bCs/>
        </w:rPr>
        <w:t xml:space="preserve">1. WASDE day oilseeds diff-to-brief </w:t>
      </w:r>
      <w:r>
        <w:t>(∼8 minutes from release to cited memo)</w:t>
      </w:r>
    </w:p>
    <w:p w14:paraId="27BF6EA7" w14:textId="77777777" w:rsidR="00B103E2" w:rsidRDefault="00000000">
      <w:pPr>
        <w:spacing w:after="120"/>
      </w:pPr>
      <w:r>
        <w:rPr>
          <w:b/>
          <w:bCs/>
        </w:rPr>
        <w:t xml:space="preserve">2. Policy shock scenario matrix </w:t>
      </w:r>
      <w:r>
        <w:t>(CARB veg oil cap → LCFS credit impact → crush margin sensitivity)</w:t>
      </w:r>
    </w:p>
    <w:p w14:paraId="7604D35B" w14:textId="77777777" w:rsidR="00B103E2" w:rsidRDefault="00000000">
      <w:pPr>
        <w:spacing w:after="120"/>
      </w:pPr>
      <w:r>
        <w:rPr>
          <w:b/>
          <w:bCs/>
        </w:rPr>
        <w:t xml:space="preserve">3. Basis anomaly triage </w:t>
      </w:r>
      <w:r>
        <w:t>(detect, hypothesize, confirm — with audit trail)</w:t>
      </w:r>
    </w:p>
    <w:p w14:paraId="322D5055" w14:textId="77777777" w:rsidR="00B103E2" w:rsidRDefault="00B103E2">
      <w:pPr>
        <w:spacing w:after="80"/>
      </w:pPr>
    </w:p>
    <w:p w14:paraId="0F6F938A" w14:textId="77777777" w:rsidR="00B103E2" w:rsidRDefault="00000000">
      <w:pPr>
        <w:spacing w:after="120"/>
      </w:pPr>
      <w:r>
        <w:t>The talk is designed for experienced commercial professionals: concrete, architectural, and honest about where LLMs still fail. I’ve delivered this type of analysis commercially (PE due diligence on a soybean crusher, comprehensive renewable fuels landscape studies) and can speak to both the capabilities and the real limitations.</w:t>
      </w:r>
    </w:p>
    <w:p w14:paraId="467BD39F" w14:textId="77777777" w:rsidR="00B103E2" w:rsidRDefault="00B103E2">
      <w:pPr>
        <w:spacing w:after="80"/>
      </w:pPr>
    </w:p>
    <w:p w14:paraId="17726756" w14:textId="77777777" w:rsidR="00B103E2" w:rsidRDefault="00000000">
      <w:pPr>
        <w:spacing w:after="120"/>
      </w:pPr>
      <w:proofErr w:type="gramStart"/>
      <w:r>
        <w:t>Happy</w:t>
      </w:r>
      <w:proofErr w:type="gramEnd"/>
      <w:r>
        <w:t xml:space="preserve"> to send a slide outline or one-page abstract. Who is the best contact for review?</w:t>
      </w:r>
    </w:p>
    <w:p w14:paraId="1AF3094A" w14:textId="77777777" w:rsidR="00B103E2" w:rsidRDefault="00B103E2">
      <w:pPr>
        <w:spacing w:after="80"/>
      </w:pPr>
    </w:p>
    <w:p w14:paraId="78B81473" w14:textId="77777777" w:rsidR="00B103E2" w:rsidRDefault="00000000">
      <w:pPr>
        <w:spacing w:after="120"/>
      </w:pPr>
      <w:r>
        <w:t>Best regards,</w:t>
      </w:r>
    </w:p>
    <w:p w14:paraId="48F5854D" w14:textId="77777777" w:rsidR="00B103E2" w:rsidRDefault="00000000">
      <w:pPr>
        <w:spacing w:after="120"/>
      </w:pPr>
      <w:r>
        <w:t>Tore Alden</w:t>
      </w:r>
    </w:p>
    <w:p w14:paraId="0E07A8D4" w14:textId="77777777" w:rsidR="00B103E2" w:rsidRDefault="00000000">
      <w:pPr>
        <w:spacing w:after="120"/>
      </w:pPr>
      <w:r>
        <w:t>Founder, Round Lakes Companies</w:t>
      </w:r>
    </w:p>
    <w:p w14:paraId="56E475ED" w14:textId="77777777" w:rsidR="00B103E2" w:rsidRDefault="00000000">
      <w:pPr>
        <w:spacing w:after="120"/>
      </w:pPr>
      <w:r>
        <w:t>[Email] | [Phone] | [LinkedIn]</w:t>
      </w:r>
    </w:p>
    <w:p w14:paraId="158CE5AF" w14:textId="77777777" w:rsidR="00B103E2" w:rsidRDefault="00000000">
      <w:r>
        <w:br w:type="page"/>
      </w:r>
    </w:p>
    <w:p w14:paraId="59542338" w14:textId="77777777" w:rsidR="00B103E2" w:rsidRDefault="00000000">
      <w:pPr>
        <w:pStyle w:val="Heading1"/>
      </w:pPr>
      <w:r>
        <w:lastRenderedPageBreak/>
        <w:t>Conference Priority List (Triaged for 2026)</w:t>
      </w:r>
    </w:p>
    <w:p w14:paraId="0BD80179" w14:textId="77777777" w:rsidR="00B103E2" w:rsidRDefault="00000000">
      <w:pPr>
        <w:spacing w:after="120"/>
      </w:pPr>
      <w:r>
        <w:t>Filtered from the v1 lists, removing events with passed deadlines or poor fit. Sorted by date with actionability notes.</w:t>
      </w:r>
    </w:p>
    <w:p w14:paraId="78BD4889" w14:textId="77777777" w:rsidR="00B103E2" w:rsidRDefault="00B103E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1200"/>
        <w:gridCol w:w="1400"/>
        <w:gridCol w:w="3160"/>
      </w:tblGrid>
      <w:tr w:rsidR="00B103E2" w14:paraId="327C6A05" w14:textId="77777777">
        <w:tc>
          <w:tcPr>
            <w:tcW w:w="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109497D9" w14:textId="77777777" w:rsidR="00B103E2" w:rsidRDefault="00000000">
            <w:r>
              <w:rPr>
                <w:b/>
                <w:bCs/>
                <w:color w:val="FFFFFF"/>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2F921ED9" w14:textId="77777777" w:rsidR="00B103E2" w:rsidRDefault="00000000">
            <w:r>
              <w:rPr>
                <w:b/>
                <w:bCs/>
                <w:color w:val="FFFFFF"/>
                <w:sz w:val="18"/>
                <w:szCs w:val="18"/>
              </w:rPr>
              <w:t>Event</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13B63B75" w14:textId="77777777" w:rsidR="00B103E2" w:rsidRDefault="00000000">
            <w:r>
              <w:rPr>
                <w:b/>
                <w:bCs/>
                <w:color w:val="FFFFFF"/>
                <w:sz w:val="18"/>
                <w:szCs w:val="18"/>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5113BC10" w14:textId="77777777" w:rsidR="00B103E2" w:rsidRDefault="00000000">
            <w:r>
              <w:rPr>
                <w:b/>
                <w:bCs/>
                <w:color w:val="FFFFFF"/>
                <w:sz w:val="18"/>
                <w:szCs w:val="18"/>
              </w:rPr>
              <w:t>Location</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80" w:type="dxa"/>
              <w:bottom w:w="60" w:type="dxa"/>
              <w:right w:w="80" w:type="dxa"/>
            </w:tcMar>
          </w:tcPr>
          <w:p w14:paraId="7D22935E" w14:textId="77777777" w:rsidR="00B103E2" w:rsidRDefault="00000000">
            <w:r>
              <w:rPr>
                <w:b/>
                <w:bCs/>
                <w:color w:val="FFFFFF"/>
                <w:sz w:val="18"/>
                <w:szCs w:val="18"/>
              </w:rPr>
              <w:t>Action / Notes</w:t>
            </w:r>
          </w:p>
        </w:tc>
      </w:tr>
      <w:tr w:rsidR="00B103E2" w14:paraId="55130117"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9FC18CE" w14:textId="77777777" w:rsidR="00B103E2" w:rsidRDefault="00000000">
            <w:r>
              <w:rPr>
                <w:sz w:val="16"/>
                <w:szCs w:val="16"/>
              </w:rPr>
              <w:t>1</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750929F" w14:textId="77777777" w:rsidR="00B103E2" w:rsidRDefault="00000000">
            <w:proofErr w:type="spellStart"/>
            <w:r>
              <w:rPr>
                <w:sz w:val="16"/>
                <w:szCs w:val="16"/>
              </w:rPr>
              <w:t>Fastmarkets</w:t>
            </w:r>
            <w:proofErr w:type="spellEnd"/>
            <w:r>
              <w:rPr>
                <w:sz w:val="16"/>
                <w:szCs w:val="16"/>
              </w:rPr>
              <w:t xml:space="preserve"> Biofuels &amp; Feedstocks Americas</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91593F0" w14:textId="77777777" w:rsidR="00B103E2" w:rsidRDefault="00000000">
            <w:r>
              <w:rPr>
                <w:sz w:val="16"/>
                <w:szCs w:val="16"/>
              </w:rPr>
              <w:t>May 4–6</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BD91E2E" w14:textId="77777777" w:rsidR="00B103E2" w:rsidRDefault="00000000">
            <w:r>
              <w:rPr>
                <w:sz w:val="16"/>
                <w:szCs w:val="16"/>
              </w:rPr>
              <w:t>Chicago</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36782D6" w14:textId="77777777" w:rsidR="00B103E2" w:rsidRDefault="00000000">
            <w:r>
              <w:rPr>
                <w:sz w:val="16"/>
                <w:szCs w:val="16"/>
              </w:rPr>
              <w:t>PRIMARY TARGET. Submit pitch email now. Nearest deadline.</w:t>
            </w:r>
          </w:p>
        </w:tc>
      </w:tr>
      <w:tr w:rsidR="00B103E2" w14:paraId="1570A278"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51DB5C8" w14:textId="77777777" w:rsidR="00B103E2" w:rsidRDefault="00000000">
            <w:r>
              <w:rPr>
                <w:sz w:val="16"/>
                <w:szCs w:val="16"/>
              </w:rPr>
              <w:t>2</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FD39F1B" w14:textId="77777777" w:rsidR="00B103E2" w:rsidRDefault="00000000">
            <w:r>
              <w:rPr>
                <w:sz w:val="16"/>
                <w:szCs w:val="16"/>
              </w:rPr>
              <w:t>AOCS Annual Meeting</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48BCCC4" w14:textId="77777777" w:rsidR="00B103E2" w:rsidRDefault="00000000">
            <w:r>
              <w:rPr>
                <w:sz w:val="16"/>
                <w:szCs w:val="16"/>
              </w:rPr>
              <w:t>May 3–6</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23B3BB8" w14:textId="77777777" w:rsidR="00B103E2" w:rsidRDefault="00000000">
            <w:r>
              <w:rPr>
                <w:sz w:val="16"/>
                <w:szCs w:val="16"/>
              </w:rPr>
              <w:t>New Orleans</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56EC461" w14:textId="77777777" w:rsidR="00B103E2" w:rsidRDefault="00000000">
            <w:r>
              <w:rPr>
                <w:sz w:val="16"/>
                <w:szCs w:val="16"/>
              </w:rPr>
              <w:t>Abstract deadline passed (Jan 12). Contact organizers about late/invited slots.</w:t>
            </w:r>
          </w:p>
        </w:tc>
      </w:tr>
      <w:tr w:rsidR="00B103E2" w14:paraId="404820AD"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D159848" w14:textId="77777777" w:rsidR="00B103E2" w:rsidRDefault="00000000">
            <w:r>
              <w:rPr>
                <w:sz w:val="16"/>
                <w:szCs w:val="16"/>
              </w:rPr>
              <w:t>3</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07FCEF5" w14:textId="77777777" w:rsidR="00B103E2" w:rsidRDefault="00000000">
            <w:r>
              <w:rPr>
                <w:sz w:val="16"/>
                <w:szCs w:val="16"/>
              </w:rPr>
              <w:t>Argus Biofuels Asia</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2336DD0" w14:textId="77777777" w:rsidR="00B103E2" w:rsidRDefault="00000000">
            <w:r>
              <w:rPr>
                <w:sz w:val="16"/>
                <w:szCs w:val="16"/>
              </w:rPr>
              <w:t>Apr 13–15</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A08921D" w14:textId="77777777" w:rsidR="00B103E2" w:rsidRDefault="00000000">
            <w:r>
              <w:rPr>
                <w:sz w:val="16"/>
                <w:szCs w:val="16"/>
              </w:rPr>
              <w:t>Singapore</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5DA3C4D" w14:textId="77777777" w:rsidR="00B103E2" w:rsidRDefault="00000000">
            <w:r>
              <w:rPr>
                <w:sz w:val="16"/>
                <w:szCs w:val="16"/>
              </w:rPr>
              <w:t>Strong APAC angle. Contact Argus speaker team.</w:t>
            </w:r>
          </w:p>
        </w:tc>
      </w:tr>
      <w:tr w:rsidR="00B103E2" w14:paraId="1269145C"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A1A6A5C" w14:textId="77777777" w:rsidR="00B103E2" w:rsidRDefault="00000000">
            <w:r>
              <w:rPr>
                <w:sz w:val="16"/>
                <w:szCs w:val="16"/>
              </w:rPr>
              <w:t>4</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26F1946" w14:textId="77777777" w:rsidR="00B103E2" w:rsidRDefault="00000000">
            <w:r>
              <w:rPr>
                <w:sz w:val="16"/>
                <w:szCs w:val="16"/>
              </w:rPr>
              <w:t xml:space="preserve">Argus Biofuels </w:t>
            </w:r>
            <w:proofErr w:type="spellStart"/>
            <w:r>
              <w:rPr>
                <w:sz w:val="16"/>
                <w:szCs w:val="16"/>
              </w:rPr>
              <w:t>LatAm</w:t>
            </w:r>
            <w:proofErr w:type="spellEnd"/>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B2961B5" w14:textId="77777777" w:rsidR="00B103E2" w:rsidRDefault="00000000">
            <w:r>
              <w:rPr>
                <w:sz w:val="16"/>
                <w:szCs w:val="16"/>
              </w:rPr>
              <w:t>Jun 15–17</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D9616F9" w14:textId="77777777" w:rsidR="00B103E2" w:rsidRDefault="00000000">
            <w:r>
              <w:rPr>
                <w:sz w:val="16"/>
                <w:szCs w:val="16"/>
              </w:rPr>
              <w:t>São Paulo</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1FC2D78" w14:textId="77777777" w:rsidR="00B103E2" w:rsidRDefault="00000000">
            <w:r>
              <w:rPr>
                <w:sz w:val="16"/>
                <w:szCs w:val="16"/>
              </w:rPr>
              <w:t xml:space="preserve">Felipe can </w:t>
            </w:r>
            <w:proofErr w:type="gramStart"/>
            <w:r>
              <w:rPr>
                <w:sz w:val="16"/>
                <w:szCs w:val="16"/>
              </w:rPr>
              <w:t>co</w:t>
            </w:r>
            <w:proofErr w:type="gramEnd"/>
            <w:r>
              <w:rPr>
                <w:sz w:val="16"/>
                <w:szCs w:val="16"/>
              </w:rPr>
              <w:t>-present. Brazil biofuels angle.</w:t>
            </w:r>
          </w:p>
        </w:tc>
      </w:tr>
      <w:tr w:rsidR="00B103E2" w14:paraId="31488B56"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43ED700" w14:textId="77777777" w:rsidR="00B103E2" w:rsidRDefault="00000000">
            <w:r>
              <w:rPr>
                <w:sz w:val="16"/>
                <w:szCs w:val="16"/>
              </w:rPr>
              <w:t>5</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9CB0313" w14:textId="77777777" w:rsidR="00B103E2" w:rsidRDefault="00000000">
            <w:r>
              <w:rPr>
                <w:sz w:val="16"/>
                <w:szCs w:val="16"/>
              </w:rPr>
              <w:t>FEW (Fuel Ethanol Workshop)</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C41D534" w14:textId="77777777" w:rsidR="00B103E2" w:rsidRDefault="00000000">
            <w:r>
              <w:rPr>
                <w:sz w:val="16"/>
                <w:szCs w:val="16"/>
              </w:rPr>
              <w:t>Jun 2–4</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49D1BE8" w14:textId="77777777" w:rsidR="00B103E2" w:rsidRDefault="00000000">
            <w:r>
              <w:rPr>
                <w:sz w:val="16"/>
                <w:szCs w:val="16"/>
              </w:rPr>
              <w:t>St. Louis</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A448252" w14:textId="77777777" w:rsidR="00B103E2" w:rsidRDefault="00000000">
            <w:r>
              <w:rPr>
                <w:sz w:val="16"/>
                <w:szCs w:val="16"/>
              </w:rPr>
              <w:t>Ethanol production audience. Good for plant-level AI demo.</w:t>
            </w:r>
          </w:p>
        </w:tc>
      </w:tr>
      <w:tr w:rsidR="00B103E2" w14:paraId="48741E18"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7162C59" w14:textId="77777777" w:rsidR="00B103E2" w:rsidRDefault="00000000">
            <w:r>
              <w:rPr>
                <w:sz w:val="16"/>
                <w:szCs w:val="16"/>
              </w:rPr>
              <w:t>6</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8B01E76" w14:textId="77777777" w:rsidR="00B103E2" w:rsidRDefault="00000000">
            <w:r>
              <w:rPr>
                <w:sz w:val="16"/>
                <w:szCs w:val="16"/>
              </w:rPr>
              <w:t>IGC Grains Conference</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78D5D52" w14:textId="77777777" w:rsidR="00B103E2" w:rsidRDefault="00000000">
            <w:r>
              <w:rPr>
                <w:sz w:val="16"/>
                <w:szCs w:val="16"/>
              </w:rPr>
              <w:t>Jun 9–10</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542056D" w14:textId="77777777" w:rsidR="00B103E2" w:rsidRDefault="00000000">
            <w:r>
              <w:rPr>
                <w:sz w:val="16"/>
                <w:szCs w:val="16"/>
              </w:rPr>
              <w:t>London</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0D7235B" w14:textId="77777777" w:rsidR="00B103E2" w:rsidRDefault="00000000">
            <w:r>
              <w:rPr>
                <w:sz w:val="16"/>
                <w:szCs w:val="16"/>
              </w:rPr>
              <w:t>Global grain trade. Use Geneva deck variant.</w:t>
            </w:r>
          </w:p>
        </w:tc>
      </w:tr>
      <w:tr w:rsidR="00B103E2" w14:paraId="7F3E8CD5"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9B355DD" w14:textId="77777777" w:rsidR="00B103E2" w:rsidRDefault="00000000">
            <w:r>
              <w:rPr>
                <w:sz w:val="16"/>
                <w:szCs w:val="16"/>
              </w:rPr>
              <w:t>7</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FF1BC46" w14:textId="77777777" w:rsidR="00B103E2" w:rsidRDefault="00000000">
            <w:r>
              <w:rPr>
                <w:sz w:val="16"/>
                <w:szCs w:val="16"/>
              </w:rPr>
              <w:t>SAF APAC Summit</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7D0C416" w14:textId="77777777" w:rsidR="00B103E2" w:rsidRDefault="00000000">
            <w:r>
              <w:rPr>
                <w:sz w:val="16"/>
                <w:szCs w:val="16"/>
              </w:rPr>
              <w:t>Jul 8–9</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EFF6717" w14:textId="77777777" w:rsidR="00B103E2" w:rsidRDefault="00000000">
            <w:r>
              <w:rPr>
                <w:sz w:val="16"/>
                <w:szCs w:val="16"/>
              </w:rPr>
              <w:t>Melbourne</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722DB29" w14:textId="77777777" w:rsidR="00B103E2" w:rsidRDefault="00000000">
            <w:r>
              <w:rPr>
                <w:sz w:val="16"/>
                <w:szCs w:val="16"/>
              </w:rPr>
              <w:t>SAF-specific. Reference Motiva project.</w:t>
            </w:r>
          </w:p>
        </w:tc>
      </w:tr>
      <w:tr w:rsidR="00B103E2" w14:paraId="270C4C7E"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DADB886" w14:textId="77777777" w:rsidR="00B103E2" w:rsidRDefault="00000000">
            <w:r>
              <w:rPr>
                <w:sz w:val="16"/>
                <w:szCs w:val="16"/>
              </w:rPr>
              <w:t>8</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C8CAAF2" w14:textId="77777777" w:rsidR="00B103E2" w:rsidRDefault="00000000">
            <w:r>
              <w:rPr>
                <w:sz w:val="16"/>
                <w:szCs w:val="16"/>
              </w:rPr>
              <w:t>DATAGRO Soybean/Corn/Cotton</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B86DD95" w14:textId="77777777" w:rsidR="00B103E2" w:rsidRDefault="00000000">
            <w:r>
              <w:rPr>
                <w:sz w:val="16"/>
                <w:szCs w:val="16"/>
              </w:rPr>
              <w:t>Aug 20</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FEF6488" w14:textId="77777777" w:rsidR="00B103E2" w:rsidRDefault="00000000">
            <w:r>
              <w:rPr>
                <w:sz w:val="16"/>
                <w:szCs w:val="16"/>
              </w:rPr>
              <w:t>Goiânia</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DF0B994" w14:textId="77777777" w:rsidR="00B103E2" w:rsidRDefault="00000000">
            <w:r>
              <w:rPr>
                <w:sz w:val="16"/>
                <w:szCs w:val="16"/>
              </w:rPr>
              <w:t>Brazil row crops. Felipe co-present opportunity.</w:t>
            </w:r>
          </w:p>
        </w:tc>
      </w:tr>
      <w:tr w:rsidR="00B103E2" w14:paraId="5AF90420"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DDF3C91" w14:textId="77777777" w:rsidR="00B103E2" w:rsidRDefault="00000000">
            <w:r>
              <w:rPr>
                <w:sz w:val="16"/>
                <w:szCs w:val="16"/>
              </w:rPr>
              <w:t>9</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8234265" w14:textId="77777777" w:rsidR="00B103E2" w:rsidRDefault="00000000">
            <w:r>
              <w:rPr>
                <w:sz w:val="16"/>
                <w:szCs w:val="16"/>
              </w:rPr>
              <w:t>AFOA Annual Meeting</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BB6ED9E" w14:textId="77777777" w:rsidR="00B103E2" w:rsidRDefault="00000000">
            <w:r>
              <w:rPr>
                <w:sz w:val="16"/>
                <w:szCs w:val="16"/>
              </w:rPr>
              <w:t>Oct 7–8</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3C68078" w14:textId="77777777" w:rsidR="00B103E2" w:rsidRDefault="00000000">
            <w:r>
              <w:rPr>
                <w:sz w:val="16"/>
                <w:szCs w:val="16"/>
              </w:rPr>
              <w:t>Kansas City</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13B4CAC" w14:textId="77777777" w:rsidR="00B103E2" w:rsidRDefault="00000000">
            <w:r>
              <w:rPr>
                <w:sz w:val="16"/>
                <w:szCs w:val="16"/>
              </w:rPr>
              <w:t>SECONDARY TARGET. Fats/oils audience. Use AFOA deck variant.</w:t>
            </w:r>
          </w:p>
        </w:tc>
      </w:tr>
      <w:tr w:rsidR="00B103E2" w14:paraId="69A21FF6"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E202ED2" w14:textId="77777777" w:rsidR="00B103E2" w:rsidRDefault="00000000">
            <w:r>
              <w:rPr>
                <w:sz w:val="16"/>
                <w:szCs w:val="16"/>
              </w:rPr>
              <w:t>10</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3B10282" w14:textId="77777777" w:rsidR="00B103E2" w:rsidRDefault="00000000">
            <w:r>
              <w:rPr>
                <w:sz w:val="16"/>
                <w:szCs w:val="16"/>
              </w:rPr>
              <w:t>Global Grain Geneva</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8BA155C" w14:textId="77777777" w:rsidR="00B103E2" w:rsidRDefault="00000000">
            <w:r>
              <w:rPr>
                <w:sz w:val="16"/>
                <w:szCs w:val="16"/>
              </w:rPr>
              <w:t>Nov (TBD)</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5D245FC" w14:textId="77777777" w:rsidR="00B103E2" w:rsidRDefault="00000000">
            <w:r>
              <w:rPr>
                <w:sz w:val="16"/>
                <w:szCs w:val="16"/>
              </w:rPr>
              <w:t>Geneva</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ED3AD0A" w14:textId="77777777" w:rsidR="00B103E2" w:rsidRDefault="00000000">
            <w:r>
              <w:rPr>
                <w:sz w:val="16"/>
                <w:szCs w:val="16"/>
              </w:rPr>
              <w:t>TERTIARY TARGET. Geneva deck. C-suite audience.</w:t>
            </w:r>
          </w:p>
        </w:tc>
      </w:tr>
      <w:tr w:rsidR="00B103E2" w14:paraId="2983DFEA"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0BB11D93" w14:textId="77777777" w:rsidR="00B103E2" w:rsidRDefault="00000000">
            <w:r>
              <w:rPr>
                <w:sz w:val="16"/>
                <w:szCs w:val="16"/>
              </w:rPr>
              <w:t>11</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24C857E3" w14:textId="77777777" w:rsidR="00B103E2" w:rsidRDefault="00000000">
            <w:r>
              <w:rPr>
                <w:sz w:val="16"/>
                <w:szCs w:val="16"/>
              </w:rPr>
              <w:t>Asia-Pacific Agri-Food Summit</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34E05DE2" w14:textId="77777777" w:rsidR="00B103E2" w:rsidRDefault="00000000">
            <w:r>
              <w:rPr>
                <w:sz w:val="16"/>
                <w:szCs w:val="16"/>
              </w:rPr>
              <w:t>Nov 3–5</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1E7E6658" w14:textId="77777777" w:rsidR="00B103E2" w:rsidRDefault="00000000">
            <w:r>
              <w:rPr>
                <w:sz w:val="16"/>
                <w:szCs w:val="16"/>
              </w:rPr>
              <w:t>Singapore</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7228FD21" w14:textId="77777777" w:rsidR="00B103E2" w:rsidRDefault="00000000">
            <w:r>
              <w:rPr>
                <w:sz w:val="16"/>
                <w:szCs w:val="16"/>
              </w:rPr>
              <w:t>Broader agri-food. Good for RLC visibility.</w:t>
            </w:r>
          </w:p>
        </w:tc>
      </w:tr>
      <w:tr w:rsidR="00B103E2" w14:paraId="23280F94" w14:textId="77777777">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331D07A" w14:textId="77777777" w:rsidR="00B103E2" w:rsidRDefault="00000000">
            <w:r>
              <w:rPr>
                <w:sz w:val="16"/>
                <w:szCs w:val="16"/>
              </w:rPr>
              <w:t>12</w:t>
            </w:r>
          </w:p>
        </w:tc>
        <w:tc>
          <w:tcPr>
            <w:tcW w:w="2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917A233" w14:textId="77777777" w:rsidR="00B103E2" w:rsidRDefault="00000000">
            <w:r>
              <w:rPr>
                <w:sz w:val="16"/>
                <w:szCs w:val="16"/>
              </w:rPr>
              <w:t>FT Commodities Asia Summit</w:t>
            </w:r>
          </w:p>
        </w:tc>
        <w:tc>
          <w:tcPr>
            <w:tcW w:w="12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4AB65C1D" w14:textId="77777777" w:rsidR="00B103E2" w:rsidRDefault="00000000">
            <w:r>
              <w:rPr>
                <w:sz w:val="16"/>
                <w:szCs w:val="16"/>
              </w:rPr>
              <w:t>Dec 2–3</w:t>
            </w:r>
          </w:p>
        </w:tc>
        <w:tc>
          <w:tcPr>
            <w:tcW w:w="14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50F8995A" w14:textId="77777777" w:rsidR="00B103E2" w:rsidRDefault="00000000">
            <w:r>
              <w:rPr>
                <w:sz w:val="16"/>
                <w:szCs w:val="16"/>
              </w:rPr>
              <w:t>Singapore</w:t>
            </w:r>
          </w:p>
        </w:tc>
        <w:tc>
          <w:tcPr>
            <w:tcW w:w="31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tcPr>
          <w:p w14:paraId="6C200336" w14:textId="77777777" w:rsidR="00B103E2" w:rsidRDefault="00000000">
            <w:r>
              <w:rPr>
                <w:sz w:val="16"/>
                <w:szCs w:val="16"/>
              </w:rPr>
              <w:t>High-level cross-commodity. Prestige positioning.</w:t>
            </w:r>
          </w:p>
        </w:tc>
      </w:tr>
    </w:tbl>
    <w:p w14:paraId="52EA560A" w14:textId="77777777" w:rsidR="00B103E2" w:rsidRDefault="00000000">
      <w:r>
        <w:br w:type="page"/>
      </w:r>
    </w:p>
    <w:p w14:paraId="02F39D18" w14:textId="77777777" w:rsidR="00B103E2" w:rsidRDefault="00000000">
      <w:pPr>
        <w:pStyle w:val="Heading1"/>
      </w:pPr>
      <w:r>
        <w:lastRenderedPageBreak/>
        <w:t>Demo Playbook: What to Show Live</w:t>
      </w:r>
    </w:p>
    <w:p w14:paraId="56DE64EE" w14:textId="77777777" w:rsidR="00B103E2" w:rsidRDefault="00000000">
      <w:pPr>
        <w:spacing w:after="120"/>
      </w:pPr>
      <w:r>
        <w:t>If the venue supports a live demo (laptop/projector), here’s what to prepare. If not, these become screenshot-based walkthrough slides.</w:t>
      </w:r>
    </w:p>
    <w:p w14:paraId="2CD2D5AE" w14:textId="77777777" w:rsidR="00B103E2" w:rsidRDefault="00B103E2">
      <w:pPr>
        <w:spacing w:after="80"/>
      </w:pPr>
    </w:p>
    <w:p w14:paraId="2F5C4F2D" w14:textId="77777777" w:rsidR="00B103E2" w:rsidRDefault="00000000">
      <w:pPr>
        <w:pStyle w:val="Heading2"/>
      </w:pPr>
      <w:r>
        <w:t>Demo 1: WASDE Diff-to-Brief</w:t>
      </w:r>
    </w:p>
    <w:p w14:paraId="03563875" w14:textId="77777777" w:rsidR="00B103E2" w:rsidRDefault="00000000">
      <w:pPr>
        <w:spacing w:after="120"/>
      </w:pPr>
      <w:r>
        <w:rPr>
          <w:b/>
          <w:bCs/>
        </w:rPr>
        <w:t xml:space="preserve">Prep: </w:t>
      </w:r>
      <w:r>
        <w:t>Run the system on the most recent WASDE (or stage a run on a past release). Capture: (1) the raw WASDE PDF in Bronze, (2) the extracted delta table in Silver, (3) the generated brief with citations in Gold.</w:t>
      </w:r>
    </w:p>
    <w:p w14:paraId="1DC0A271" w14:textId="77777777" w:rsidR="00B103E2" w:rsidRDefault="00000000">
      <w:pPr>
        <w:spacing w:after="120"/>
      </w:pPr>
      <w:r>
        <w:rPr>
          <w:b/>
          <w:bCs/>
        </w:rPr>
        <w:t xml:space="preserve">What to show: </w:t>
      </w:r>
      <w:r>
        <w:t>The delta table side-by-side with the cited memo. Click one citation to show it links to the exact table cell in the WASDE. Point out what the system flagged as the biggest move and why.</w:t>
      </w:r>
    </w:p>
    <w:p w14:paraId="02249CE6" w14:textId="77777777" w:rsidR="00B103E2" w:rsidRDefault="00000000">
      <w:pPr>
        <w:spacing w:after="120"/>
      </w:pPr>
      <w:r>
        <w:rPr>
          <w:b/>
          <w:bCs/>
        </w:rPr>
        <w:t xml:space="preserve">Time: </w:t>
      </w:r>
      <w:r>
        <w:t xml:space="preserve">3 minutes of narrated walkthrough. The </w:t>
      </w:r>
      <w:proofErr w:type="gramStart"/>
      <w:r>
        <w:t>audience takeaway</w:t>
      </w:r>
      <w:proofErr w:type="gramEnd"/>
      <w:r>
        <w:t xml:space="preserve"> is SPEED + PROVENANCE.</w:t>
      </w:r>
    </w:p>
    <w:p w14:paraId="51A3E0D8" w14:textId="77777777" w:rsidR="00B103E2" w:rsidRDefault="00B103E2">
      <w:pPr>
        <w:spacing w:after="80"/>
      </w:pPr>
    </w:p>
    <w:p w14:paraId="16F5AEA4" w14:textId="77777777" w:rsidR="00B103E2" w:rsidRDefault="00000000">
      <w:pPr>
        <w:pStyle w:val="Heading2"/>
      </w:pPr>
      <w:r>
        <w:t>Demo 2: Policy Shock Scenario</w:t>
      </w:r>
    </w:p>
    <w:p w14:paraId="6A3990D5" w14:textId="77777777" w:rsidR="00B103E2" w:rsidRDefault="00000000">
      <w:pPr>
        <w:spacing w:after="120"/>
      </w:pPr>
      <w:r>
        <w:rPr>
          <w:b/>
          <w:bCs/>
        </w:rPr>
        <w:t xml:space="preserve">Prep: </w:t>
      </w:r>
      <w:r>
        <w:t>Build a canned scenario using the CARB veg oil cap as the trigger. Pre-compute the causal chain through the knowledge graph. Have the scenario matrix (Base/Bull/Bear) ready with explicit assumptions.</w:t>
      </w:r>
    </w:p>
    <w:p w14:paraId="3D76319E" w14:textId="77777777" w:rsidR="00B103E2" w:rsidRDefault="00000000">
      <w:pPr>
        <w:spacing w:after="120"/>
      </w:pPr>
      <w:r>
        <w:rPr>
          <w:b/>
          <w:bCs/>
        </w:rPr>
        <w:t xml:space="preserve">What to show: </w:t>
      </w:r>
      <w:r>
        <w:t>The knowledge graph query that traces CARB veg oil cap → SBO LCFS credit → crush margin → facility ROI. Then the scenario matrix with sensitivity ranges. Point out that each assumption is an explicit, changeable variable — not hidden in a prompt.</w:t>
      </w:r>
    </w:p>
    <w:p w14:paraId="7A5A45FF" w14:textId="77777777" w:rsidR="00B103E2" w:rsidRDefault="00000000">
      <w:pPr>
        <w:spacing w:after="120"/>
      </w:pPr>
      <w:r>
        <w:rPr>
          <w:b/>
          <w:bCs/>
        </w:rPr>
        <w:t xml:space="preserve">Time: </w:t>
      </w:r>
      <w:r>
        <w:t>3 minutes. The audience takeaway is DOMAIN DEPTH + TRACEABILITY.</w:t>
      </w:r>
    </w:p>
    <w:p w14:paraId="743C5267" w14:textId="77777777" w:rsidR="00B103E2" w:rsidRDefault="00B103E2">
      <w:pPr>
        <w:spacing w:after="80"/>
      </w:pPr>
    </w:p>
    <w:p w14:paraId="4932228B" w14:textId="77777777" w:rsidR="00B103E2" w:rsidRDefault="00000000">
      <w:pPr>
        <w:pStyle w:val="Heading2"/>
      </w:pPr>
      <w:r>
        <w:t>Demo 3: Basis Anomaly</w:t>
      </w:r>
    </w:p>
    <w:p w14:paraId="23640258" w14:textId="77777777" w:rsidR="00B103E2" w:rsidRDefault="00000000">
      <w:pPr>
        <w:spacing w:after="120"/>
      </w:pPr>
      <w:r>
        <w:rPr>
          <w:b/>
          <w:bCs/>
        </w:rPr>
        <w:t xml:space="preserve">Prep: </w:t>
      </w:r>
      <w:r>
        <w:t>Use real or realistic basis data for NW Iowa soybeans. Plant a visible anomaly (or use a historical one). Have the hypothesis tree pre-generated.</w:t>
      </w:r>
    </w:p>
    <w:p w14:paraId="4EBAA742" w14:textId="77777777" w:rsidR="00B103E2" w:rsidRDefault="00000000">
      <w:pPr>
        <w:spacing w:after="120"/>
      </w:pPr>
      <w:r>
        <w:rPr>
          <w:b/>
          <w:bCs/>
        </w:rPr>
        <w:t xml:space="preserve">What to show: </w:t>
      </w:r>
      <w:r>
        <w:t>The basis heatmap with the anomaly flagged. The hypothesis tree with four branches. The confirmation checklist (“check these 5 things before acting”). Point out that the system doesn’t claim to know the cause — it structures the investigation.</w:t>
      </w:r>
    </w:p>
    <w:p w14:paraId="69AF7F24" w14:textId="77777777" w:rsidR="00B103E2" w:rsidRDefault="00000000">
      <w:pPr>
        <w:spacing w:after="120"/>
      </w:pPr>
      <w:r>
        <w:rPr>
          <w:b/>
          <w:bCs/>
        </w:rPr>
        <w:t xml:space="preserve">Time: </w:t>
      </w:r>
      <w:r>
        <w:t xml:space="preserve">2 minutes. The </w:t>
      </w:r>
      <w:proofErr w:type="gramStart"/>
      <w:r>
        <w:t>audience takeaway</w:t>
      </w:r>
      <w:proofErr w:type="gramEnd"/>
      <w:r>
        <w:t xml:space="preserve"> is DISCIPLINE + HUMILITY.</w:t>
      </w:r>
    </w:p>
    <w:p w14:paraId="0CAD8510" w14:textId="77777777" w:rsidR="00B103E2" w:rsidRDefault="00000000">
      <w:r>
        <w:br w:type="page"/>
      </w:r>
    </w:p>
    <w:p w14:paraId="77D66963" w14:textId="77777777" w:rsidR="00B103E2" w:rsidRDefault="00000000">
      <w:pPr>
        <w:pStyle w:val="Heading1"/>
      </w:pPr>
      <w:r>
        <w:lastRenderedPageBreak/>
        <w:t>Next Steps</w:t>
      </w:r>
    </w:p>
    <w:p w14:paraId="7795EC1A" w14:textId="77777777" w:rsidR="00B103E2" w:rsidRDefault="00000000">
      <w:pPr>
        <w:spacing w:after="120"/>
      </w:pPr>
      <w:r>
        <w:t xml:space="preserve">1. Decide whether to target </w:t>
      </w:r>
      <w:proofErr w:type="spellStart"/>
      <w:r>
        <w:t>Fastmarkets</w:t>
      </w:r>
      <w:proofErr w:type="spellEnd"/>
      <w:r>
        <w:t xml:space="preserve"> Biofuels (May 4–6) as the primary launch. If yes, send the outreach email this week — conference programs typically finalize 8–12 weeks before the event.</w:t>
      </w:r>
    </w:p>
    <w:p w14:paraId="4D8FAC70" w14:textId="77777777" w:rsidR="00B103E2" w:rsidRDefault="00B103E2">
      <w:pPr>
        <w:spacing w:after="80"/>
      </w:pPr>
    </w:p>
    <w:p w14:paraId="1BD71C6E" w14:textId="77777777" w:rsidR="00B103E2" w:rsidRDefault="00000000">
      <w:pPr>
        <w:spacing w:after="120"/>
      </w:pPr>
      <w:r>
        <w:t>2. Prepare the three demo assets (WASDE diff, policy scenario, basis anomaly). These can be built from existing system capabilities and recent data.</w:t>
      </w:r>
    </w:p>
    <w:p w14:paraId="266A7656" w14:textId="77777777" w:rsidR="00B103E2" w:rsidRDefault="00B103E2">
      <w:pPr>
        <w:spacing w:after="80"/>
      </w:pPr>
    </w:p>
    <w:p w14:paraId="5D4A9AEE" w14:textId="77777777" w:rsidR="00B103E2" w:rsidRDefault="00000000">
      <w:pPr>
        <w:spacing w:after="120"/>
      </w:pPr>
      <w:r>
        <w:t>3. Decide the live demo vs. screenshot question. A live demo is significantly more compelling but requires a stable connection and rehearsed fallback.</w:t>
      </w:r>
    </w:p>
    <w:p w14:paraId="12268690" w14:textId="77777777" w:rsidR="00B103E2" w:rsidRDefault="00B103E2">
      <w:pPr>
        <w:spacing w:after="80"/>
      </w:pPr>
    </w:p>
    <w:p w14:paraId="6B04FD94" w14:textId="77777777" w:rsidR="00B103E2" w:rsidRDefault="00000000">
      <w:pPr>
        <w:spacing w:after="120"/>
      </w:pPr>
      <w:r>
        <w:t>4. Build the actual slide deck (PowerPoint). This document provides the content; the deck should be visual-heavy with minimal text per slide, using the diagrams and outputs described above.</w:t>
      </w:r>
    </w:p>
    <w:p w14:paraId="39810A9B" w14:textId="77777777" w:rsidR="00B103E2" w:rsidRDefault="00B103E2">
      <w:pPr>
        <w:spacing w:after="80"/>
      </w:pPr>
    </w:p>
    <w:p w14:paraId="2680AF42" w14:textId="77777777" w:rsidR="00B103E2" w:rsidRDefault="00000000">
      <w:pPr>
        <w:spacing w:after="120"/>
      </w:pPr>
      <w:r>
        <w:t xml:space="preserve">5. Consider whether to mention the </w:t>
      </w:r>
      <w:proofErr w:type="spellStart"/>
      <w:r>
        <w:t>Fastmarkets</w:t>
      </w:r>
      <w:proofErr w:type="spellEnd"/>
      <w:r>
        <w:t xml:space="preserve"> relationship. You could reference “having delivered analysis through the </w:t>
      </w:r>
      <w:proofErr w:type="spellStart"/>
      <w:r>
        <w:t>Fastmarkets</w:t>
      </w:r>
      <w:proofErr w:type="spellEnd"/>
      <w:r>
        <w:t xml:space="preserve"> ecosystem” as a credibility </w:t>
      </w:r>
      <w:proofErr w:type="gramStart"/>
      <w:r>
        <w:t>point, or</w:t>
      </w:r>
      <w:proofErr w:type="gramEnd"/>
      <w:r>
        <w:t xml:space="preserve"> keep it implicit. The right call depends on the current relationship status.</w:t>
      </w:r>
    </w:p>
    <w:sectPr w:rsidR="00B103E2">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85C5D" w14:textId="77777777" w:rsidR="00B95ED0" w:rsidRDefault="00B95ED0">
      <w:r>
        <w:separator/>
      </w:r>
    </w:p>
  </w:endnote>
  <w:endnote w:type="continuationSeparator" w:id="0">
    <w:p w14:paraId="112272A0" w14:textId="77777777" w:rsidR="00B95ED0" w:rsidRDefault="00B95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98665" w14:textId="77777777" w:rsidR="00B95ED0" w:rsidRDefault="00B95ED0">
      <w:r>
        <w:separator/>
      </w:r>
    </w:p>
  </w:footnote>
  <w:footnote w:type="continuationSeparator" w:id="0">
    <w:p w14:paraId="50FF2BF8" w14:textId="77777777" w:rsidR="00B95ED0" w:rsidRDefault="00B95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6610" w14:textId="77777777" w:rsidR="00B103E2" w:rsidRDefault="00000000">
    <w:pPr>
      <w:jc w:val="right"/>
    </w:pPr>
    <w:r>
      <w:rPr>
        <w:i/>
        <w:iCs/>
        <w:color w:val="999999"/>
        <w:sz w:val="16"/>
        <w:szCs w:val="16"/>
      </w:rPr>
      <w:t>RLC Conference Presentation Kit — Iteration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258F3"/>
    <w:multiLevelType w:val="hybridMultilevel"/>
    <w:tmpl w:val="469C50FC"/>
    <w:lvl w:ilvl="0" w:tplc="6B3AE956">
      <w:start w:val="1"/>
      <w:numFmt w:val="bullet"/>
      <w:lvlText w:val="●"/>
      <w:lvlJc w:val="left"/>
      <w:pPr>
        <w:ind w:left="720" w:hanging="360"/>
      </w:pPr>
    </w:lvl>
    <w:lvl w:ilvl="1" w:tplc="29003888">
      <w:start w:val="1"/>
      <w:numFmt w:val="bullet"/>
      <w:lvlText w:val="○"/>
      <w:lvlJc w:val="left"/>
      <w:pPr>
        <w:ind w:left="1440" w:hanging="360"/>
      </w:pPr>
    </w:lvl>
    <w:lvl w:ilvl="2" w:tplc="2260FE08">
      <w:start w:val="1"/>
      <w:numFmt w:val="bullet"/>
      <w:lvlText w:val="■"/>
      <w:lvlJc w:val="left"/>
      <w:pPr>
        <w:ind w:left="2160" w:hanging="360"/>
      </w:pPr>
    </w:lvl>
    <w:lvl w:ilvl="3" w:tplc="24A8BEB2">
      <w:start w:val="1"/>
      <w:numFmt w:val="bullet"/>
      <w:lvlText w:val="●"/>
      <w:lvlJc w:val="left"/>
      <w:pPr>
        <w:ind w:left="2880" w:hanging="360"/>
      </w:pPr>
    </w:lvl>
    <w:lvl w:ilvl="4" w:tplc="3E4418B6">
      <w:start w:val="1"/>
      <w:numFmt w:val="bullet"/>
      <w:lvlText w:val="○"/>
      <w:lvlJc w:val="left"/>
      <w:pPr>
        <w:ind w:left="3600" w:hanging="360"/>
      </w:pPr>
    </w:lvl>
    <w:lvl w:ilvl="5" w:tplc="7DAA4830">
      <w:start w:val="1"/>
      <w:numFmt w:val="bullet"/>
      <w:lvlText w:val="■"/>
      <w:lvlJc w:val="left"/>
      <w:pPr>
        <w:ind w:left="4320" w:hanging="360"/>
      </w:pPr>
    </w:lvl>
    <w:lvl w:ilvl="6" w:tplc="D010A540">
      <w:start w:val="1"/>
      <w:numFmt w:val="bullet"/>
      <w:lvlText w:val="●"/>
      <w:lvlJc w:val="left"/>
      <w:pPr>
        <w:ind w:left="5040" w:hanging="360"/>
      </w:pPr>
    </w:lvl>
    <w:lvl w:ilvl="7" w:tplc="0C102C30">
      <w:start w:val="1"/>
      <w:numFmt w:val="bullet"/>
      <w:lvlText w:val="●"/>
      <w:lvlJc w:val="left"/>
      <w:pPr>
        <w:ind w:left="5760" w:hanging="360"/>
      </w:pPr>
    </w:lvl>
    <w:lvl w:ilvl="8" w:tplc="A3B4DC3A">
      <w:start w:val="1"/>
      <w:numFmt w:val="bullet"/>
      <w:lvlText w:val="●"/>
      <w:lvlJc w:val="left"/>
      <w:pPr>
        <w:ind w:left="6480" w:hanging="360"/>
      </w:pPr>
    </w:lvl>
  </w:abstractNum>
  <w:num w:numId="1" w16cid:durableId="20022691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3E2"/>
    <w:rsid w:val="002C6559"/>
    <w:rsid w:val="00662314"/>
    <w:rsid w:val="006C7A62"/>
    <w:rsid w:val="0081584B"/>
    <w:rsid w:val="00A85A50"/>
    <w:rsid w:val="00B103E2"/>
    <w:rsid w:val="00B95ED0"/>
    <w:rsid w:val="00DF2FA4"/>
    <w:rsid w:val="00EA3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B9AA1"/>
  <w15:docId w15:val="{81F8506C-3FEF-4D32-A55F-409253DCB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40" w:after="160"/>
      <w:outlineLvl w:val="1"/>
    </w:pPr>
    <w:rPr>
      <w:b/>
      <w:bCs/>
      <w:color w:val="4A6FA5"/>
      <w:sz w:val="28"/>
      <w:szCs w:val="28"/>
    </w:rPr>
  </w:style>
  <w:style w:type="paragraph" w:styleId="Heading3">
    <w:name w:val="heading 3"/>
    <w:uiPriority w:val="9"/>
    <w:semiHidden/>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584B"/>
    <w:pPr>
      <w:tabs>
        <w:tab w:val="center" w:pos="4680"/>
        <w:tab w:val="right" w:pos="9360"/>
      </w:tabs>
    </w:pPr>
  </w:style>
  <w:style w:type="character" w:customStyle="1" w:styleId="HeaderChar">
    <w:name w:val="Header Char"/>
    <w:basedOn w:val="DefaultParagraphFont"/>
    <w:link w:val="Header"/>
    <w:uiPriority w:val="99"/>
    <w:rsid w:val="0081584B"/>
  </w:style>
  <w:style w:type="paragraph" w:styleId="Footer">
    <w:name w:val="footer"/>
    <w:basedOn w:val="Normal"/>
    <w:link w:val="FooterChar"/>
    <w:uiPriority w:val="99"/>
    <w:unhideWhenUsed/>
    <w:rsid w:val="0081584B"/>
    <w:pPr>
      <w:tabs>
        <w:tab w:val="center" w:pos="4680"/>
        <w:tab w:val="right" w:pos="9360"/>
      </w:tabs>
    </w:pPr>
  </w:style>
  <w:style w:type="character" w:customStyle="1" w:styleId="FooterChar">
    <w:name w:val="Footer Char"/>
    <w:basedOn w:val="DefaultParagraphFont"/>
    <w:link w:val="Footer"/>
    <w:uiPriority w:val="99"/>
    <w:rsid w:val="00815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3873</Words>
  <Characters>21966</Characters>
  <Application>Microsoft Office Word</Application>
  <DocSecurity>0</DocSecurity>
  <Lines>469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Tore Alden</cp:lastModifiedBy>
  <cp:revision>4</cp:revision>
  <dcterms:created xsi:type="dcterms:W3CDTF">2026-02-16T12:28:00Z</dcterms:created>
  <dcterms:modified xsi:type="dcterms:W3CDTF">2026-04-04T23:27:00Z</dcterms:modified>
</cp:coreProperties>
</file>