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4119D" w14:textId="77777777" w:rsidR="00FE26AC" w:rsidRDefault="00000000">
      <w:pPr>
        <w:pStyle w:val="Heading1"/>
      </w:pPr>
      <w:bookmarkStart w:id="0" w:name="header"/>
      <w:bookmarkStart w:id="1" w:name="Xac0eb02f00149318943b9209e41dd5e80c9e66b"/>
      <w:bookmarkStart w:id="2" w:name="content"/>
      <w:bookmarkEnd w:id="0"/>
      <w:r>
        <w:t>NOPA Crush Deep Research for February 2026 Release</w:t>
      </w:r>
    </w:p>
    <w:p w14:paraId="02446E42" w14:textId="77777777" w:rsidR="00FE26AC" w:rsidRDefault="00000000">
      <w:pPr>
        <w:pStyle w:val="FirstParagraph"/>
      </w:pPr>
      <w:hyperlink r:id="rId5">
        <w:r>
          <w:rPr>
            <w:rStyle w:val="Hyperlink"/>
          </w:rPr>
          <w:t>Download the Word report (.docx)</w:t>
        </w:r>
      </w:hyperlink>
    </w:p>
    <w:p w14:paraId="164692A0" w14:textId="77777777" w:rsidR="00FE26AC" w:rsidRDefault="00000000">
      <w:pPr>
        <w:pStyle w:val="Heading2"/>
      </w:pPr>
      <w:bookmarkStart w:id="3" w:name="executive-summary"/>
      <w:r>
        <w:t>Executive summary</w:t>
      </w:r>
    </w:p>
    <w:p w14:paraId="2C73C3E5" w14:textId="77777777" w:rsidR="00FE26AC" w:rsidRDefault="00000000">
      <w:pPr>
        <w:pStyle w:val="FirstParagraph"/>
      </w:pPr>
      <w:r>
        <w:t xml:space="preserve">The NOPA Crush Report released today (March 16, 2026) indicated a </w:t>
      </w:r>
      <w:r>
        <w:rPr>
          <w:b/>
          <w:bCs/>
        </w:rPr>
        <w:t>very large February soybean processing total</w:t>
      </w:r>
      <w:r>
        <w:t xml:space="preserve"> and </w:t>
      </w:r>
      <w:r>
        <w:rPr>
          <w:b/>
          <w:bCs/>
        </w:rPr>
        <w:t>higher-than-expected soybean oil inventories</w:t>
      </w:r>
      <w:r>
        <w:t xml:space="preserve">. The widely disseminated market figures show </w:t>
      </w:r>
      <w:r>
        <w:rPr>
          <w:b/>
          <w:bCs/>
        </w:rPr>
        <w:t>208.785 million bushels</w:t>
      </w:r>
      <w:r>
        <w:t xml:space="preserve"> of soybeans crushed in February 2026 and </w:t>
      </w:r>
      <w:r>
        <w:rPr>
          <w:b/>
          <w:bCs/>
        </w:rPr>
        <w:t>2.08 billion lb</w:t>
      </w:r>
      <w:r>
        <w:t xml:space="preserve"> of soybean oil stocks held by NOPA members at month-end. </w:t>
      </w:r>
      <w:hyperlink r:id="rId6">
        <w:r>
          <w:rPr>
            <w:rStyle w:val="Hyperlink"/>
          </w:rPr>
          <w:t>[1]</w:t>
        </w:r>
      </w:hyperlink>
    </w:p>
    <w:p w14:paraId="702EE268" w14:textId="77777777" w:rsidR="00FE26AC" w:rsidRDefault="00000000">
      <w:pPr>
        <w:pStyle w:val="BodyText"/>
      </w:pPr>
      <w:r>
        <w:t>Ahead of the release, analysts surveyed by Reuters (as carried by ADM Investor Services</w:t>
      </w:r>
      <w:hyperlink r:id="rId7">
        <w:r>
          <w:rPr>
            <w:rStyle w:val="Hyperlink"/>
          </w:rPr>
          <w:t>[2]</w:t>
        </w:r>
      </w:hyperlink>
      <w:r>
        <w:t xml:space="preserve">) expected </w:t>
      </w:r>
      <w:r>
        <w:rPr>
          <w:b/>
          <w:bCs/>
        </w:rPr>
        <w:t>202.725 million bushels</w:t>
      </w:r>
      <w:r>
        <w:t xml:space="preserve"> of February crush and </w:t>
      </w:r>
      <w:r>
        <w:rPr>
          <w:b/>
          <w:bCs/>
        </w:rPr>
        <w:t>1.928 billion lb</w:t>
      </w:r>
      <w:r>
        <w:t xml:space="preserve"> of end-February soybean oil stocks—meaning both the </w:t>
      </w:r>
      <w:r>
        <w:rPr>
          <w:b/>
          <w:bCs/>
        </w:rPr>
        <w:t>crush</w:t>
      </w:r>
      <w:r>
        <w:t xml:space="preserve"> and </w:t>
      </w:r>
      <w:r>
        <w:rPr>
          <w:b/>
          <w:bCs/>
        </w:rPr>
        <w:t>oil stocks</w:t>
      </w:r>
      <w:r>
        <w:t xml:space="preserve"> prints were </w:t>
      </w:r>
      <w:r>
        <w:rPr>
          <w:b/>
          <w:bCs/>
        </w:rPr>
        <w:t>above consensus</w:t>
      </w:r>
      <w:r>
        <w:t xml:space="preserve">. </w:t>
      </w:r>
      <w:hyperlink r:id="rId8">
        <w:r>
          <w:rPr>
            <w:rStyle w:val="Hyperlink"/>
          </w:rPr>
          <w:t>[3]</w:t>
        </w:r>
      </w:hyperlink>
    </w:p>
    <w:p w14:paraId="51B0B527" w14:textId="77777777" w:rsidR="00FE26AC" w:rsidRDefault="00000000">
      <w:pPr>
        <w:pStyle w:val="BodyText"/>
      </w:pPr>
      <w:r>
        <w:t xml:space="preserve">Despite the “strong crush” headline, the </w:t>
      </w:r>
      <w:r>
        <w:rPr>
          <w:b/>
          <w:bCs/>
        </w:rPr>
        <w:t>soy complex sold off sharply</w:t>
      </w:r>
      <w:r>
        <w:t xml:space="preserve"> on March 16, with May soybeans, soybean meal, and soybean oil all </w:t>
      </w:r>
      <w:r>
        <w:rPr>
          <w:b/>
          <w:bCs/>
        </w:rPr>
        <w:t>settling lower</w:t>
      </w:r>
      <w:r>
        <w:t xml:space="preserve">; midday reporting indicated May soybeans were </w:t>
      </w:r>
      <w:r>
        <w:rPr>
          <w:b/>
          <w:bCs/>
        </w:rPr>
        <w:t>limit down</w:t>
      </w:r>
      <w:r>
        <w:t xml:space="preserve"> intraday amid dominant macro/trade/geopolitical headlines. </w:t>
      </w:r>
      <w:hyperlink r:id="rId9">
        <w:r>
          <w:rPr>
            <w:rStyle w:val="Hyperlink"/>
          </w:rPr>
          <w:t>[4]</w:t>
        </w:r>
      </w:hyperlink>
    </w:p>
    <w:p w14:paraId="03227F4D" w14:textId="77777777" w:rsidR="00FE26AC" w:rsidRDefault="00000000">
      <w:pPr>
        <w:pStyle w:val="Heading2"/>
      </w:pPr>
      <w:bookmarkStart w:id="4" w:name="X966a7c021d602b9bec072562b56152f176e1a6a"/>
      <w:bookmarkEnd w:id="3"/>
      <w:r>
        <w:t>What the report contains and what is publicly observable today</w:t>
      </w:r>
    </w:p>
    <w:p w14:paraId="5D7A5030" w14:textId="77777777" w:rsidR="00FE26AC" w:rsidRDefault="00000000">
      <w:pPr>
        <w:pStyle w:val="FirstParagraph"/>
      </w:pPr>
      <w:r>
        <w:t xml:space="preserve">The NOPA Crush Report is </w:t>
      </w:r>
      <w:r>
        <w:rPr>
          <w:b/>
          <w:bCs/>
        </w:rPr>
        <w:t>not fully publicly distributed</w:t>
      </w:r>
      <w:r>
        <w:t xml:space="preserve">: NOPA states that </w:t>
      </w:r>
      <w:r>
        <w:rPr>
          <w:b/>
          <w:bCs/>
        </w:rPr>
        <w:t>Refinitiv</w:t>
      </w:r>
      <w:hyperlink r:id="rId10">
        <w:r>
          <w:rPr>
            <w:rStyle w:val="Hyperlink"/>
            <w:b/>
            <w:bCs/>
          </w:rPr>
          <w:t>[5]</w:t>
        </w:r>
      </w:hyperlink>
      <w:r>
        <w:rPr>
          <w:b/>
          <w:bCs/>
        </w:rPr>
        <w:t xml:space="preserve"> is the sole distributor</w:t>
      </w:r>
      <w:r>
        <w:t xml:space="preserve">, and that the report includes (among other items): total soybean crush and soybean oil stocks, soybean meal tons produced/yield/exports, and soybean oil pounds produced/yield, each with current/previous/year-ago comparisons. NOPA also states the report is published at </w:t>
      </w:r>
      <w:r>
        <w:rPr>
          <w:b/>
          <w:bCs/>
        </w:rPr>
        <w:t>12:00 noon (EST)</w:t>
      </w:r>
      <w:r>
        <w:t xml:space="preserve"> on scheduled dates. </w:t>
      </w:r>
      <w:hyperlink r:id="rId11">
        <w:r>
          <w:rPr>
            <w:rStyle w:val="Hyperlink"/>
          </w:rPr>
          <w:t>[6]</w:t>
        </w:r>
      </w:hyperlink>
    </w:p>
    <w:p w14:paraId="38632984" w14:textId="77777777" w:rsidR="00FE26AC" w:rsidRDefault="00000000">
      <w:pPr>
        <w:pStyle w:val="BodyText"/>
      </w:pPr>
      <w:r>
        <w:t xml:space="preserve">Market coverage immediately after release widely reported the </w:t>
      </w:r>
      <w:r>
        <w:rPr>
          <w:b/>
          <w:bCs/>
        </w:rPr>
        <w:t>headline totals</w:t>
      </w:r>
      <w:r>
        <w:t xml:space="preserve"> (crush and soybean oil stocks), but </w:t>
      </w:r>
      <w:r>
        <w:rPr>
          <w:b/>
          <w:bCs/>
        </w:rPr>
        <w:t>did not publicly reproduce</w:t>
      </w:r>
      <w:r>
        <w:t xml:space="preserve"> the NOPA tables for: - soybean meal production/yield/exports, and</w:t>
      </w:r>
      <w:r>
        <w:br/>
        <w:t xml:space="preserve">- soybean oil production/yield. </w:t>
      </w:r>
      <w:hyperlink r:id="rId12">
        <w:r>
          <w:rPr>
            <w:rStyle w:val="Hyperlink"/>
          </w:rPr>
          <w:t>[7]</w:t>
        </w:r>
      </w:hyperlink>
    </w:p>
    <w:p w14:paraId="4F3C82E5" w14:textId="77777777" w:rsidR="00FE26AC" w:rsidRDefault="00000000">
      <w:pPr>
        <w:pStyle w:val="BodyText"/>
      </w:pPr>
      <w:r>
        <w:t xml:space="preserve">Accordingly, this public-source research provides </w:t>
      </w:r>
      <w:r>
        <w:rPr>
          <w:b/>
          <w:bCs/>
        </w:rPr>
        <w:t>(a)</w:t>
      </w:r>
      <w:r>
        <w:t xml:space="preserve"> the headline crush and oil stocks, plus </w:t>
      </w:r>
      <w:r>
        <w:rPr>
          <w:b/>
          <w:bCs/>
        </w:rPr>
        <w:t>(b)</w:t>
      </w:r>
      <w:r>
        <w:t xml:space="preserve"> comparisons, expectations, surprise calculations, and market reaction, while explicitly flagging </w:t>
      </w:r>
      <w:r>
        <w:rPr>
          <w:b/>
          <w:bCs/>
        </w:rPr>
        <w:t>meal and oil production/yield fields</w:t>
      </w:r>
      <w:r>
        <w:t xml:space="preserve"> as </w:t>
      </w:r>
      <w:r>
        <w:rPr>
          <w:b/>
          <w:bCs/>
        </w:rPr>
        <w:t>not available in the public post-release reporting</w:t>
      </w:r>
      <w:r>
        <w:t xml:space="preserve"> reviewed.</w:t>
      </w:r>
    </w:p>
    <w:p w14:paraId="5F767224" w14:textId="77777777" w:rsidR="00FE26AC" w:rsidRDefault="00000000">
      <w:pPr>
        <w:pStyle w:val="Heading2"/>
      </w:pPr>
      <w:bookmarkStart w:id="5" w:name="X392eae84e679788363b74ecd03d029e26867532"/>
      <w:bookmarkEnd w:id="4"/>
      <w:r>
        <w:t>Official headline figures and comparisons</w:t>
      </w:r>
    </w:p>
    <w:p w14:paraId="5E05BEF2" w14:textId="77777777" w:rsidR="00FE26AC" w:rsidRDefault="00000000">
      <w:pPr>
        <w:pStyle w:val="Heading3"/>
      </w:pPr>
      <w:bookmarkStart w:id="6" w:name="headline-results-and-conversions"/>
      <w:r>
        <w:t>Headline results and conversions</w:t>
      </w:r>
    </w:p>
    <w:p w14:paraId="1D7B2B06" w14:textId="77777777" w:rsidR="00FE26AC" w:rsidRDefault="00000000">
      <w:pPr>
        <w:pStyle w:val="FirstParagraph"/>
      </w:pPr>
      <w:r>
        <w:rPr>
          <w:b/>
          <w:bCs/>
        </w:rPr>
        <w:t>Table A — NOPA headline totals (February 2026) as disseminated in market reporting</w:t>
      </w:r>
    </w:p>
    <w:tbl>
      <w:tblPr>
        <w:tblStyle w:val="Table"/>
        <w:tblW w:w="0" w:type="auto"/>
        <w:tblLook w:val="0020" w:firstRow="1" w:lastRow="0" w:firstColumn="0" w:lastColumn="0" w:noHBand="0" w:noVBand="0"/>
      </w:tblPr>
      <w:tblGrid>
        <w:gridCol w:w="3714"/>
        <w:gridCol w:w="1696"/>
        <w:gridCol w:w="2116"/>
      </w:tblGrid>
      <w:tr w:rsidR="00FE26AC" w14:paraId="30D0C10F" w14:textId="77777777" w:rsidTr="00FE26AC">
        <w:trPr>
          <w:cnfStyle w:val="100000000000" w:firstRow="1" w:lastRow="0" w:firstColumn="0" w:lastColumn="0" w:oddVBand="0" w:evenVBand="0" w:oddHBand="0" w:evenHBand="0" w:firstRowFirstColumn="0" w:firstRowLastColumn="0" w:lastRowFirstColumn="0" w:lastRowLastColumn="0"/>
          <w:tblHeader/>
        </w:trPr>
        <w:tc>
          <w:tcPr>
            <w:tcW w:w="0" w:type="auto"/>
          </w:tcPr>
          <w:p w14:paraId="192E483E" w14:textId="77777777" w:rsidR="00FE26AC" w:rsidRDefault="00000000">
            <w:pPr>
              <w:pStyle w:val="Compact"/>
            </w:pPr>
            <w:r>
              <w:lastRenderedPageBreak/>
              <w:t>Metric</w:t>
            </w:r>
          </w:p>
        </w:tc>
        <w:tc>
          <w:tcPr>
            <w:tcW w:w="0" w:type="auto"/>
          </w:tcPr>
          <w:p w14:paraId="1F963BCE" w14:textId="77777777" w:rsidR="00FE26AC" w:rsidRDefault="00000000">
            <w:pPr>
              <w:pStyle w:val="Compact"/>
              <w:jc w:val="right"/>
            </w:pPr>
            <w:r>
              <w:t>February 2026</w:t>
            </w:r>
          </w:p>
        </w:tc>
        <w:tc>
          <w:tcPr>
            <w:tcW w:w="0" w:type="auto"/>
          </w:tcPr>
          <w:p w14:paraId="61811A09" w14:textId="77777777" w:rsidR="00FE26AC" w:rsidRDefault="00000000">
            <w:pPr>
              <w:pStyle w:val="Compact"/>
            </w:pPr>
            <w:r>
              <w:t>Unit / notes</w:t>
            </w:r>
          </w:p>
        </w:tc>
      </w:tr>
      <w:tr w:rsidR="00FE26AC" w14:paraId="66F32B31" w14:textId="77777777">
        <w:tc>
          <w:tcPr>
            <w:tcW w:w="0" w:type="auto"/>
          </w:tcPr>
          <w:p w14:paraId="538B249B" w14:textId="77777777" w:rsidR="00FE26AC" w:rsidRDefault="00000000">
            <w:pPr>
              <w:pStyle w:val="Compact"/>
            </w:pPr>
            <w:r>
              <w:t>Soybeans crushed</w:t>
            </w:r>
          </w:p>
        </w:tc>
        <w:tc>
          <w:tcPr>
            <w:tcW w:w="0" w:type="auto"/>
          </w:tcPr>
          <w:p w14:paraId="1C082514" w14:textId="77777777" w:rsidR="00FE26AC" w:rsidRDefault="00000000">
            <w:pPr>
              <w:pStyle w:val="Compact"/>
              <w:jc w:val="right"/>
            </w:pPr>
            <w:r>
              <w:t>208.785</w:t>
            </w:r>
          </w:p>
        </w:tc>
        <w:tc>
          <w:tcPr>
            <w:tcW w:w="0" w:type="auto"/>
          </w:tcPr>
          <w:p w14:paraId="7F8330C6" w14:textId="77777777" w:rsidR="00FE26AC" w:rsidRDefault="00000000">
            <w:pPr>
              <w:pStyle w:val="Compact"/>
            </w:pPr>
            <w:r>
              <w:t xml:space="preserve">million bushels </w:t>
            </w:r>
            <w:hyperlink r:id="rId13">
              <w:r>
                <w:rPr>
                  <w:rStyle w:val="Hyperlink"/>
                </w:rPr>
                <w:t>[1]</w:t>
              </w:r>
            </w:hyperlink>
          </w:p>
        </w:tc>
      </w:tr>
      <w:tr w:rsidR="00FE26AC" w14:paraId="76A90D9F" w14:textId="77777777">
        <w:tc>
          <w:tcPr>
            <w:tcW w:w="0" w:type="auto"/>
          </w:tcPr>
          <w:p w14:paraId="19CCDC08" w14:textId="77777777" w:rsidR="00FE26AC" w:rsidRDefault="00000000">
            <w:pPr>
              <w:pStyle w:val="Compact"/>
            </w:pPr>
            <w:r>
              <w:t>Soybean oil stocks (end of month)</w:t>
            </w:r>
          </w:p>
        </w:tc>
        <w:tc>
          <w:tcPr>
            <w:tcW w:w="0" w:type="auto"/>
          </w:tcPr>
          <w:p w14:paraId="6321E197" w14:textId="77777777" w:rsidR="00FE26AC" w:rsidRDefault="00000000">
            <w:pPr>
              <w:pStyle w:val="Compact"/>
              <w:jc w:val="right"/>
            </w:pPr>
            <w:r>
              <w:t>2.08</w:t>
            </w:r>
          </w:p>
        </w:tc>
        <w:tc>
          <w:tcPr>
            <w:tcW w:w="0" w:type="auto"/>
          </w:tcPr>
          <w:p w14:paraId="25D85106" w14:textId="77777777" w:rsidR="00FE26AC" w:rsidRDefault="00000000">
            <w:pPr>
              <w:pStyle w:val="Compact"/>
            </w:pPr>
            <w:r>
              <w:t xml:space="preserve">billion lb </w:t>
            </w:r>
            <w:hyperlink r:id="rId14">
              <w:r>
                <w:rPr>
                  <w:rStyle w:val="Hyperlink"/>
                </w:rPr>
                <w:t>[1]</w:t>
              </w:r>
            </w:hyperlink>
          </w:p>
        </w:tc>
      </w:tr>
    </w:tbl>
    <w:p w14:paraId="4E7C80AD" w14:textId="77777777" w:rsidR="00FE26AC" w:rsidRDefault="00000000">
      <w:pPr>
        <w:pStyle w:val="BodyText"/>
      </w:pPr>
      <w:r>
        <w:rPr>
          <w:b/>
          <w:bCs/>
        </w:rPr>
        <w:t>Conversions (computed):</w:t>
      </w:r>
      <w:r>
        <w:t xml:space="preserve"> - 208.785 million bushels × 60 lb/bu ≈ </w:t>
      </w:r>
      <w:r>
        <w:rPr>
          <w:b/>
          <w:bCs/>
        </w:rPr>
        <w:t>5.682 million metric tons</w:t>
      </w:r>
      <w:r>
        <w:t xml:space="preserve"> (MMT) of soybeans crushed (approx.).</w:t>
      </w:r>
      <w:r>
        <w:br/>
        <w:t xml:space="preserve">- 2.08 billion lb ÷ 2,204.6226 lb/metric ton ≈ </w:t>
      </w:r>
      <w:r>
        <w:rPr>
          <w:b/>
          <w:bCs/>
        </w:rPr>
        <w:t>0.943 MMT</w:t>
      </w:r>
      <w:r>
        <w:t xml:space="preserve"> of soybean oil in stocks (approx.).</w:t>
      </w:r>
    </w:p>
    <w:p w14:paraId="196146B0" w14:textId="77777777" w:rsidR="00FE26AC" w:rsidRDefault="00000000">
      <w:pPr>
        <w:pStyle w:val="Heading3"/>
      </w:pPr>
      <w:bookmarkStart w:id="7" w:name="prior-month-and-year-ago-comparisons"/>
      <w:bookmarkEnd w:id="6"/>
      <w:r>
        <w:t>Prior-month and year-ago comparisons</w:t>
      </w:r>
    </w:p>
    <w:p w14:paraId="43E19F9C" w14:textId="77777777" w:rsidR="00FE26AC" w:rsidRDefault="00000000">
      <w:pPr>
        <w:pStyle w:val="FirstParagraph"/>
      </w:pPr>
      <w:r>
        <w:t xml:space="preserve">Reuters’ pre-release preview (via ADMIS) provided the immediately relevant comparison points: - </w:t>
      </w:r>
      <w:r>
        <w:rPr>
          <w:b/>
          <w:bCs/>
        </w:rPr>
        <w:t>January 2026 crush:</w:t>
      </w:r>
      <w:r>
        <w:t xml:space="preserve"> 221.564 million bushels</w:t>
      </w:r>
      <w:r>
        <w:br/>
        <w:t xml:space="preserve">- </w:t>
      </w:r>
      <w:r>
        <w:rPr>
          <w:b/>
          <w:bCs/>
        </w:rPr>
        <w:t>February 2025 crush:</w:t>
      </w:r>
      <w:r>
        <w:t xml:space="preserve"> 177.870 million bushels</w:t>
      </w:r>
      <w:r>
        <w:br/>
        <w:t xml:space="preserve">- </w:t>
      </w:r>
      <w:r>
        <w:rPr>
          <w:b/>
          <w:bCs/>
        </w:rPr>
        <w:t>End-January 2026 soybean oil stocks:</w:t>
      </w:r>
      <w:r>
        <w:t xml:space="preserve"> 1.900 billion lb </w:t>
      </w:r>
      <w:hyperlink r:id="rId15">
        <w:r>
          <w:rPr>
            <w:rStyle w:val="Hyperlink"/>
          </w:rPr>
          <w:t>[3]</w:t>
        </w:r>
      </w:hyperlink>
    </w:p>
    <w:p w14:paraId="41B4FD10" w14:textId="77777777" w:rsidR="00FE26AC" w:rsidRDefault="00000000">
      <w:pPr>
        <w:pStyle w:val="BodyText"/>
      </w:pPr>
      <w:r>
        <w:t>Using those published benchmarks:</w:t>
      </w:r>
    </w:p>
    <w:p w14:paraId="575D1D09" w14:textId="77777777" w:rsidR="00FE26AC" w:rsidRDefault="00000000">
      <w:pPr>
        <w:pStyle w:val="BodyText"/>
      </w:pPr>
      <w:r>
        <w:rPr>
          <w:b/>
          <w:bCs/>
        </w:rPr>
        <w:t>Table B — February 2026 vs prior month vs year-ago (crush) (with computed deltas)</w:t>
      </w:r>
    </w:p>
    <w:tbl>
      <w:tblPr>
        <w:tblStyle w:val="Table"/>
        <w:tblW w:w="0" w:type="auto"/>
        <w:tblLook w:val="0020" w:firstRow="1" w:lastRow="0" w:firstColumn="0" w:lastColumn="0" w:noHBand="0" w:noVBand="0"/>
      </w:tblPr>
      <w:tblGrid>
        <w:gridCol w:w="1049"/>
        <w:gridCol w:w="1555"/>
        <w:gridCol w:w="2255"/>
        <w:gridCol w:w="2376"/>
        <w:gridCol w:w="2125"/>
      </w:tblGrid>
      <w:tr w:rsidR="00FE26AC" w14:paraId="122658B1" w14:textId="77777777" w:rsidTr="00FE26AC">
        <w:trPr>
          <w:cnfStyle w:val="100000000000" w:firstRow="1" w:lastRow="0" w:firstColumn="0" w:lastColumn="0" w:oddVBand="0" w:evenVBand="0" w:oddHBand="0" w:evenHBand="0" w:firstRowFirstColumn="0" w:firstRowLastColumn="0" w:lastRowFirstColumn="0" w:lastRowLastColumn="0"/>
          <w:tblHeader/>
        </w:trPr>
        <w:tc>
          <w:tcPr>
            <w:tcW w:w="0" w:type="auto"/>
          </w:tcPr>
          <w:p w14:paraId="2A2FD463" w14:textId="77777777" w:rsidR="00FE26AC" w:rsidRDefault="00000000">
            <w:pPr>
              <w:pStyle w:val="Compact"/>
            </w:pPr>
            <w:r>
              <w:t>Month</w:t>
            </w:r>
          </w:p>
        </w:tc>
        <w:tc>
          <w:tcPr>
            <w:tcW w:w="0" w:type="auto"/>
          </w:tcPr>
          <w:p w14:paraId="07F3A5F2" w14:textId="77777777" w:rsidR="00FE26AC" w:rsidRDefault="00000000">
            <w:pPr>
              <w:pStyle w:val="Compact"/>
              <w:jc w:val="right"/>
            </w:pPr>
            <w:r>
              <w:t>Crush</w:t>
            </w:r>
          </w:p>
        </w:tc>
        <w:tc>
          <w:tcPr>
            <w:tcW w:w="0" w:type="auto"/>
          </w:tcPr>
          <w:p w14:paraId="2931EF6F" w14:textId="77777777" w:rsidR="00FE26AC" w:rsidRDefault="00000000">
            <w:pPr>
              <w:pStyle w:val="Compact"/>
              <w:jc w:val="right"/>
            </w:pPr>
            <w:r>
              <w:t>Approx. MMT (computed)</w:t>
            </w:r>
          </w:p>
        </w:tc>
        <w:tc>
          <w:tcPr>
            <w:tcW w:w="0" w:type="auto"/>
          </w:tcPr>
          <w:p w14:paraId="7BBB49D7" w14:textId="77777777" w:rsidR="00FE26AC" w:rsidRDefault="00000000">
            <w:pPr>
              <w:pStyle w:val="Compact"/>
              <w:jc w:val="right"/>
            </w:pPr>
            <w:r>
              <w:t>Avg daily crush (computed)</w:t>
            </w:r>
          </w:p>
        </w:tc>
        <w:tc>
          <w:tcPr>
            <w:tcW w:w="0" w:type="auto"/>
          </w:tcPr>
          <w:p w14:paraId="5B0CB91C" w14:textId="77777777" w:rsidR="00FE26AC" w:rsidRDefault="00000000">
            <w:pPr>
              <w:pStyle w:val="Compact"/>
              <w:jc w:val="right"/>
            </w:pPr>
            <w:r>
              <w:t>Change vs Feb 2026</w:t>
            </w:r>
          </w:p>
        </w:tc>
      </w:tr>
      <w:tr w:rsidR="00FE26AC" w14:paraId="22007AB9" w14:textId="77777777">
        <w:tc>
          <w:tcPr>
            <w:tcW w:w="0" w:type="auto"/>
          </w:tcPr>
          <w:p w14:paraId="642538E5" w14:textId="77777777" w:rsidR="00FE26AC" w:rsidRDefault="00000000">
            <w:pPr>
              <w:pStyle w:val="Compact"/>
            </w:pPr>
            <w:r>
              <w:t>Feb 2026</w:t>
            </w:r>
          </w:p>
        </w:tc>
        <w:tc>
          <w:tcPr>
            <w:tcW w:w="0" w:type="auto"/>
          </w:tcPr>
          <w:p w14:paraId="030484AF" w14:textId="77777777" w:rsidR="00FE26AC" w:rsidRDefault="00000000">
            <w:pPr>
              <w:pStyle w:val="Compact"/>
              <w:jc w:val="right"/>
            </w:pPr>
            <w:r>
              <w:t xml:space="preserve">208.785 mbu </w:t>
            </w:r>
            <w:hyperlink r:id="rId16">
              <w:r>
                <w:rPr>
                  <w:rStyle w:val="Hyperlink"/>
                </w:rPr>
                <w:t>[1]</w:t>
              </w:r>
            </w:hyperlink>
          </w:p>
        </w:tc>
        <w:tc>
          <w:tcPr>
            <w:tcW w:w="0" w:type="auto"/>
          </w:tcPr>
          <w:p w14:paraId="5F62D8BB" w14:textId="77777777" w:rsidR="00FE26AC" w:rsidRDefault="00000000">
            <w:pPr>
              <w:pStyle w:val="Compact"/>
              <w:jc w:val="right"/>
            </w:pPr>
            <w:r>
              <w:t>5.682 MMT</w:t>
            </w:r>
          </w:p>
        </w:tc>
        <w:tc>
          <w:tcPr>
            <w:tcW w:w="0" w:type="auto"/>
          </w:tcPr>
          <w:p w14:paraId="6E216FC0" w14:textId="77777777" w:rsidR="00FE26AC" w:rsidRDefault="00000000">
            <w:pPr>
              <w:pStyle w:val="Compact"/>
              <w:jc w:val="right"/>
            </w:pPr>
            <w:r>
              <w:t>7.457 mbu/day (28 days)</w:t>
            </w:r>
          </w:p>
        </w:tc>
        <w:tc>
          <w:tcPr>
            <w:tcW w:w="0" w:type="auto"/>
          </w:tcPr>
          <w:p w14:paraId="13C90639" w14:textId="77777777" w:rsidR="00FE26AC" w:rsidRDefault="00000000">
            <w:pPr>
              <w:pStyle w:val="Compact"/>
              <w:jc w:val="right"/>
            </w:pPr>
            <w:r>
              <w:t>—</w:t>
            </w:r>
          </w:p>
        </w:tc>
      </w:tr>
      <w:tr w:rsidR="00FE26AC" w14:paraId="43E866CD" w14:textId="77777777">
        <w:tc>
          <w:tcPr>
            <w:tcW w:w="0" w:type="auto"/>
          </w:tcPr>
          <w:p w14:paraId="0770BFA9" w14:textId="77777777" w:rsidR="00FE26AC" w:rsidRDefault="00000000">
            <w:pPr>
              <w:pStyle w:val="Compact"/>
            </w:pPr>
            <w:r>
              <w:t>Jan 2026</w:t>
            </w:r>
          </w:p>
        </w:tc>
        <w:tc>
          <w:tcPr>
            <w:tcW w:w="0" w:type="auto"/>
          </w:tcPr>
          <w:p w14:paraId="0B756F91" w14:textId="77777777" w:rsidR="00FE26AC" w:rsidRDefault="00000000">
            <w:pPr>
              <w:pStyle w:val="Compact"/>
              <w:jc w:val="right"/>
            </w:pPr>
            <w:r>
              <w:t xml:space="preserve">221.564 mbu </w:t>
            </w:r>
            <w:hyperlink r:id="rId17">
              <w:r>
                <w:rPr>
                  <w:rStyle w:val="Hyperlink"/>
                </w:rPr>
                <w:t>[3]</w:t>
              </w:r>
            </w:hyperlink>
          </w:p>
        </w:tc>
        <w:tc>
          <w:tcPr>
            <w:tcW w:w="0" w:type="auto"/>
          </w:tcPr>
          <w:p w14:paraId="3345D7DB" w14:textId="77777777" w:rsidR="00FE26AC" w:rsidRDefault="00000000">
            <w:pPr>
              <w:pStyle w:val="Compact"/>
              <w:jc w:val="right"/>
            </w:pPr>
            <w:r>
              <w:t>6.030 MMT</w:t>
            </w:r>
          </w:p>
        </w:tc>
        <w:tc>
          <w:tcPr>
            <w:tcW w:w="0" w:type="auto"/>
          </w:tcPr>
          <w:p w14:paraId="1976BFA8" w14:textId="77777777" w:rsidR="00FE26AC" w:rsidRDefault="00000000">
            <w:pPr>
              <w:pStyle w:val="Compact"/>
              <w:jc w:val="right"/>
            </w:pPr>
            <w:r>
              <w:t>7.147 mbu/day (31 days)</w:t>
            </w:r>
          </w:p>
        </w:tc>
        <w:tc>
          <w:tcPr>
            <w:tcW w:w="0" w:type="auto"/>
          </w:tcPr>
          <w:p w14:paraId="7BA3545D" w14:textId="77777777" w:rsidR="00FE26AC" w:rsidRDefault="00000000">
            <w:pPr>
              <w:pStyle w:val="Compact"/>
              <w:jc w:val="right"/>
            </w:pPr>
            <w:r>
              <w:rPr>
                <w:b/>
                <w:bCs/>
              </w:rPr>
              <w:t>-12.779 mbu</w:t>
            </w:r>
            <w:r>
              <w:t xml:space="preserve"> (</w:t>
            </w:r>
            <w:r>
              <w:rPr>
                <w:b/>
                <w:bCs/>
              </w:rPr>
              <w:t>-5.77%</w:t>
            </w:r>
            <w:r>
              <w:t>)</w:t>
            </w:r>
          </w:p>
        </w:tc>
      </w:tr>
      <w:tr w:rsidR="00FE26AC" w14:paraId="229D7D91" w14:textId="77777777">
        <w:tc>
          <w:tcPr>
            <w:tcW w:w="0" w:type="auto"/>
          </w:tcPr>
          <w:p w14:paraId="45BC996B" w14:textId="77777777" w:rsidR="00FE26AC" w:rsidRDefault="00000000">
            <w:pPr>
              <w:pStyle w:val="Compact"/>
            </w:pPr>
            <w:r>
              <w:t>Feb 2025</w:t>
            </w:r>
          </w:p>
        </w:tc>
        <w:tc>
          <w:tcPr>
            <w:tcW w:w="0" w:type="auto"/>
          </w:tcPr>
          <w:p w14:paraId="6F567AA1" w14:textId="77777777" w:rsidR="00FE26AC" w:rsidRDefault="00000000">
            <w:pPr>
              <w:pStyle w:val="Compact"/>
              <w:jc w:val="right"/>
            </w:pPr>
            <w:r>
              <w:t xml:space="preserve">177.870 mbu </w:t>
            </w:r>
            <w:hyperlink r:id="rId18">
              <w:r>
                <w:rPr>
                  <w:rStyle w:val="Hyperlink"/>
                </w:rPr>
                <w:t>[3]</w:t>
              </w:r>
            </w:hyperlink>
          </w:p>
        </w:tc>
        <w:tc>
          <w:tcPr>
            <w:tcW w:w="0" w:type="auto"/>
          </w:tcPr>
          <w:p w14:paraId="63AB6DBE" w14:textId="77777777" w:rsidR="00FE26AC" w:rsidRDefault="00000000">
            <w:pPr>
              <w:pStyle w:val="Compact"/>
              <w:jc w:val="right"/>
            </w:pPr>
            <w:r>
              <w:t>4.841 MMT</w:t>
            </w:r>
          </w:p>
        </w:tc>
        <w:tc>
          <w:tcPr>
            <w:tcW w:w="0" w:type="auto"/>
          </w:tcPr>
          <w:p w14:paraId="429E0A95" w14:textId="77777777" w:rsidR="00FE26AC" w:rsidRDefault="00000000">
            <w:pPr>
              <w:pStyle w:val="Compact"/>
              <w:jc w:val="right"/>
            </w:pPr>
            <w:r>
              <w:t>6.353 mbu/day (28 days)</w:t>
            </w:r>
          </w:p>
        </w:tc>
        <w:tc>
          <w:tcPr>
            <w:tcW w:w="0" w:type="auto"/>
          </w:tcPr>
          <w:p w14:paraId="4408D9EF" w14:textId="77777777" w:rsidR="00FE26AC" w:rsidRDefault="00000000">
            <w:pPr>
              <w:pStyle w:val="Compact"/>
              <w:jc w:val="right"/>
            </w:pPr>
            <w:r>
              <w:rPr>
                <w:b/>
                <w:bCs/>
              </w:rPr>
              <w:t>+30.915 mbu</w:t>
            </w:r>
            <w:r>
              <w:t xml:space="preserve"> (</w:t>
            </w:r>
            <w:r>
              <w:rPr>
                <w:b/>
                <w:bCs/>
              </w:rPr>
              <w:t>+17.38%</w:t>
            </w:r>
            <w:r>
              <w:t>)</w:t>
            </w:r>
          </w:p>
        </w:tc>
      </w:tr>
    </w:tbl>
    <w:p w14:paraId="0EE6F20E" w14:textId="77777777" w:rsidR="00FE26AC" w:rsidRDefault="00000000">
      <w:pPr>
        <w:pStyle w:val="BodyText"/>
      </w:pPr>
      <w:r>
        <w:rPr>
          <w:b/>
          <w:bCs/>
        </w:rPr>
        <w:t>Important interpretation note:</w:t>
      </w:r>
      <w:r>
        <w:t xml:space="preserve"> the month-over-month decline from January reflects, in part, the </w:t>
      </w:r>
      <w:r>
        <w:rPr>
          <w:b/>
          <w:bCs/>
        </w:rPr>
        <w:t>calendar difference</w:t>
      </w:r>
      <w:r>
        <w:t xml:space="preserve"> (31 days vs 28 days). Using daily rates, February’s implied processing pace is </w:t>
      </w:r>
      <w:r>
        <w:rPr>
          <w:b/>
          <w:bCs/>
        </w:rPr>
        <w:t>higher</w:t>
      </w:r>
      <w:r>
        <w:t xml:space="preserve"> than January’s. </w:t>
      </w:r>
      <w:hyperlink r:id="rId19">
        <w:r>
          <w:rPr>
            <w:rStyle w:val="Hyperlink"/>
          </w:rPr>
          <w:t>[8]</w:t>
        </w:r>
      </w:hyperlink>
    </w:p>
    <w:p w14:paraId="4CE0B669" w14:textId="77777777" w:rsidR="00FE26AC" w:rsidRDefault="00000000">
      <w:pPr>
        <w:pStyle w:val="BodyText"/>
      </w:pPr>
      <w:r>
        <w:rPr>
          <w:b/>
          <w:bCs/>
        </w:rPr>
        <w:t>Table C — Soybean oil stocks (end of month) (with computed delta)</w:t>
      </w:r>
    </w:p>
    <w:tbl>
      <w:tblPr>
        <w:tblStyle w:val="Table"/>
        <w:tblW w:w="0" w:type="auto"/>
        <w:tblLook w:val="0020" w:firstRow="1" w:lastRow="0" w:firstColumn="0" w:lastColumn="0" w:noHBand="0" w:noVBand="0"/>
      </w:tblPr>
      <w:tblGrid>
        <w:gridCol w:w="1614"/>
        <w:gridCol w:w="1665"/>
        <w:gridCol w:w="2817"/>
        <w:gridCol w:w="2764"/>
      </w:tblGrid>
      <w:tr w:rsidR="00FE26AC" w14:paraId="248A3282" w14:textId="77777777" w:rsidTr="00FE26AC">
        <w:trPr>
          <w:cnfStyle w:val="100000000000" w:firstRow="1" w:lastRow="0" w:firstColumn="0" w:lastColumn="0" w:oddVBand="0" w:evenVBand="0" w:oddHBand="0" w:evenHBand="0" w:firstRowFirstColumn="0" w:firstRowLastColumn="0" w:lastRowFirstColumn="0" w:lastRowLastColumn="0"/>
          <w:tblHeader/>
        </w:trPr>
        <w:tc>
          <w:tcPr>
            <w:tcW w:w="0" w:type="auto"/>
          </w:tcPr>
          <w:p w14:paraId="63C2C43E" w14:textId="77777777" w:rsidR="00FE26AC" w:rsidRDefault="00000000">
            <w:pPr>
              <w:pStyle w:val="Compact"/>
            </w:pPr>
            <w:r>
              <w:t>Stock date</w:t>
            </w:r>
          </w:p>
        </w:tc>
        <w:tc>
          <w:tcPr>
            <w:tcW w:w="0" w:type="auto"/>
          </w:tcPr>
          <w:p w14:paraId="41EF6028" w14:textId="77777777" w:rsidR="00FE26AC" w:rsidRDefault="00000000">
            <w:pPr>
              <w:pStyle w:val="Compact"/>
              <w:jc w:val="right"/>
            </w:pPr>
            <w:r>
              <w:t>Oil stocks</w:t>
            </w:r>
          </w:p>
        </w:tc>
        <w:tc>
          <w:tcPr>
            <w:tcW w:w="0" w:type="auto"/>
          </w:tcPr>
          <w:p w14:paraId="1748AC03" w14:textId="77777777" w:rsidR="00FE26AC" w:rsidRDefault="00000000">
            <w:pPr>
              <w:pStyle w:val="Compact"/>
              <w:jc w:val="right"/>
            </w:pPr>
            <w:r>
              <w:t>Approx. MMT (computed)</w:t>
            </w:r>
          </w:p>
        </w:tc>
        <w:tc>
          <w:tcPr>
            <w:tcW w:w="0" w:type="auto"/>
          </w:tcPr>
          <w:p w14:paraId="59FB9B85" w14:textId="77777777" w:rsidR="00FE26AC" w:rsidRDefault="00000000">
            <w:pPr>
              <w:pStyle w:val="Compact"/>
              <w:jc w:val="right"/>
            </w:pPr>
            <w:r>
              <w:t>Change vs end-Feb 2026</w:t>
            </w:r>
          </w:p>
        </w:tc>
      </w:tr>
      <w:tr w:rsidR="00FE26AC" w14:paraId="393229E3" w14:textId="77777777">
        <w:tc>
          <w:tcPr>
            <w:tcW w:w="0" w:type="auto"/>
          </w:tcPr>
          <w:p w14:paraId="64C05BFF" w14:textId="77777777" w:rsidR="00FE26AC" w:rsidRDefault="00000000">
            <w:pPr>
              <w:pStyle w:val="Compact"/>
            </w:pPr>
            <w:r>
              <w:t>End Feb 2026</w:t>
            </w:r>
          </w:p>
        </w:tc>
        <w:tc>
          <w:tcPr>
            <w:tcW w:w="0" w:type="auto"/>
          </w:tcPr>
          <w:p w14:paraId="42963D5F" w14:textId="77777777" w:rsidR="00FE26AC" w:rsidRDefault="00000000">
            <w:pPr>
              <w:pStyle w:val="Compact"/>
              <w:jc w:val="right"/>
            </w:pPr>
            <w:r>
              <w:t xml:space="preserve">2.08 bil lb </w:t>
            </w:r>
            <w:hyperlink r:id="rId20">
              <w:r>
                <w:rPr>
                  <w:rStyle w:val="Hyperlink"/>
                </w:rPr>
                <w:t>[1]</w:t>
              </w:r>
            </w:hyperlink>
          </w:p>
        </w:tc>
        <w:tc>
          <w:tcPr>
            <w:tcW w:w="0" w:type="auto"/>
          </w:tcPr>
          <w:p w14:paraId="18BD4965" w14:textId="77777777" w:rsidR="00FE26AC" w:rsidRDefault="00000000">
            <w:pPr>
              <w:pStyle w:val="Compact"/>
              <w:jc w:val="right"/>
            </w:pPr>
            <w:r>
              <w:t>0.943 MMT</w:t>
            </w:r>
          </w:p>
        </w:tc>
        <w:tc>
          <w:tcPr>
            <w:tcW w:w="0" w:type="auto"/>
          </w:tcPr>
          <w:p w14:paraId="30B5600A" w14:textId="77777777" w:rsidR="00FE26AC" w:rsidRDefault="00000000">
            <w:pPr>
              <w:pStyle w:val="Compact"/>
              <w:jc w:val="right"/>
            </w:pPr>
            <w:r>
              <w:t>—</w:t>
            </w:r>
          </w:p>
        </w:tc>
      </w:tr>
      <w:tr w:rsidR="00FE26AC" w14:paraId="2937A97C" w14:textId="77777777">
        <w:tc>
          <w:tcPr>
            <w:tcW w:w="0" w:type="auto"/>
          </w:tcPr>
          <w:p w14:paraId="547DC387" w14:textId="77777777" w:rsidR="00FE26AC" w:rsidRDefault="00000000">
            <w:pPr>
              <w:pStyle w:val="Compact"/>
            </w:pPr>
            <w:r>
              <w:t>End Jan 2026</w:t>
            </w:r>
          </w:p>
        </w:tc>
        <w:tc>
          <w:tcPr>
            <w:tcW w:w="0" w:type="auto"/>
          </w:tcPr>
          <w:p w14:paraId="77C2F89E" w14:textId="77777777" w:rsidR="00FE26AC" w:rsidRDefault="00000000">
            <w:pPr>
              <w:pStyle w:val="Compact"/>
              <w:jc w:val="right"/>
            </w:pPr>
            <w:r>
              <w:t xml:space="preserve">1.900 bil lb </w:t>
            </w:r>
            <w:hyperlink r:id="rId21">
              <w:r>
                <w:rPr>
                  <w:rStyle w:val="Hyperlink"/>
                </w:rPr>
                <w:t>[3]</w:t>
              </w:r>
            </w:hyperlink>
          </w:p>
        </w:tc>
        <w:tc>
          <w:tcPr>
            <w:tcW w:w="0" w:type="auto"/>
          </w:tcPr>
          <w:p w14:paraId="0DC8B8CB" w14:textId="77777777" w:rsidR="00FE26AC" w:rsidRDefault="00000000">
            <w:pPr>
              <w:pStyle w:val="Compact"/>
              <w:jc w:val="right"/>
            </w:pPr>
            <w:r>
              <w:t>0.862 MMT</w:t>
            </w:r>
          </w:p>
        </w:tc>
        <w:tc>
          <w:tcPr>
            <w:tcW w:w="0" w:type="auto"/>
          </w:tcPr>
          <w:p w14:paraId="6865ECBB" w14:textId="77777777" w:rsidR="00FE26AC" w:rsidRDefault="00000000">
            <w:pPr>
              <w:pStyle w:val="Compact"/>
              <w:jc w:val="right"/>
            </w:pPr>
            <w:r>
              <w:rPr>
                <w:b/>
                <w:bCs/>
              </w:rPr>
              <w:t>+0.180 bil lb</w:t>
            </w:r>
            <w:r>
              <w:t xml:space="preserve"> (</w:t>
            </w:r>
            <w:r>
              <w:rPr>
                <w:b/>
                <w:bCs/>
              </w:rPr>
              <w:t>+9.47%</w:t>
            </w:r>
            <w:r>
              <w:t>)</w:t>
            </w:r>
          </w:p>
        </w:tc>
      </w:tr>
    </w:tbl>
    <w:p w14:paraId="576DD4EF" w14:textId="77777777" w:rsidR="00FE26AC" w:rsidRDefault="00000000">
      <w:pPr>
        <w:pStyle w:val="Heading2"/>
      </w:pPr>
      <w:bookmarkStart w:id="8" w:name="X77d3d8d0e66e8802432149b3ff3ef5ba5111064"/>
      <w:bookmarkEnd w:id="5"/>
      <w:bookmarkEnd w:id="7"/>
      <w:r>
        <w:t>Expectations, consensus, and “surprise” versus estimates</w:t>
      </w:r>
    </w:p>
    <w:p w14:paraId="2B8EBB54" w14:textId="77777777" w:rsidR="00FE26AC" w:rsidRDefault="00000000">
      <w:pPr>
        <w:pStyle w:val="FirstParagraph"/>
      </w:pPr>
      <w:r>
        <w:t>Reuters’ analyst survey ahead of release (via ADMIS) reported:</w:t>
      </w:r>
      <w:r>
        <w:br/>
        <w:t xml:space="preserve">- </w:t>
      </w:r>
      <w:r>
        <w:rPr>
          <w:b/>
          <w:bCs/>
        </w:rPr>
        <w:t>Crush consensus:</w:t>
      </w:r>
      <w:r>
        <w:t xml:space="preserve"> 202.725 mbu (range 199.400–205.453; median 202.750)</w:t>
      </w:r>
      <w:r>
        <w:br/>
        <w:t xml:space="preserve">- </w:t>
      </w:r>
      <w:r>
        <w:rPr>
          <w:b/>
          <w:bCs/>
        </w:rPr>
        <w:t>Oil stocks consensus:</w:t>
      </w:r>
      <w:r>
        <w:t xml:space="preserve"> 1.928 bil lb (range 1.701–2.100; median 1.963) </w:t>
      </w:r>
      <w:hyperlink r:id="rId22">
        <w:r>
          <w:rPr>
            <w:rStyle w:val="Hyperlink"/>
          </w:rPr>
          <w:t>[3]</w:t>
        </w:r>
      </w:hyperlink>
    </w:p>
    <w:p w14:paraId="1DB54B93" w14:textId="77777777" w:rsidR="00FE26AC" w:rsidRDefault="00000000">
      <w:pPr>
        <w:pStyle w:val="BodyText"/>
      </w:pPr>
      <w:r>
        <w:rPr>
          <w:b/>
          <w:bCs/>
        </w:rPr>
        <w:t>Table D — Actual vs. pre-release consensus (and computed surprise)</w:t>
      </w:r>
    </w:p>
    <w:tbl>
      <w:tblPr>
        <w:tblStyle w:val="Table"/>
        <w:tblW w:w="0" w:type="auto"/>
        <w:tblLook w:val="0020" w:firstRow="1" w:lastRow="0" w:firstColumn="0" w:lastColumn="0" w:noHBand="0" w:noVBand="0"/>
      </w:tblPr>
      <w:tblGrid>
        <w:gridCol w:w="1704"/>
        <w:gridCol w:w="1297"/>
        <w:gridCol w:w="1708"/>
        <w:gridCol w:w="1958"/>
        <w:gridCol w:w="1194"/>
        <w:gridCol w:w="1499"/>
      </w:tblGrid>
      <w:tr w:rsidR="00FE26AC" w14:paraId="1A93C12D" w14:textId="77777777" w:rsidTr="00FE26AC">
        <w:trPr>
          <w:cnfStyle w:val="100000000000" w:firstRow="1" w:lastRow="0" w:firstColumn="0" w:lastColumn="0" w:oddVBand="0" w:evenVBand="0" w:oddHBand="0" w:evenHBand="0" w:firstRowFirstColumn="0" w:firstRowLastColumn="0" w:lastRowFirstColumn="0" w:lastRowLastColumn="0"/>
          <w:tblHeader/>
        </w:trPr>
        <w:tc>
          <w:tcPr>
            <w:tcW w:w="0" w:type="auto"/>
          </w:tcPr>
          <w:p w14:paraId="4F2119DF" w14:textId="77777777" w:rsidR="00FE26AC" w:rsidRDefault="00000000">
            <w:pPr>
              <w:pStyle w:val="Compact"/>
            </w:pPr>
            <w:r>
              <w:lastRenderedPageBreak/>
              <w:t>Metric</w:t>
            </w:r>
          </w:p>
        </w:tc>
        <w:tc>
          <w:tcPr>
            <w:tcW w:w="0" w:type="auto"/>
          </w:tcPr>
          <w:p w14:paraId="43EA6730" w14:textId="77777777" w:rsidR="00FE26AC" w:rsidRDefault="00000000">
            <w:pPr>
              <w:pStyle w:val="Compact"/>
              <w:jc w:val="right"/>
            </w:pPr>
            <w:r>
              <w:t>Actual</w:t>
            </w:r>
          </w:p>
        </w:tc>
        <w:tc>
          <w:tcPr>
            <w:tcW w:w="0" w:type="auto"/>
          </w:tcPr>
          <w:p w14:paraId="12857ADA" w14:textId="77777777" w:rsidR="00FE26AC" w:rsidRDefault="00000000">
            <w:pPr>
              <w:pStyle w:val="Compact"/>
              <w:jc w:val="right"/>
            </w:pPr>
            <w:r>
              <w:t>Pre-release consensus</w:t>
            </w:r>
          </w:p>
        </w:tc>
        <w:tc>
          <w:tcPr>
            <w:tcW w:w="0" w:type="auto"/>
          </w:tcPr>
          <w:p w14:paraId="25C6AB94" w14:textId="77777777" w:rsidR="00FE26AC" w:rsidRDefault="00000000">
            <w:pPr>
              <w:pStyle w:val="Compact"/>
              <w:jc w:val="right"/>
            </w:pPr>
            <w:r>
              <w:t>Surprise (actual − consensus)</w:t>
            </w:r>
          </w:p>
        </w:tc>
        <w:tc>
          <w:tcPr>
            <w:tcW w:w="0" w:type="auto"/>
          </w:tcPr>
          <w:p w14:paraId="51B110F3" w14:textId="77777777" w:rsidR="00FE26AC" w:rsidRDefault="00000000">
            <w:pPr>
              <w:pStyle w:val="Compact"/>
              <w:jc w:val="right"/>
            </w:pPr>
            <w:r>
              <w:t>Surprise (%)</w:t>
            </w:r>
          </w:p>
        </w:tc>
        <w:tc>
          <w:tcPr>
            <w:tcW w:w="0" w:type="auto"/>
          </w:tcPr>
          <w:p w14:paraId="10E41F5C" w14:textId="77777777" w:rsidR="00FE26AC" w:rsidRDefault="00000000">
            <w:pPr>
              <w:pStyle w:val="Compact"/>
            </w:pPr>
            <w:r>
              <w:t>Pre-release range</w:t>
            </w:r>
          </w:p>
        </w:tc>
      </w:tr>
      <w:tr w:rsidR="00FE26AC" w14:paraId="655160F7" w14:textId="77777777">
        <w:tc>
          <w:tcPr>
            <w:tcW w:w="0" w:type="auto"/>
          </w:tcPr>
          <w:p w14:paraId="31668A07" w14:textId="77777777" w:rsidR="00FE26AC" w:rsidRDefault="00000000">
            <w:pPr>
              <w:pStyle w:val="Compact"/>
            </w:pPr>
            <w:r>
              <w:t>Soybean crush (Feb 2026)</w:t>
            </w:r>
          </w:p>
        </w:tc>
        <w:tc>
          <w:tcPr>
            <w:tcW w:w="0" w:type="auto"/>
          </w:tcPr>
          <w:p w14:paraId="45CA0E9A" w14:textId="77777777" w:rsidR="00FE26AC" w:rsidRDefault="00000000">
            <w:pPr>
              <w:pStyle w:val="Compact"/>
              <w:jc w:val="right"/>
            </w:pPr>
            <w:r>
              <w:t xml:space="preserve">208.785 mbu </w:t>
            </w:r>
            <w:hyperlink r:id="rId23">
              <w:r>
                <w:rPr>
                  <w:rStyle w:val="Hyperlink"/>
                </w:rPr>
                <w:t>[1]</w:t>
              </w:r>
            </w:hyperlink>
          </w:p>
        </w:tc>
        <w:tc>
          <w:tcPr>
            <w:tcW w:w="0" w:type="auto"/>
          </w:tcPr>
          <w:p w14:paraId="739EFE89" w14:textId="77777777" w:rsidR="00FE26AC" w:rsidRDefault="00000000">
            <w:pPr>
              <w:pStyle w:val="Compact"/>
              <w:jc w:val="right"/>
            </w:pPr>
            <w:r>
              <w:t xml:space="preserve">202.725 mbu </w:t>
            </w:r>
            <w:hyperlink r:id="rId24">
              <w:r>
                <w:rPr>
                  <w:rStyle w:val="Hyperlink"/>
                </w:rPr>
                <w:t>[3]</w:t>
              </w:r>
            </w:hyperlink>
          </w:p>
        </w:tc>
        <w:tc>
          <w:tcPr>
            <w:tcW w:w="0" w:type="auto"/>
          </w:tcPr>
          <w:p w14:paraId="3597D0BF" w14:textId="77777777" w:rsidR="00FE26AC" w:rsidRDefault="00000000">
            <w:pPr>
              <w:pStyle w:val="Compact"/>
              <w:jc w:val="right"/>
            </w:pPr>
            <w:r>
              <w:rPr>
                <w:b/>
                <w:bCs/>
              </w:rPr>
              <w:t>+6.060 mbu</w:t>
            </w:r>
          </w:p>
        </w:tc>
        <w:tc>
          <w:tcPr>
            <w:tcW w:w="0" w:type="auto"/>
          </w:tcPr>
          <w:p w14:paraId="1C2FF659" w14:textId="77777777" w:rsidR="00FE26AC" w:rsidRDefault="00000000">
            <w:pPr>
              <w:pStyle w:val="Compact"/>
              <w:jc w:val="right"/>
            </w:pPr>
            <w:r>
              <w:rPr>
                <w:b/>
                <w:bCs/>
              </w:rPr>
              <w:t>+2.99%</w:t>
            </w:r>
          </w:p>
        </w:tc>
        <w:tc>
          <w:tcPr>
            <w:tcW w:w="0" w:type="auto"/>
          </w:tcPr>
          <w:p w14:paraId="770A6854" w14:textId="77777777" w:rsidR="00FE26AC" w:rsidRDefault="00000000">
            <w:pPr>
              <w:pStyle w:val="Compact"/>
            </w:pPr>
            <w:r>
              <w:t xml:space="preserve">199.400–205.453 </w:t>
            </w:r>
            <w:hyperlink r:id="rId25">
              <w:r>
                <w:rPr>
                  <w:rStyle w:val="Hyperlink"/>
                </w:rPr>
                <w:t>[3]</w:t>
              </w:r>
            </w:hyperlink>
          </w:p>
        </w:tc>
      </w:tr>
      <w:tr w:rsidR="00FE26AC" w14:paraId="60C2BE58" w14:textId="77777777">
        <w:tc>
          <w:tcPr>
            <w:tcW w:w="0" w:type="auto"/>
          </w:tcPr>
          <w:p w14:paraId="7E01C6B5" w14:textId="77777777" w:rsidR="00FE26AC" w:rsidRDefault="00000000">
            <w:pPr>
              <w:pStyle w:val="Compact"/>
            </w:pPr>
            <w:r>
              <w:t>Soyoil stocks (end Feb 2026)</w:t>
            </w:r>
          </w:p>
        </w:tc>
        <w:tc>
          <w:tcPr>
            <w:tcW w:w="0" w:type="auto"/>
          </w:tcPr>
          <w:p w14:paraId="25310BEF" w14:textId="77777777" w:rsidR="00FE26AC" w:rsidRDefault="00000000">
            <w:pPr>
              <w:pStyle w:val="Compact"/>
              <w:jc w:val="right"/>
            </w:pPr>
            <w:r>
              <w:t xml:space="preserve">2.08 bil lb </w:t>
            </w:r>
            <w:hyperlink r:id="rId26">
              <w:r>
                <w:rPr>
                  <w:rStyle w:val="Hyperlink"/>
                </w:rPr>
                <w:t>[1]</w:t>
              </w:r>
            </w:hyperlink>
          </w:p>
        </w:tc>
        <w:tc>
          <w:tcPr>
            <w:tcW w:w="0" w:type="auto"/>
          </w:tcPr>
          <w:p w14:paraId="65A3A52A" w14:textId="77777777" w:rsidR="00FE26AC" w:rsidRDefault="00000000">
            <w:pPr>
              <w:pStyle w:val="Compact"/>
              <w:jc w:val="right"/>
            </w:pPr>
            <w:r>
              <w:t xml:space="preserve">1.928 bil lb </w:t>
            </w:r>
            <w:hyperlink r:id="rId27">
              <w:r>
                <w:rPr>
                  <w:rStyle w:val="Hyperlink"/>
                </w:rPr>
                <w:t>[3]</w:t>
              </w:r>
            </w:hyperlink>
          </w:p>
        </w:tc>
        <w:tc>
          <w:tcPr>
            <w:tcW w:w="0" w:type="auto"/>
          </w:tcPr>
          <w:p w14:paraId="52043830" w14:textId="77777777" w:rsidR="00FE26AC" w:rsidRDefault="00000000">
            <w:pPr>
              <w:pStyle w:val="Compact"/>
              <w:jc w:val="right"/>
            </w:pPr>
            <w:r>
              <w:rPr>
                <w:b/>
                <w:bCs/>
              </w:rPr>
              <w:t>+0.152 bil lb</w:t>
            </w:r>
          </w:p>
        </w:tc>
        <w:tc>
          <w:tcPr>
            <w:tcW w:w="0" w:type="auto"/>
          </w:tcPr>
          <w:p w14:paraId="06EC73EA" w14:textId="77777777" w:rsidR="00FE26AC" w:rsidRDefault="00000000">
            <w:pPr>
              <w:pStyle w:val="Compact"/>
              <w:jc w:val="right"/>
            </w:pPr>
            <w:r>
              <w:rPr>
                <w:b/>
                <w:bCs/>
              </w:rPr>
              <w:t>+7.88%</w:t>
            </w:r>
          </w:p>
        </w:tc>
        <w:tc>
          <w:tcPr>
            <w:tcW w:w="0" w:type="auto"/>
          </w:tcPr>
          <w:p w14:paraId="38278FC1" w14:textId="77777777" w:rsidR="00FE26AC" w:rsidRDefault="00000000">
            <w:pPr>
              <w:pStyle w:val="Compact"/>
            </w:pPr>
            <w:r>
              <w:t xml:space="preserve">1.701–2.100 </w:t>
            </w:r>
            <w:hyperlink r:id="rId28">
              <w:r>
                <w:rPr>
                  <w:rStyle w:val="Hyperlink"/>
                </w:rPr>
                <w:t>[3]</w:t>
              </w:r>
            </w:hyperlink>
          </w:p>
        </w:tc>
      </w:tr>
    </w:tbl>
    <w:p w14:paraId="2A0D3101" w14:textId="77777777" w:rsidR="00FE26AC" w:rsidRDefault="00000000">
      <w:pPr>
        <w:pStyle w:val="BodyText"/>
      </w:pPr>
      <w:r>
        <w:t xml:space="preserve">A high-side crush surprise is typically supportive for soybean demand and for crusher throughput narratives; however, a large high-side soyoil stocks surprise is usually interpreted as </w:t>
      </w:r>
      <w:r>
        <w:rPr>
          <w:b/>
          <w:bCs/>
        </w:rPr>
        <w:t>bearish or constraining for soybean oil</w:t>
      </w:r>
      <w:r>
        <w:t xml:space="preserve">, especially when policy-driven biofuel demand is uncertain. The combination can </w:t>
      </w:r>
      <w:r>
        <w:rPr>
          <w:b/>
          <w:bCs/>
        </w:rPr>
        <w:t>shift the soy complex’s internal “value center” toward meal</w:t>
      </w:r>
      <w:r>
        <w:t xml:space="preserve"> when meal demand is strong. </w:t>
      </w:r>
      <w:hyperlink r:id="rId29">
        <w:r>
          <w:rPr>
            <w:rStyle w:val="Hyperlink"/>
          </w:rPr>
          <w:t>[9]</w:t>
        </w:r>
      </w:hyperlink>
    </w:p>
    <w:p w14:paraId="571DB094" w14:textId="77777777" w:rsidR="00FE26AC" w:rsidRDefault="00000000">
      <w:pPr>
        <w:pStyle w:val="Heading2"/>
      </w:pPr>
      <w:bookmarkStart w:id="9" w:name="immediate-market-reaction"/>
      <w:bookmarkEnd w:id="8"/>
      <w:r>
        <w:t>Immediate market reaction</w:t>
      </w:r>
    </w:p>
    <w:p w14:paraId="290C06F7" w14:textId="77777777" w:rsidR="00FE26AC" w:rsidRDefault="00000000">
      <w:pPr>
        <w:pStyle w:val="Heading3"/>
      </w:pPr>
      <w:bookmarkStart w:id="10" w:name="Xd8a59bcfe5c0f6cded3f5d937589a2c598a14c3"/>
      <w:r>
        <w:t>Settlements and percent moves on release day</w:t>
      </w:r>
    </w:p>
    <w:p w14:paraId="4D740C78" w14:textId="77777777" w:rsidR="00FE26AC" w:rsidRDefault="00000000">
      <w:pPr>
        <w:pStyle w:val="FirstParagraph"/>
      </w:pPr>
      <w:r>
        <w:t>Public settled futures marks (May 2026 contracts) show the soy complex closed sharply lower on March 16:</w:t>
      </w:r>
    </w:p>
    <w:p w14:paraId="780F3028" w14:textId="77777777" w:rsidR="00FE26AC" w:rsidRDefault="00000000">
      <w:pPr>
        <w:pStyle w:val="BodyText"/>
      </w:pPr>
      <w:r>
        <w:rPr>
          <w:b/>
          <w:bCs/>
        </w:rPr>
        <w:t>Table E — Futures market reaction (May 2026) on March 16, 2026</w:t>
      </w:r>
    </w:p>
    <w:tbl>
      <w:tblPr>
        <w:tblStyle w:val="Table"/>
        <w:tblW w:w="0" w:type="auto"/>
        <w:tblLook w:val="0020" w:firstRow="1" w:lastRow="0" w:firstColumn="0" w:lastColumn="0" w:noHBand="0" w:noVBand="0"/>
      </w:tblPr>
      <w:tblGrid>
        <w:gridCol w:w="2379"/>
        <w:gridCol w:w="2658"/>
        <w:gridCol w:w="2287"/>
        <w:gridCol w:w="2036"/>
      </w:tblGrid>
      <w:tr w:rsidR="00FE26AC" w14:paraId="16F48574" w14:textId="77777777" w:rsidTr="00FE26AC">
        <w:trPr>
          <w:cnfStyle w:val="100000000000" w:firstRow="1" w:lastRow="0" w:firstColumn="0" w:lastColumn="0" w:oddVBand="0" w:evenVBand="0" w:oddHBand="0" w:evenHBand="0" w:firstRowFirstColumn="0" w:firstRowLastColumn="0" w:lastRowFirstColumn="0" w:lastRowLastColumn="0"/>
          <w:tblHeader/>
        </w:trPr>
        <w:tc>
          <w:tcPr>
            <w:tcW w:w="0" w:type="auto"/>
          </w:tcPr>
          <w:p w14:paraId="79B76331" w14:textId="77777777" w:rsidR="00FE26AC" w:rsidRDefault="00000000">
            <w:pPr>
              <w:pStyle w:val="Compact"/>
            </w:pPr>
            <w:r>
              <w:t>Contract</w:t>
            </w:r>
          </w:p>
        </w:tc>
        <w:tc>
          <w:tcPr>
            <w:tcW w:w="0" w:type="auto"/>
          </w:tcPr>
          <w:p w14:paraId="0B6547F7" w14:textId="77777777" w:rsidR="00FE26AC" w:rsidRDefault="00000000">
            <w:pPr>
              <w:pStyle w:val="Compact"/>
              <w:jc w:val="right"/>
            </w:pPr>
            <w:r>
              <w:t>Settlement</w:t>
            </w:r>
          </w:p>
        </w:tc>
        <w:tc>
          <w:tcPr>
            <w:tcW w:w="0" w:type="auto"/>
          </w:tcPr>
          <w:p w14:paraId="47867744" w14:textId="77777777" w:rsidR="00FE26AC" w:rsidRDefault="00000000">
            <w:pPr>
              <w:pStyle w:val="Compact"/>
              <w:jc w:val="right"/>
            </w:pPr>
            <w:r>
              <w:t>Abs change</w:t>
            </w:r>
          </w:p>
        </w:tc>
        <w:tc>
          <w:tcPr>
            <w:tcW w:w="0" w:type="auto"/>
          </w:tcPr>
          <w:p w14:paraId="0C9A4FD0" w14:textId="77777777" w:rsidR="00FE26AC" w:rsidRDefault="00000000">
            <w:pPr>
              <w:pStyle w:val="Compact"/>
              <w:jc w:val="right"/>
            </w:pPr>
            <w:r>
              <w:t>% change</w:t>
            </w:r>
          </w:p>
        </w:tc>
      </w:tr>
      <w:tr w:rsidR="00FE26AC" w14:paraId="02B697FC" w14:textId="77777777">
        <w:tc>
          <w:tcPr>
            <w:tcW w:w="0" w:type="auto"/>
          </w:tcPr>
          <w:p w14:paraId="3DB07108" w14:textId="77777777" w:rsidR="00FE26AC" w:rsidRDefault="00000000">
            <w:pPr>
              <w:pStyle w:val="Compact"/>
            </w:pPr>
            <w:r>
              <w:t>May 2026 Soybeans</w:t>
            </w:r>
          </w:p>
        </w:tc>
        <w:tc>
          <w:tcPr>
            <w:tcW w:w="0" w:type="auto"/>
          </w:tcPr>
          <w:p w14:paraId="34ED1B18" w14:textId="77777777" w:rsidR="00FE26AC" w:rsidRDefault="00000000">
            <w:pPr>
              <w:pStyle w:val="Compact"/>
              <w:jc w:val="right"/>
            </w:pPr>
            <w:r>
              <w:t xml:space="preserve">1155-2 (≈ $11.55¼/bu) </w:t>
            </w:r>
            <w:hyperlink r:id="rId30">
              <w:r>
                <w:rPr>
                  <w:rStyle w:val="Hyperlink"/>
                </w:rPr>
                <w:t>[10]</w:t>
              </w:r>
            </w:hyperlink>
          </w:p>
        </w:tc>
        <w:tc>
          <w:tcPr>
            <w:tcW w:w="0" w:type="auto"/>
          </w:tcPr>
          <w:p w14:paraId="073543BC" w14:textId="77777777" w:rsidR="00FE26AC" w:rsidRDefault="00000000">
            <w:pPr>
              <w:pStyle w:val="Compact"/>
              <w:jc w:val="right"/>
            </w:pPr>
            <w:r>
              <w:t xml:space="preserve">-70-0 (≈ -$0.70/bu) </w:t>
            </w:r>
            <w:hyperlink r:id="rId31">
              <w:r>
                <w:rPr>
                  <w:rStyle w:val="Hyperlink"/>
                </w:rPr>
                <w:t>[10]</w:t>
              </w:r>
            </w:hyperlink>
          </w:p>
        </w:tc>
        <w:tc>
          <w:tcPr>
            <w:tcW w:w="0" w:type="auto"/>
          </w:tcPr>
          <w:p w14:paraId="217438DF" w14:textId="77777777" w:rsidR="00FE26AC" w:rsidRDefault="00000000">
            <w:pPr>
              <w:pStyle w:val="Compact"/>
              <w:jc w:val="right"/>
            </w:pPr>
            <w:r>
              <w:t>-5.71% (computed)</w:t>
            </w:r>
          </w:p>
        </w:tc>
      </w:tr>
      <w:tr w:rsidR="00FE26AC" w14:paraId="4E414257" w14:textId="77777777">
        <w:tc>
          <w:tcPr>
            <w:tcW w:w="0" w:type="auto"/>
          </w:tcPr>
          <w:p w14:paraId="31F15146" w14:textId="77777777" w:rsidR="00FE26AC" w:rsidRDefault="00000000">
            <w:pPr>
              <w:pStyle w:val="Compact"/>
            </w:pPr>
            <w:r>
              <w:t>May 2026 Soybean Meal</w:t>
            </w:r>
          </w:p>
        </w:tc>
        <w:tc>
          <w:tcPr>
            <w:tcW w:w="0" w:type="auto"/>
          </w:tcPr>
          <w:p w14:paraId="11C7C326" w14:textId="77777777" w:rsidR="00FE26AC" w:rsidRDefault="00000000">
            <w:pPr>
              <w:pStyle w:val="Compact"/>
              <w:jc w:val="right"/>
            </w:pPr>
            <w:r>
              <w:t xml:space="preserve">$312.2/st </w:t>
            </w:r>
            <w:hyperlink r:id="rId32">
              <w:r>
                <w:rPr>
                  <w:rStyle w:val="Hyperlink"/>
                </w:rPr>
                <w:t>[10]</w:t>
              </w:r>
            </w:hyperlink>
          </w:p>
        </w:tc>
        <w:tc>
          <w:tcPr>
            <w:tcW w:w="0" w:type="auto"/>
          </w:tcPr>
          <w:p w14:paraId="379655AF" w14:textId="77777777" w:rsidR="00FE26AC" w:rsidRDefault="00000000">
            <w:pPr>
              <w:pStyle w:val="Compact"/>
              <w:jc w:val="right"/>
            </w:pPr>
            <w:r>
              <w:t xml:space="preserve">-$10.5/st </w:t>
            </w:r>
            <w:hyperlink r:id="rId33">
              <w:r>
                <w:rPr>
                  <w:rStyle w:val="Hyperlink"/>
                </w:rPr>
                <w:t>[10]</w:t>
              </w:r>
            </w:hyperlink>
          </w:p>
        </w:tc>
        <w:tc>
          <w:tcPr>
            <w:tcW w:w="0" w:type="auto"/>
          </w:tcPr>
          <w:p w14:paraId="1D61DBFD" w14:textId="77777777" w:rsidR="00FE26AC" w:rsidRDefault="00000000">
            <w:pPr>
              <w:pStyle w:val="Compact"/>
              <w:jc w:val="right"/>
            </w:pPr>
            <w:r>
              <w:t>-3.25% (computed)</w:t>
            </w:r>
          </w:p>
        </w:tc>
      </w:tr>
      <w:tr w:rsidR="00FE26AC" w14:paraId="579F543E" w14:textId="77777777">
        <w:tc>
          <w:tcPr>
            <w:tcW w:w="0" w:type="auto"/>
          </w:tcPr>
          <w:p w14:paraId="389ADDBF" w14:textId="77777777" w:rsidR="00FE26AC" w:rsidRDefault="00000000">
            <w:pPr>
              <w:pStyle w:val="Compact"/>
            </w:pPr>
            <w:r>
              <w:t>May 2026 Soybean Oil</w:t>
            </w:r>
          </w:p>
        </w:tc>
        <w:tc>
          <w:tcPr>
            <w:tcW w:w="0" w:type="auto"/>
          </w:tcPr>
          <w:p w14:paraId="2839AF92" w14:textId="77777777" w:rsidR="00FE26AC" w:rsidRDefault="00000000">
            <w:pPr>
              <w:pStyle w:val="Compact"/>
              <w:jc w:val="right"/>
            </w:pPr>
            <w:r>
              <w:t xml:space="preserve">63.94 ¢/lb </w:t>
            </w:r>
            <w:hyperlink r:id="rId34">
              <w:r>
                <w:rPr>
                  <w:rStyle w:val="Hyperlink"/>
                </w:rPr>
                <w:t>[10]</w:t>
              </w:r>
            </w:hyperlink>
          </w:p>
        </w:tc>
        <w:tc>
          <w:tcPr>
            <w:tcW w:w="0" w:type="auto"/>
          </w:tcPr>
          <w:p w14:paraId="48113CF2" w14:textId="77777777" w:rsidR="00FE26AC" w:rsidRDefault="00000000">
            <w:pPr>
              <w:pStyle w:val="Compact"/>
              <w:jc w:val="right"/>
            </w:pPr>
            <w:r>
              <w:t xml:space="preserve">-3.50 ¢/lb </w:t>
            </w:r>
            <w:hyperlink r:id="rId35">
              <w:r>
                <w:rPr>
                  <w:rStyle w:val="Hyperlink"/>
                </w:rPr>
                <w:t>[10]</w:t>
              </w:r>
            </w:hyperlink>
          </w:p>
        </w:tc>
        <w:tc>
          <w:tcPr>
            <w:tcW w:w="0" w:type="auto"/>
          </w:tcPr>
          <w:p w14:paraId="585BDFA3" w14:textId="77777777" w:rsidR="00FE26AC" w:rsidRDefault="00000000">
            <w:pPr>
              <w:pStyle w:val="Compact"/>
              <w:jc w:val="right"/>
            </w:pPr>
            <w:r>
              <w:t>-5.19% (computed)</w:t>
            </w:r>
          </w:p>
        </w:tc>
      </w:tr>
    </w:tbl>
    <w:p w14:paraId="166FBB2C" w14:textId="77777777" w:rsidR="00FE26AC" w:rsidRDefault="00000000">
      <w:pPr>
        <w:pStyle w:val="Heading3"/>
      </w:pPr>
      <w:bookmarkStart w:id="11" w:name="intraday-release-window-reaction"/>
      <w:bookmarkEnd w:id="10"/>
      <w:r>
        <w:t>Intraday (release-window) reaction</w:t>
      </w:r>
    </w:p>
    <w:p w14:paraId="576C48FF" w14:textId="77777777" w:rsidR="00FE26AC" w:rsidRDefault="00000000">
      <w:pPr>
        <w:pStyle w:val="FirstParagraph"/>
      </w:pPr>
      <w:r>
        <w:t>Intraday reporting indicates the NOPA release landed into a market overwhelmingly driven by geopolitical/trade and energy risk: - Pro Farmer</w:t>
      </w:r>
      <w:hyperlink r:id="rId36">
        <w:r>
          <w:rPr>
            <w:rStyle w:val="Hyperlink"/>
          </w:rPr>
          <w:t>[11]</w:t>
        </w:r>
      </w:hyperlink>
      <w:r>
        <w:t xml:space="preserve"> reported </w:t>
      </w:r>
      <w:r>
        <w:rPr>
          <w:b/>
          <w:bCs/>
        </w:rPr>
        <w:t>May soybeans limit down</w:t>
      </w:r>
      <w:r>
        <w:t xml:space="preserve"> at midday, with May soybean oil down roughly </w:t>
      </w:r>
      <w:r>
        <w:rPr>
          <w:b/>
          <w:bCs/>
        </w:rPr>
        <w:t>350 points</w:t>
      </w:r>
      <w:r>
        <w:t xml:space="preserve"> and May meal down around </w:t>
      </w:r>
      <w:r>
        <w:rPr>
          <w:b/>
          <w:bCs/>
        </w:rPr>
        <w:t>$10.90</w:t>
      </w:r>
      <w:r>
        <w:t xml:space="preserve">. </w:t>
      </w:r>
      <w:hyperlink r:id="rId37">
        <w:r>
          <w:rPr>
            <w:rStyle w:val="Hyperlink"/>
          </w:rPr>
          <w:t>[12]</w:t>
        </w:r>
      </w:hyperlink>
      <w:r>
        <w:br/>
        <w:t>- A Barchart</w:t>
      </w:r>
      <w:hyperlink r:id="rId38">
        <w:r>
          <w:rPr>
            <w:rStyle w:val="Hyperlink"/>
          </w:rPr>
          <w:t>[13]</w:t>
        </w:r>
      </w:hyperlink>
      <w:r>
        <w:t xml:space="preserve"> midday commentary explicitly referenced the NOPA data (208.785 mbu crush; 2.08 bil lb oil stocks; record daily crush) while also describing large intraday losses. </w:t>
      </w:r>
      <w:hyperlink r:id="rId39">
        <w:r>
          <w:rPr>
            <w:rStyle w:val="Hyperlink"/>
          </w:rPr>
          <w:t>[1]</w:t>
        </w:r>
      </w:hyperlink>
      <w:r>
        <w:br/>
        <w:t xml:space="preserve">- DTN’s midday “Quick Takes” showed soybeans down to </w:t>
      </w:r>
      <w:r>
        <w:rPr>
          <w:b/>
          <w:bCs/>
        </w:rPr>
        <w:t>limit losses</w:t>
      </w:r>
      <w:r>
        <w:t xml:space="preserve"> late in the session, underscoring the scale of the day’s selloff and volatility. </w:t>
      </w:r>
      <w:hyperlink r:id="rId40">
        <w:r>
          <w:rPr>
            <w:rStyle w:val="Hyperlink"/>
          </w:rPr>
          <w:t>[14]</w:t>
        </w:r>
      </w:hyperlink>
    </w:p>
    <w:p w14:paraId="70393972" w14:textId="77777777" w:rsidR="00FE26AC" w:rsidRDefault="00000000">
      <w:pPr>
        <w:pStyle w:val="BodyText"/>
      </w:pPr>
      <w:r>
        <w:rPr>
          <w:b/>
          <w:bCs/>
        </w:rPr>
        <w:t>Attribution caution:</w:t>
      </w:r>
      <w:r>
        <w:t xml:space="preserve"> on March 16, multiple drivers were present (e.g., trade/geopolitical headlines involving Donald Trump</w:t>
      </w:r>
      <w:hyperlink r:id="rId41">
        <w:r>
          <w:rPr>
            <w:rStyle w:val="Hyperlink"/>
          </w:rPr>
          <w:t>[15]</w:t>
        </w:r>
      </w:hyperlink>
      <w:r>
        <w:t xml:space="preserve"> and Xi Jinping</w:t>
      </w:r>
      <w:hyperlink r:id="rId42">
        <w:r>
          <w:rPr>
            <w:rStyle w:val="Hyperlink"/>
          </w:rPr>
          <w:t>[16]</w:t>
        </w:r>
      </w:hyperlink>
      <w:r>
        <w:t xml:space="preserve">, plus energy moves), so the “market reaction” cannot be cleanly assigned to the crush data alone. </w:t>
      </w:r>
      <w:hyperlink r:id="rId43">
        <w:r>
          <w:rPr>
            <w:rStyle w:val="Hyperlink"/>
          </w:rPr>
          <w:t>[17]</w:t>
        </w:r>
      </w:hyperlink>
    </w:p>
    <w:p w14:paraId="5E5DD04F" w14:textId="77777777" w:rsidR="00FE26AC" w:rsidRDefault="00000000">
      <w:pPr>
        <w:pStyle w:val="Heading2"/>
      </w:pPr>
      <w:bookmarkStart w:id="12" w:name="X9ebc4d122d5fd6fdeec56e26ca5910bd90bb70b"/>
      <w:bookmarkEnd w:id="9"/>
      <w:bookmarkEnd w:id="11"/>
      <w:r>
        <w:lastRenderedPageBreak/>
        <w:t>Implications for U.S. soybean balance sheets and near-term pricing</w:t>
      </w:r>
    </w:p>
    <w:p w14:paraId="500D5751" w14:textId="77777777" w:rsidR="00FE26AC" w:rsidRDefault="00000000">
      <w:pPr>
        <w:pStyle w:val="FirstParagraph"/>
      </w:pPr>
      <w:r>
        <w:t>USDA’s March 2026 WASDE (released March 10) provides the closest official balance-sheet frame around this NOPA datapoint. In March WASDE, USDA: - increased soybean imports by 5 million bushels,</w:t>
      </w:r>
      <w:r>
        <w:br/>
        <w:t>- increased soybean crush by 5 million bushels, and</w:t>
      </w:r>
      <w:r>
        <w:br/>
        <w:t xml:space="preserve">- left U.S. soybean ending stocks unchanged at 350 million bushels. </w:t>
      </w:r>
      <w:hyperlink r:id="rId44">
        <w:r>
          <w:rPr>
            <w:rStyle w:val="Hyperlink"/>
          </w:rPr>
          <w:t>[18]</w:t>
        </w:r>
      </w:hyperlink>
    </w:p>
    <w:p w14:paraId="2ADB987E" w14:textId="77777777" w:rsidR="00FE26AC" w:rsidRDefault="00000000">
      <w:pPr>
        <w:pStyle w:val="BodyText"/>
      </w:pPr>
      <w:r>
        <w:t xml:space="preserve">In the same discussion, USDA described soybean oil domestic use as “marginally lower,” with lower soybean oil for biofuel use largely offset by higher food/feed/other industrial use. </w:t>
      </w:r>
      <w:hyperlink r:id="rId45">
        <w:r>
          <w:rPr>
            <w:rStyle w:val="Hyperlink"/>
          </w:rPr>
          <w:t>[19]</w:t>
        </w:r>
      </w:hyperlink>
      <w:r>
        <w:br/>
        <w:t>Separately, American Soybean Association</w:t>
      </w:r>
      <w:hyperlink r:id="rId46">
        <w:r>
          <w:rPr>
            <w:rStyle w:val="Hyperlink"/>
          </w:rPr>
          <w:t>[20]</w:t>
        </w:r>
      </w:hyperlink>
      <w:r>
        <w:t xml:space="preserve"> highlighted that March WASDE featured a large reduction in soybean oil for biofuel use (with offsets elsewhere), and noted rising soybean oil stocks in the broader complex. </w:t>
      </w:r>
      <w:hyperlink r:id="rId47">
        <w:r>
          <w:rPr>
            <w:rStyle w:val="Hyperlink"/>
          </w:rPr>
          <w:t>[21]</w:t>
        </w:r>
      </w:hyperlink>
    </w:p>
    <w:p w14:paraId="4575D9FD" w14:textId="77777777" w:rsidR="00FE26AC" w:rsidRDefault="00000000">
      <w:pPr>
        <w:pStyle w:val="Heading3"/>
      </w:pPr>
      <w:bookmarkStart w:id="13" w:name="Xeefb90b60388c9723781bc6710fa5fc6a7c0f10"/>
      <w:r>
        <w:t>Analytical read-through from today’s NOPA print (bounded by the sources)</w:t>
      </w:r>
    </w:p>
    <w:p w14:paraId="55388BEF" w14:textId="77777777" w:rsidR="00FE26AC" w:rsidRDefault="00000000">
      <w:pPr>
        <w:pStyle w:val="Compact"/>
        <w:numPr>
          <w:ilvl w:val="0"/>
          <w:numId w:val="2"/>
        </w:numPr>
      </w:pPr>
      <w:r>
        <w:rPr>
          <w:b/>
          <w:bCs/>
        </w:rPr>
        <w:t>Soybeans (demand):</w:t>
      </w:r>
      <w:r>
        <w:t xml:space="preserve"> A 208.785 mbu February crush supports the idea that processing demand remains strong late-winter, consistent with USDA’s bias toward higher crush in March WASDE. </w:t>
      </w:r>
      <w:hyperlink r:id="rId48">
        <w:r>
          <w:rPr>
            <w:rStyle w:val="Hyperlink"/>
          </w:rPr>
          <w:t>[22]</w:t>
        </w:r>
      </w:hyperlink>
    </w:p>
    <w:p w14:paraId="755D4589" w14:textId="77777777" w:rsidR="00FE26AC" w:rsidRDefault="00000000">
      <w:pPr>
        <w:pStyle w:val="Compact"/>
        <w:numPr>
          <w:ilvl w:val="0"/>
          <w:numId w:val="2"/>
        </w:numPr>
      </w:pPr>
      <w:r>
        <w:rPr>
          <w:b/>
          <w:bCs/>
        </w:rPr>
        <w:t>Soybean meal:</w:t>
      </w:r>
      <w:r>
        <w:t xml:space="preserve"> A high crush rate generally implies greater meal production potential (even if the exact NOPA meal output table is not publicly visible today). If meal offtake remains strong—as USDA implied when linking higher crush to meal domestic use—crush margins can remain supported despite oil weakness. </w:t>
      </w:r>
      <w:hyperlink r:id="rId49">
        <w:r>
          <w:rPr>
            <w:rStyle w:val="Hyperlink"/>
          </w:rPr>
          <w:t>[23]</w:t>
        </w:r>
      </w:hyperlink>
    </w:p>
    <w:p w14:paraId="16418053" w14:textId="77777777" w:rsidR="00FE26AC" w:rsidRDefault="00000000">
      <w:pPr>
        <w:pStyle w:val="Compact"/>
        <w:numPr>
          <w:ilvl w:val="0"/>
          <w:numId w:val="2"/>
        </w:numPr>
      </w:pPr>
      <w:r>
        <w:rPr>
          <w:b/>
          <w:bCs/>
        </w:rPr>
        <w:t>Soybean oil:</w:t>
      </w:r>
      <w:r>
        <w:t xml:space="preserve"> The 2.08 bil lb end-Feb oil stock number is a direct signal of </w:t>
      </w:r>
      <w:r>
        <w:rPr>
          <w:b/>
          <w:bCs/>
        </w:rPr>
        <w:t>near-term availability</w:t>
      </w:r>
      <w:r>
        <w:t xml:space="preserve">, and its above-consensus surprise (+7.88%) raises the probability of </w:t>
      </w:r>
      <w:r>
        <w:rPr>
          <w:b/>
          <w:bCs/>
        </w:rPr>
        <w:t>downward pressure on soybean oil</w:t>
      </w:r>
      <w:r>
        <w:t xml:space="preserve"> unless demand improves (policy clarity, renewable diesel economics, exports, etc.). </w:t>
      </w:r>
      <w:hyperlink r:id="rId50">
        <w:r>
          <w:rPr>
            <w:rStyle w:val="Hyperlink"/>
          </w:rPr>
          <w:t>[24]</w:t>
        </w:r>
      </w:hyperlink>
    </w:p>
    <w:p w14:paraId="69E4A4D3" w14:textId="77777777" w:rsidR="00FE26AC" w:rsidRDefault="00000000">
      <w:pPr>
        <w:pStyle w:val="FirstParagraph"/>
      </w:pPr>
      <w:r>
        <w:t xml:space="preserve">A key policy backdrop is that NOPA publicly discussed progress on final 2026–27 RFS volumes being transmitted for interagency review, which markets often treat as relevant to distillate biofuel demand expectations for feedstocks like soybean oil. </w:t>
      </w:r>
      <w:hyperlink r:id="rId51">
        <w:r>
          <w:rPr>
            <w:rStyle w:val="Hyperlink"/>
          </w:rPr>
          <w:t>[25]</w:t>
        </w:r>
      </w:hyperlink>
    </w:p>
    <w:p w14:paraId="03942718" w14:textId="77777777" w:rsidR="00FE26AC" w:rsidRDefault="00000000">
      <w:pPr>
        <w:pStyle w:val="Heading2"/>
      </w:pPr>
      <w:bookmarkStart w:id="14" w:name="methodology-sources-and-data-gaps"/>
      <w:bookmarkEnd w:id="12"/>
      <w:bookmarkEnd w:id="13"/>
      <w:r>
        <w:t>Methodology, sources, and data gaps</w:t>
      </w:r>
    </w:p>
    <w:p w14:paraId="65AC8188" w14:textId="77777777" w:rsidR="00FE26AC" w:rsidRDefault="00000000">
      <w:pPr>
        <w:pStyle w:val="Heading3"/>
      </w:pPr>
      <w:bookmarkStart w:id="15" w:name="methodology"/>
      <w:r>
        <w:t>Methodology</w:t>
      </w:r>
    </w:p>
    <w:p w14:paraId="25F238FE" w14:textId="77777777" w:rsidR="00FE26AC" w:rsidRDefault="00000000">
      <w:pPr>
        <w:pStyle w:val="FirstParagraph"/>
      </w:pPr>
      <w:r>
        <w:t>Bushel-to-tonnage conversions in this analysis use standard soybean weight: - 1 bushel soybeans = 60 lb (27.2155 kg). - Metric-ton conversion uses 1 metric ton = 2,204.6226 lb. Daily crush rates use calendar days in month (February = 28; January = 31). “Surprise (%)” = (Actual − Consensus) ÷ Consensus.</w:t>
      </w:r>
    </w:p>
    <w:p w14:paraId="5881220B" w14:textId="77777777" w:rsidR="00FE26AC" w:rsidRDefault="00000000">
      <w:pPr>
        <w:pStyle w:val="Heading3"/>
      </w:pPr>
      <w:bookmarkStart w:id="16" w:name="X99d5686216ad1e2f9e5e2968193d4874c0c3b12"/>
      <w:bookmarkEnd w:id="15"/>
      <w:r>
        <w:t>Primary and prioritized sources used (publicly accessible)</w:t>
      </w:r>
    </w:p>
    <w:p w14:paraId="6D03DB8E" w14:textId="77777777" w:rsidR="00FE26AC" w:rsidRDefault="00000000">
      <w:pPr>
        <w:pStyle w:val="Compact"/>
        <w:numPr>
          <w:ilvl w:val="0"/>
          <w:numId w:val="3"/>
        </w:numPr>
      </w:pPr>
      <w:r>
        <w:t xml:space="preserve">NOPA’s description of the Crush Report scope, distributor, and release timing. </w:t>
      </w:r>
      <w:hyperlink r:id="rId52">
        <w:r>
          <w:rPr>
            <w:rStyle w:val="Hyperlink"/>
          </w:rPr>
          <w:t>[6]</w:t>
        </w:r>
      </w:hyperlink>
    </w:p>
    <w:p w14:paraId="480AD570" w14:textId="77777777" w:rsidR="00FE26AC" w:rsidRDefault="00000000">
      <w:pPr>
        <w:pStyle w:val="Compact"/>
        <w:numPr>
          <w:ilvl w:val="0"/>
          <w:numId w:val="3"/>
        </w:numPr>
      </w:pPr>
      <w:r>
        <w:t xml:space="preserve">Reuters pre-release consensus and ranges as republished by ADMIS. </w:t>
      </w:r>
      <w:hyperlink r:id="rId53">
        <w:r>
          <w:rPr>
            <w:rStyle w:val="Hyperlink"/>
          </w:rPr>
          <w:t>[3]</w:t>
        </w:r>
      </w:hyperlink>
    </w:p>
    <w:p w14:paraId="62AB1775" w14:textId="77777777" w:rsidR="00FE26AC" w:rsidRDefault="00000000">
      <w:pPr>
        <w:pStyle w:val="Compact"/>
        <w:numPr>
          <w:ilvl w:val="0"/>
          <w:numId w:val="3"/>
        </w:numPr>
      </w:pPr>
      <w:r>
        <w:lastRenderedPageBreak/>
        <w:t xml:space="preserve">Immediate post-release market reporting for the headline NOPA totals and intraday commentary (Barchart). </w:t>
      </w:r>
      <w:hyperlink r:id="rId54">
        <w:r>
          <w:rPr>
            <w:rStyle w:val="Hyperlink"/>
          </w:rPr>
          <w:t>[1]</w:t>
        </w:r>
      </w:hyperlink>
    </w:p>
    <w:p w14:paraId="58AFC150" w14:textId="77777777" w:rsidR="00FE26AC" w:rsidRDefault="00000000">
      <w:pPr>
        <w:pStyle w:val="Compact"/>
        <w:numPr>
          <w:ilvl w:val="0"/>
          <w:numId w:val="3"/>
        </w:numPr>
      </w:pPr>
      <w:r>
        <w:t xml:space="preserve">Release-day settlements for the soy complex (Barchart settled quotes list). </w:t>
      </w:r>
      <w:hyperlink r:id="rId55">
        <w:r>
          <w:rPr>
            <w:rStyle w:val="Hyperlink"/>
          </w:rPr>
          <w:t>[10]</w:t>
        </w:r>
      </w:hyperlink>
    </w:p>
    <w:p w14:paraId="699803C9" w14:textId="77777777" w:rsidR="00FE26AC" w:rsidRDefault="00000000">
      <w:pPr>
        <w:pStyle w:val="Compact"/>
        <w:numPr>
          <w:ilvl w:val="0"/>
          <w:numId w:val="3"/>
        </w:numPr>
      </w:pPr>
      <w:r>
        <w:t xml:space="preserve">USDA March 2026 WASDE for balance-sheet context. </w:t>
      </w:r>
      <w:hyperlink r:id="rId56">
        <w:r>
          <w:rPr>
            <w:rStyle w:val="Hyperlink"/>
          </w:rPr>
          <w:t>[18]</w:t>
        </w:r>
      </w:hyperlink>
    </w:p>
    <w:p w14:paraId="07D61B2D" w14:textId="77777777" w:rsidR="00FE26AC" w:rsidRDefault="00000000">
      <w:pPr>
        <w:pStyle w:val="Heading3"/>
      </w:pPr>
      <w:bookmarkStart w:id="17" w:name="data-gaps-and-limitations"/>
      <w:bookmarkEnd w:id="16"/>
      <w:r>
        <w:t>Data gaps and limitations</w:t>
      </w:r>
    </w:p>
    <w:p w14:paraId="3BDD4911" w14:textId="77777777" w:rsidR="00FE26AC" w:rsidRDefault="00000000">
      <w:pPr>
        <w:pStyle w:val="Compact"/>
        <w:numPr>
          <w:ilvl w:val="0"/>
          <w:numId w:val="4"/>
        </w:numPr>
      </w:pPr>
      <w:r>
        <w:rPr>
          <w:b/>
          <w:bCs/>
        </w:rPr>
        <w:t>Official NOPA tables for soybean meal production/yield/exports and soybean oil production/yield</w:t>
      </w:r>
      <w:r>
        <w:t xml:space="preserve"> are part of the report scope but were </w:t>
      </w:r>
      <w:r>
        <w:rPr>
          <w:b/>
          <w:bCs/>
        </w:rPr>
        <w:t>not available</w:t>
      </w:r>
      <w:r>
        <w:t xml:space="preserve"> in the public post-release reporting reviewed here; NOPA indicates the full report is distributed via Refinitiv subscription. </w:t>
      </w:r>
      <w:hyperlink r:id="rId57">
        <w:r>
          <w:rPr>
            <w:rStyle w:val="Hyperlink"/>
          </w:rPr>
          <w:t>[7]</w:t>
        </w:r>
      </w:hyperlink>
    </w:p>
    <w:p w14:paraId="3348E219" w14:textId="77777777" w:rsidR="00FE26AC" w:rsidRDefault="00000000">
      <w:pPr>
        <w:pStyle w:val="Compact"/>
        <w:numPr>
          <w:ilvl w:val="0"/>
          <w:numId w:val="4"/>
        </w:numPr>
      </w:pPr>
      <w:r>
        <w:t xml:space="preserve">Intraday attribution is inherently noisy on March 16 because the market narrative was heavily influenced by concurrent macro/trade/geopolitical headlines; the crush data was a known input but not necessarily the dominant driver. </w:t>
      </w:r>
      <w:hyperlink r:id="rId58">
        <w:r>
          <w:rPr>
            <w:rStyle w:val="Hyperlink"/>
          </w:rPr>
          <w:t>[26]</w:t>
        </w:r>
      </w:hyperlink>
    </w:p>
    <w:p w14:paraId="0E16B985" w14:textId="77777777" w:rsidR="00FE26AC" w:rsidRDefault="00000000">
      <w:pPr>
        <w:pStyle w:val="SourceCode"/>
      </w:pPr>
      <w:r>
        <w:rPr>
          <w:rStyle w:val="VerbatimChar"/>
        </w:rPr>
        <w:t>timeline</w:t>
      </w:r>
      <w:r>
        <w:br/>
      </w:r>
      <w:r>
        <w:rPr>
          <w:rStyle w:val="VerbatimChar"/>
        </w:rPr>
        <w:t xml:space="preserve">    title NOPA Feb 2026 crush: estimate → release → market response (Mar 16, 2026)</w:t>
      </w:r>
      <w:r>
        <w:br/>
      </w:r>
      <w:r>
        <w:rPr>
          <w:rStyle w:val="VerbatimChar"/>
        </w:rPr>
        <w:t xml:space="preserve">    2026-03-16 06:00 : Reuters analyst poll circulates pre-release consensus (crush &amp; oil stocks)</w:t>
      </w:r>
      <w:r>
        <w:br/>
      </w:r>
      <w:r>
        <w:rPr>
          <w:rStyle w:val="VerbatimChar"/>
        </w:rPr>
        <w:t xml:space="preserve">    2026-03-16 12:00 : NOPA report published (Feb crush and end-Feb oil stocks)</w:t>
      </w:r>
      <w:r>
        <w:br/>
      </w:r>
      <w:r>
        <w:rPr>
          <w:rStyle w:val="VerbatimChar"/>
        </w:rPr>
        <w:t xml:space="preserve">    2026-03-16 12:42 : Intraday: May soybeans hit limit down amid macro/trade headlines</w:t>
      </w:r>
      <w:r>
        <w:br/>
      </w:r>
      <w:r>
        <w:rPr>
          <w:rStyle w:val="VerbatimChar"/>
        </w:rPr>
        <w:t xml:space="preserve">    2026-03-16 13:20 : CBOT day session settles (May beans/meal/oil lower)</w:t>
      </w:r>
    </w:p>
    <w:bookmarkEnd w:id="1"/>
    <w:bookmarkEnd w:id="2"/>
    <w:bookmarkEnd w:id="14"/>
    <w:bookmarkEnd w:id="17"/>
    <w:p w14:paraId="18D7CE07" w14:textId="77777777" w:rsidR="00FE26AC" w:rsidRDefault="00000000">
      <w:r>
        <w:pict w14:anchorId="2B63870C">
          <v:rect id="_x0000_i1025" style="width:0;height:1.5pt" o:hralign="center" o:hrstd="t" o:hr="t"/>
        </w:pict>
      </w:r>
    </w:p>
    <w:bookmarkStart w:id="18" w:name="citations"/>
    <w:p w14:paraId="2A07AA8D" w14:textId="77777777" w:rsidR="00FE26AC" w:rsidRDefault="00000000">
      <w:pPr>
        <w:pStyle w:val="FirstParagraph"/>
      </w:pPr>
      <w:r>
        <w:fldChar w:fldCharType="begin"/>
      </w:r>
      <w:r>
        <w:instrText>HYPERLINK "https://www.barchart.com/story/news/775259/soybeans-collapsing-at-midday-on-china-uncertainty" \h</w:instrText>
      </w:r>
      <w:r>
        <w:fldChar w:fldCharType="separate"/>
      </w:r>
      <w:r>
        <w:rPr>
          <w:rStyle w:val="Hyperlink"/>
        </w:rPr>
        <w:t>[1]</w:t>
      </w:r>
      <w:r>
        <w:fldChar w:fldCharType="end"/>
      </w:r>
      <w:r>
        <w:t xml:space="preserve"> </w:t>
      </w:r>
      <w:hyperlink r:id="rId59">
        <w:r>
          <w:rPr>
            <w:rStyle w:val="Hyperlink"/>
          </w:rPr>
          <w:t>[15]</w:t>
        </w:r>
      </w:hyperlink>
      <w:r>
        <w:t xml:space="preserve"> </w:t>
      </w:r>
      <w:hyperlink r:id="rId60">
        <w:r>
          <w:rPr>
            <w:rStyle w:val="Hyperlink"/>
          </w:rPr>
          <w:t>[20]</w:t>
        </w:r>
      </w:hyperlink>
      <w:r>
        <w:t xml:space="preserve"> </w:t>
      </w:r>
      <w:hyperlink r:id="rId61">
        <w:r>
          <w:rPr>
            <w:rStyle w:val="Hyperlink"/>
          </w:rPr>
          <w:t>[22]</w:t>
        </w:r>
      </w:hyperlink>
      <w:r>
        <w:t xml:space="preserve"> </w:t>
      </w:r>
      <w:hyperlink r:id="rId62">
        <w:r>
          <w:rPr>
            <w:rStyle w:val="Hyperlink"/>
          </w:rPr>
          <w:t>[24]</w:t>
        </w:r>
      </w:hyperlink>
      <w:r>
        <w:t xml:space="preserve"> https://www.barchart.com/story/news/775259/soybeans-collapsing-at-midday-on-china-uncertainty</w:t>
      </w:r>
    </w:p>
    <w:p w14:paraId="0326AC0F" w14:textId="77777777" w:rsidR="00FE26AC" w:rsidRDefault="00000000">
      <w:pPr>
        <w:pStyle w:val="BodyText"/>
      </w:pPr>
      <w:hyperlink r:id="rId63">
        <w:r>
          <w:rPr>
            <w:rStyle w:val="Hyperlink"/>
          </w:rPr>
          <w:t>https://www.barchart.com/story/news/775259/soybeans-collapsing-at-midday-on-china-uncertainty</w:t>
        </w:r>
      </w:hyperlink>
    </w:p>
    <w:p w14:paraId="7DA35DD6" w14:textId="77777777" w:rsidR="00FE26AC" w:rsidRDefault="00000000">
      <w:pPr>
        <w:pStyle w:val="BodyText"/>
      </w:pPr>
      <w:hyperlink r:id="rId64">
        <w:r>
          <w:rPr>
            <w:rStyle w:val="Hyperlink"/>
          </w:rPr>
          <w:t>[2]</w:t>
        </w:r>
      </w:hyperlink>
      <w:r>
        <w:t xml:space="preserve"> </w:t>
      </w:r>
      <w:hyperlink r:id="rId65">
        <w:r>
          <w:rPr>
            <w:rStyle w:val="Hyperlink"/>
          </w:rPr>
          <w:t>[25]</w:t>
        </w:r>
      </w:hyperlink>
      <w:r>
        <w:t xml:space="preserve"> https://www.nopa.org/nopa-asa-and-cfaa-welcome-sign-of-progress-on-final-2026-27-rfs-volumes/</w:t>
      </w:r>
    </w:p>
    <w:p w14:paraId="7F53E941" w14:textId="77777777" w:rsidR="00FE26AC" w:rsidRDefault="00000000">
      <w:pPr>
        <w:pStyle w:val="BodyText"/>
      </w:pPr>
      <w:hyperlink r:id="rId66">
        <w:r>
          <w:rPr>
            <w:rStyle w:val="Hyperlink"/>
          </w:rPr>
          <w:t>https://www.nopa.org/nopa-asa-and-cfaa-welcome-sign-of-progress-on-final-2026-27-rfs-volumes/</w:t>
        </w:r>
      </w:hyperlink>
    </w:p>
    <w:p w14:paraId="512865F6" w14:textId="77777777" w:rsidR="00FE26AC" w:rsidRDefault="00000000">
      <w:pPr>
        <w:pStyle w:val="BodyText"/>
      </w:pPr>
      <w:hyperlink r:id="rId67">
        <w:r>
          <w:rPr>
            <w:rStyle w:val="Hyperlink"/>
          </w:rPr>
          <w:t>[3]</w:t>
        </w:r>
      </w:hyperlink>
      <w:r>
        <w:t xml:space="preserve"> </w:t>
      </w:r>
      <w:hyperlink r:id="rId68">
        <w:r>
          <w:rPr>
            <w:rStyle w:val="Hyperlink"/>
          </w:rPr>
          <w:t>[8]</w:t>
        </w:r>
      </w:hyperlink>
      <w:r>
        <w:t xml:space="preserve"> </w:t>
      </w:r>
      <w:hyperlink r:id="rId69">
        <w:r>
          <w:rPr>
            <w:rStyle w:val="Hyperlink"/>
          </w:rPr>
          <w:t>[9]</w:t>
        </w:r>
      </w:hyperlink>
      <w:r>
        <w:t xml:space="preserve"> https://www.admis.com/global-ag-news-for-march-16-2026/</w:t>
      </w:r>
    </w:p>
    <w:p w14:paraId="15DC783E" w14:textId="77777777" w:rsidR="00FE26AC" w:rsidRDefault="00000000">
      <w:pPr>
        <w:pStyle w:val="BodyText"/>
      </w:pPr>
      <w:hyperlink r:id="rId70">
        <w:r>
          <w:rPr>
            <w:rStyle w:val="Hyperlink"/>
          </w:rPr>
          <w:t>https://www.admis.com/global-ag-news-for-march-16-2026/</w:t>
        </w:r>
      </w:hyperlink>
    </w:p>
    <w:p w14:paraId="45FDAF40" w14:textId="77777777" w:rsidR="00FE26AC" w:rsidRDefault="00000000">
      <w:pPr>
        <w:pStyle w:val="BodyText"/>
      </w:pPr>
      <w:hyperlink r:id="rId71">
        <w:r>
          <w:rPr>
            <w:rStyle w:val="Hyperlink"/>
          </w:rPr>
          <w:t>[4]</w:t>
        </w:r>
      </w:hyperlink>
      <w:r>
        <w:t xml:space="preserve"> </w:t>
      </w:r>
      <w:hyperlink r:id="rId72">
        <w:r>
          <w:rPr>
            <w:rStyle w:val="Hyperlink"/>
          </w:rPr>
          <w:t>[10]</w:t>
        </w:r>
      </w:hyperlink>
      <w:r>
        <w:t xml:space="preserve"> </w:t>
      </w:r>
      <w:hyperlink r:id="rId73">
        <w:r>
          <w:rPr>
            <w:rStyle w:val="Hyperlink"/>
          </w:rPr>
          <w:t>[13]</w:t>
        </w:r>
      </w:hyperlink>
      <w:r>
        <w:t xml:space="preserve"> https://www.barchart.com/futures/quotes/ZMK26</w:t>
      </w:r>
    </w:p>
    <w:p w14:paraId="30390417" w14:textId="77777777" w:rsidR="00FE26AC" w:rsidRDefault="00000000">
      <w:pPr>
        <w:pStyle w:val="BodyText"/>
      </w:pPr>
      <w:hyperlink r:id="rId74">
        <w:r>
          <w:rPr>
            <w:rStyle w:val="Hyperlink"/>
          </w:rPr>
          <w:t>https://www.barchart.com/futures/quotes/ZMK26</w:t>
        </w:r>
      </w:hyperlink>
    </w:p>
    <w:p w14:paraId="165EB808" w14:textId="77777777" w:rsidR="00FE26AC" w:rsidRDefault="00000000">
      <w:pPr>
        <w:pStyle w:val="BodyText"/>
      </w:pPr>
      <w:hyperlink r:id="rId75">
        <w:r>
          <w:rPr>
            <w:rStyle w:val="Hyperlink"/>
          </w:rPr>
          <w:t>[5]</w:t>
        </w:r>
      </w:hyperlink>
      <w:r>
        <w:t xml:space="preserve"> </w:t>
      </w:r>
      <w:hyperlink r:id="rId76">
        <w:r>
          <w:rPr>
            <w:rStyle w:val="Hyperlink"/>
          </w:rPr>
          <w:t>[12]</w:t>
        </w:r>
      </w:hyperlink>
      <w:r>
        <w:t xml:space="preserve"> </w:t>
      </w:r>
      <w:hyperlink r:id="rId77">
        <w:r>
          <w:rPr>
            <w:rStyle w:val="Hyperlink"/>
          </w:rPr>
          <w:t>[16]</w:t>
        </w:r>
      </w:hyperlink>
      <w:r>
        <w:t xml:space="preserve"> </w:t>
      </w:r>
      <w:hyperlink r:id="rId78">
        <w:r>
          <w:rPr>
            <w:rStyle w:val="Hyperlink"/>
          </w:rPr>
          <w:t>[17]</w:t>
        </w:r>
      </w:hyperlink>
      <w:r>
        <w:t xml:space="preserve"> </w:t>
      </w:r>
      <w:hyperlink r:id="rId79">
        <w:r>
          <w:rPr>
            <w:rStyle w:val="Hyperlink"/>
          </w:rPr>
          <w:t>[26]</w:t>
        </w:r>
      </w:hyperlink>
      <w:r>
        <w:t xml:space="preserve"> https://www.profarmer.com/may-soybeans-limit-down-after-trump-threatens-delay-china-summit</w:t>
      </w:r>
    </w:p>
    <w:p w14:paraId="4AC6BDEF" w14:textId="77777777" w:rsidR="00FE26AC" w:rsidRDefault="00000000">
      <w:pPr>
        <w:pStyle w:val="BodyText"/>
      </w:pPr>
      <w:hyperlink r:id="rId80">
        <w:r>
          <w:rPr>
            <w:rStyle w:val="Hyperlink"/>
          </w:rPr>
          <w:t>https://www.profarmer.com/may-soybeans-limit-down-after-trump-threatens-delay-china-summit</w:t>
        </w:r>
      </w:hyperlink>
    </w:p>
    <w:p w14:paraId="4571480D" w14:textId="77777777" w:rsidR="00FE26AC" w:rsidRDefault="00000000">
      <w:pPr>
        <w:pStyle w:val="BodyText"/>
      </w:pPr>
      <w:hyperlink r:id="rId81">
        <w:r>
          <w:rPr>
            <w:rStyle w:val="Hyperlink"/>
          </w:rPr>
          <w:t>[6]</w:t>
        </w:r>
      </w:hyperlink>
      <w:r>
        <w:t xml:space="preserve"> </w:t>
      </w:r>
      <w:hyperlink r:id="rId82">
        <w:r>
          <w:rPr>
            <w:rStyle w:val="Hyperlink"/>
          </w:rPr>
          <w:t>[7]</w:t>
        </w:r>
      </w:hyperlink>
      <w:r>
        <w:t xml:space="preserve"> </w:t>
      </w:r>
      <w:hyperlink r:id="rId83">
        <w:r>
          <w:rPr>
            <w:rStyle w:val="Hyperlink"/>
          </w:rPr>
          <w:t>[11]</w:t>
        </w:r>
      </w:hyperlink>
      <w:r>
        <w:t xml:space="preserve"> </w:t>
      </w:r>
      <w:hyperlink r:id="rId84">
        <w:r>
          <w:rPr>
            <w:rStyle w:val="Hyperlink"/>
          </w:rPr>
          <w:t>[23]</w:t>
        </w:r>
      </w:hyperlink>
      <w:r>
        <w:t xml:space="preserve"> https://www.nopa.org/resources/nopa-monthly-crush-report/</w:t>
      </w:r>
    </w:p>
    <w:p w14:paraId="25E5E67A" w14:textId="77777777" w:rsidR="00FE26AC" w:rsidRDefault="00000000">
      <w:pPr>
        <w:pStyle w:val="BodyText"/>
      </w:pPr>
      <w:hyperlink r:id="rId85">
        <w:r>
          <w:rPr>
            <w:rStyle w:val="Hyperlink"/>
          </w:rPr>
          <w:t>https://www.nopa.org/resources/nopa-monthly-crush-report/</w:t>
        </w:r>
      </w:hyperlink>
    </w:p>
    <w:p w14:paraId="7FC7A24B" w14:textId="77777777" w:rsidR="00FE26AC" w:rsidRDefault="00000000">
      <w:pPr>
        <w:pStyle w:val="BodyText"/>
      </w:pPr>
      <w:hyperlink r:id="rId86">
        <w:r>
          <w:rPr>
            <w:rStyle w:val="Hyperlink"/>
          </w:rPr>
          <w:t>[14]</w:t>
        </w:r>
      </w:hyperlink>
      <w:r>
        <w:t xml:space="preserve"> https://www.dtnpf.com/agriculture/web/ag/news/article/2026/03/16/periodic-updates-grains-livestock-3</w:t>
      </w:r>
    </w:p>
    <w:p w14:paraId="28AA1E7E" w14:textId="77777777" w:rsidR="00FE26AC" w:rsidRDefault="00000000">
      <w:pPr>
        <w:pStyle w:val="BodyText"/>
      </w:pPr>
      <w:hyperlink r:id="rId87">
        <w:r>
          <w:rPr>
            <w:rStyle w:val="Hyperlink"/>
          </w:rPr>
          <w:t>https://www.dtnpf.com/agriculture/web/ag/news/article/2026/03/16/periodic-updates-grains-livestock-3</w:t>
        </w:r>
      </w:hyperlink>
    </w:p>
    <w:p w14:paraId="21609C5F" w14:textId="77777777" w:rsidR="00FE26AC" w:rsidRDefault="00000000">
      <w:pPr>
        <w:pStyle w:val="BodyText"/>
      </w:pPr>
      <w:hyperlink r:id="rId88">
        <w:r>
          <w:rPr>
            <w:rStyle w:val="Hyperlink"/>
          </w:rPr>
          <w:t>[18]</w:t>
        </w:r>
      </w:hyperlink>
      <w:r>
        <w:t xml:space="preserve"> </w:t>
      </w:r>
      <w:hyperlink r:id="rId89">
        <w:r>
          <w:rPr>
            <w:rStyle w:val="Hyperlink"/>
          </w:rPr>
          <w:t>[19]</w:t>
        </w:r>
      </w:hyperlink>
      <w:r>
        <w:t xml:space="preserve"> https://www.usda.gov/oce/commodity/wasde/wasde0326.pdf</w:t>
      </w:r>
    </w:p>
    <w:p w14:paraId="125B9EC3" w14:textId="77777777" w:rsidR="00FE26AC" w:rsidRDefault="00000000">
      <w:pPr>
        <w:pStyle w:val="BodyText"/>
      </w:pPr>
      <w:hyperlink r:id="rId90">
        <w:r>
          <w:rPr>
            <w:rStyle w:val="Hyperlink"/>
          </w:rPr>
          <w:t>https://www.usda.gov/oce/commodity/wasde/wasde0326.pdf</w:t>
        </w:r>
      </w:hyperlink>
    </w:p>
    <w:p w14:paraId="5FE665CC" w14:textId="77777777" w:rsidR="00FE26AC" w:rsidRDefault="00000000">
      <w:pPr>
        <w:pStyle w:val="BodyText"/>
      </w:pPr>
      <w:hyperlink r:id="rId91">
        <w:r>
          <w:rPr>
            <w:rStyle w:val="Hyperlink"/>
          </w:rPr>
          <w:t>[21]</w:t>
        </w:r>
      </w:hyperlink>
      <w:r>
        <w:t xml:space="preserve"> https://soygrowers.com/news-releases/soymeal-steals-spotlight-in-march-2026-wasde/</w:t>
      </w:r>
    </w:p>
    <w:p w14:paraId="24DC1D7A" w14:textId="77777777" w:rsidR="00FE26AC" w:rsidRDefault="00000000">
      <w:pPr>
        <w:pStyle w:val="BodyText"/>
      </w:pPr>
      <w:hyperlink r:id="rId92">
        <w:r>
          <w:rPr>
            <w:rStyle w:val="Hyperlink"/>
          </w:rPr>
          <w:t>https://soygrowers.com/news-releases/soymeal-steals-spotlight-in-march-2026-wasde/</w:t>
        </w:r>
      </w:hyperlink>
      <w:bookmarkEnd w:id="18"/>
    </w:p>
    <w:sectPr w:rsidR="00FE26A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14A120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0EAA63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39130849">
    <w:abstractNumId w:val="0"/>
  </w:num>
  <w:num w:numId="2" w16cid:durableId="1953367092">
    <w:abstractNumId w:val="1"/>
  </w:num>
  <w:num w:numId="3" w16cid:durableId="1720011834">
    <w:abstractNumId w:val="1"/>
  </w:num>
  <w:num w:numId="4" w16cid:durableId="16124677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6AC"/>
    <w:rsid w:val="001C5DD0"/>
    <w:rsid w:val="004E01B1"/>
    <w:rsid w:val="00E076CC"/>
    <w:rsid w:val="00FE26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B0A50"/>
  <w15:docId w15:val="{43AB59B6-6D83-4397-A93B-7C9CD8ECF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archart.com/story/news/775259/soybeans-collapsing-at-midday-on-china-uncertainty" TargetMode="External"/><Relationship Id="rId21" Type="http://schemas.openxmlformats.org/officeDocument/2006/relationships/hyperlink" Target="https://www.admis.com/global-ag-news-for-march-16-2026/" TargetMode="External"/><Relationship Id="rId42" Type="http://schemas.openxmlformats.org/officeDocument/2006/relationships/hyperlink" Target="https://www.profarmer.com/may-soybeans-limit-down-after-trump-threatens-delay-china-summit" TargetMode="External"/><Relationship Id="rId47" Type="http://schemas.openxmlformats.org/officeDocument/2006/relationships/hyperlink" Target="https://soygrowers.com/news-releases/soymeal-steals-spotlight-in-march-2026-wasde/" TargetMode="External"/><Relationship Id="rId63" Type="http://schemas.openxmlformats.org/officeDocument/2006/relationships/hyperlink" Target="https://www.barchart.com/story/news/775259/soybeans-collapsing-at-midday-on-china-uncertainty" TargetMode="External"/><Relationship Id="rId68" Type="http://schemas.openxmlformats.org/officeDocument/2006/relationships/hyperlink" Target="https://www.admis.com/global-ag-news-for-march-16-2026/" TargetMode="External"/><Relationship Id="rId84" Type="http://schemas.openxmlformats.org/officeDocument/2006/relationships/hyperlink" Target="https://www.nopa.org/resources/nopa-monthly-crush-report/" TargetMode="External"/><Relationship Id="rId89" Type="http://schemas.openxmlformats.org/officeDocument/2006/relationships/hyperlink" Target="https://www.usda.gov/oce/commodity/wasde/wasde0326.pdf" TargetMode="External"/><Relationship Id="rId16" Type="http://schemas.openxmlformats.org/officeDocument/2006/relationships/hyperlink" Target="https://www.barchart.com/story/news/775259/soybeans-collapsing-at-midday-on-china-uncertainty" TargetMode="External"/><Relationship Id="rId11" Type="http://schemas.openxmlformats.org/officeDocument/2006/relationships/hyperlink" Target="https://www.nopa.org/resources/nopa-monthly-crush-report/" TargetMode="External"/><Relationship Id="rId32" Type="http://schemas.openxmlformats.org/officeDocument/2006/relationships/hyperlink" Target="https://www.barchart.com/futures/quotes/ZMK26" TargetMode="External"/><Relationship Id="rId37" Type="http://schemas.openxmlformats.org/officeDocument/2006/relationships/hyperlink" Target="https://www.profarmer.com/may-soybeans-limit-down-after-trump-threatens-delay-china-summit" TargetMode="External"/><Relationship Id="rId53" Type="http://schemas.openxmlformats.org/officeDocument/2006/relationships/hyperlink" Target="https://www.admis.com/global-ag-news-for-march-16-2026/" TargetMode="External"/><Relationship Id="rId58" Type="http://schemas.openxmlformats.org/officeDocument/2006/relationships/hyperlink" Target="https://www.profarmer.com/may-soybeans-limit-down-after-trump-threatens-delay-china-summit" TargetMode="External"/><Relationship Id="rId74" Type="http://schemas.openxmlformats.org/officeDocument/2006/relationships/hyperlink" Target="https://www.barchart.com/futures/quotes/ZMK26" TargetMode="External"/><Relationship Id="rId79" Type="http://schemas.openxmlformats.org/officeDocument/2006/relationships/hyperlink" Target="https://www.profarmer.com/may-soybeans-limit-down-after-trump-threatens-delay-china-summit" TargetMode="External"/><Relationship Id="rId5" Type="http://schemas.openxmlformats.org/officeDocument/2006/relationships/hyperlink" Target="sandbox:/mnt/data/NOPA_crush_deep_research_2026-03-16.docx" TargetMode="External"/><Relationship Id="rId90" Type="http://schemas.openxmlformats.org/officeDocument/2006/relationships/hyperlink" Target="https://www.usda.gov/oce/commodity/wasde/wasde0326.pdf" TargetMode="External"/><Relationship Id="rId22" Type="http://schemas.openxmlformats.org/officeDocument/2006/relationships/hyperlink" Target="https://www.admis.com/global-ag-news-for-march-16-2026/" TargetMode="External"/><Relationship Id="rId27" Type="http://schemas.openxmlformats.org/officeDocument/2006/relationships/hyperlink" Target="https://www.admis.com/global-ag-news-for-march-16-2026/" TargetMode="External"/><Relationship Id="rId43" Type="http://schemas.openxmlformats.org/officeDocument/2006/relationships/hyperlink" Target="https://www.profarmer.com/may-soybeans-limit-down-after-trump-threatens-delay-china-summit" TargetMode="External"/><Relationship Id="rId48" Type="http://schemas.openxmlformats.org/officeDocument/2006/relationships/hyperlink" Target="https://www.barchart.com/story/news/775259/soybeans-collapsing-at-midday-on-china-uncertainty" TargetMode="External"/><Relationship Id="rId64" Type="http://schemas.openxmlformats.org/officeDocument/2006/relationships/hyperlink" Target="https://www.nopa.org/nopa-asa-and-cfaa-welcome-sign-of-progress-on-final-2026-27-rfs-volumes/" TargetMode="External"/><Relationship Id="rId69" Type="http://schemas.openxmlformats.org/officeDocument/2006/relationships/hyperlink" Target="https://www.admis.com/global-ag-news-for-march-16-2026/" TargetMode="External"/><Relationship Id="rId8" Type="http://schemas.openxmlformats.org/officeDocument/2006/relationships/hyperlink" Target="https://www.admis.com/global-ag-news-for-march-16-2026/" TargetMode="External"/><Relationship Id="rId51" Type="http://schemas.openxmlformats.org/officeDocument/2006/relationships/hyperlink" Target="https://www.nopa.org/nopa-asa-and-cfaa-welcome-sign-of-progress-on-final-2026-27-rfs-volumes/" TargetMode="External"/><Relationship Id="rId72" Type="http://schemas.openxmlformats.org/officeDocument/2006/relationships/hyperlink" Target="https://www.barchart.com/futures/quotes/ZMK26" TargetMode="External"/><Relationship Id="rId80" Type="http://schemas.openxmlformats.org/officeDocument/2006/relationships/hyperlink" Target="https://www.profarmer.com/may-soybeans-limit-down-after-trump-threatens-delay-china-summit" TargetMode="External"/><Relationship Id="rId85" Type="http://schemas.openxmlformats.org/officeDocument/2006/relationships/hyperlink" Target="https://www.nopa.org/resources/nopa-monthly-crush-report/" TargetMode="External"/><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nopa.org/resources/nopa-monthly-crush-report/" TargetMode="External"/><Relationship Id="rId17" Type="http://schemas.openxmlformats.org/officeDocument/2006/relationships/hyperlink" Target="https://www.admis.com/global-ag-news-for-march-16-2026/" TargetMode="External"/><Relationship Id="rId25" Type="http://schemas.openxmlformats.org/officeDocument/2006/relationships/hyperlink" Target="https://www.admis.com/global-ag-news-for-march-16-2026/" TargetMode="External"/><Relationship Id="rId33" Type="http://schemas.openxmlformats.org/officeDocument/2006/relationships/hyperlink" Target="https://www.barchart.com/futures/quotes/ZMK26" TargetMode="External"/><Relationship Id="rId38" Type="http://schemas.openxmlformats.org/officeDocument/2006/relationships/hyperlink" Target="https://www.barchart.com/futures/quotes/ZMK26" TargetMode="External"/><Relationship Id="rId46" Type="http://schemas.openxmlformats.org/officeDocument/2006/relationships/hyperlink" Target="https://www.barchart.com/story/news/775259/soybeans-collapsing-at-midday-on-china-uncertainty" TargetMode="External"/><Relationship Id="rId59" Type="http://schemas.openxmlformats.org/officeDocument/2006/relationships/hyperlink" Target="https://www.barchart.com/story/news/775259/soybeans-collapsing-at-midday-on-china-uncertainty" TargetMode="External"/><Relationship Id="rId67" Type="http://schemas.openxmlformats.org/officeDocument/2006/relationships/hyperlink" Target="https://www.admis.com/global-ag-news-for-march-16-2026/" TargetMode="External"/><Relationship Id="rId20" Type="http://schemas.openxmlformats.org/officeDocument/2006/relationships/hyperlink" Target="https://www.barchart.com/story/news/775259/soybeans-collapsing-at-midday-on-china-uncertainty" TargetMode="External"/><Relationship Id="rId41" Type="http://schemas.openxmlformats.org/officeDocument/2006/relationships/hyperlink" Target="https://www.barchart.com/story/news/775259/soybeans-collapsing-at-midday-on-china-uncertainty" TargetMode="External"/><Relationship Id="rId54" Type="http://schemas.openxmlformats.org/officeDocument/2006/relationships/hyperlink" Target="https://www.barchart.com/story/news/775259/soybeans-collapsing-at-midday-on-china-uncertainty" TargetMode="External"/><Relationship Id="rId62" Type="http://schemas.openxmlformats.org/officeDocument/2006/relationships/hyperlink" Target="https://www.barchart.com/story/news/775259/soybeans-collapsing-at-midday-on-china-uncertainty" TargetMode="External"/><Relationship Id="rId70" Type="http://schemas.openxmlformats.org/officeDocument/2006/relationships/hyperlink" Target="https://www.admis.com/global-ag-news-for-march-16-2026/" TargetMode="External"/><Relationship Id="rId75" Type="http://schemas.openxmlformats.org/officeDocument/2006/relationships/hyperlink" Target="https://www.profarmer.com/may-soybeans-limit-down-after-trump-threatens-delay-china-summit" TargetMode="External"/><Relationship Id="rId83" Type="http://schemas.openxmlformats.org/officeDocument/2006/relationships/hyperlink" Target="https://www.nopa.org/resources/nopa-monthly-crush-report/" TargetMode="External"/><Relationship Id="rId88" Type="http://schemas.openxmlformats.org/officeDocument/2006/relationships/hyperlink" Target="https://www.usda.gov/oce/commodity/wasde/wasde0326.pdf" TargetMode="External"/><Relationship Id="rId91" Type="http://schemas.openxmlformats.org/officeDocument/2006/relationships/hyperlink" Target="https://soygrowers.com/news-releases/soymeal-steals-spotlight-in-march-2026-wasde/" TargetMode="External"/><Relationship Id="rId1" Type="http://schemas.openxmlformats.org/officeDocument/2006/relationships/numbering" Target="numbering.xml"/><Relationship Id="rId6" Type="http://schemas.openxmlformats.org/officeDocument/2006/relationships/hyperlink" Target="https://www.barchart.com/story/news/775259/soybeans-collapsing-at-midday-on-china-uncertainty" TargetMode="External"/><Relationship Id="rId15" Type="http://schemas.openxmlformats.org/officeDocument/2006/relationships/hyperlink" Target="https://www.admis.com/global-ag-news-for-march-16-2026/" TargetMode="External"/><Relationship Id="rId23" Type="http://schemas.openxmlformats.org/officeDocument/2006/relationships/hyperlink" Target="https://www.barchart.com/story/news/775259/soybeans-collapsing-at-midday-on-china-uncertainty" TargetMode="External"/><Relationship Id="rId28" Type="http://schemas.openxmlformats.org/officeDocument/2006/relationships/hyperlink" Target="https://www.admis.com/global-ag-news-for-march-16-2026/" TargetMode="External"/><Relationship Id="rId36" Type="http://schemas.openxmlformats.org/officeDocument/2006/relationships/hyperlink" Target="https://www.nopa.org/resources/nopa-monthly-crush-report/" TargetMode="External"/><Relationship Id="rId49" Type="http://schemas.openxmlformats.org/officeDocument/2006/relationships/hyperlink" Target="https://www.nopa.org/resources/nopa-monthly-crush-report/" TargetMode="External"/><Relationship Id="rId57" Type="http://schemas.openxmlformats.org/officeDocument/2006/relationships/hyperlink" Target="https://www.nopa.org/resources/nopa-monthly-crush-report/" TargetMode="External"/><Relationship Id="rId10" Type="http://schemas.openxmlformats.org/officeDocument/2006/relationships/hyperlink" Target="https://www.profarmer.com/may-soybeans-limit-down-after-trump-threatens-delay-china-summit" TargetMode="External"/><Relationship Id="rId31" Type="http://schemas.openxmlformats.org/officeDocument/2006/relationships/hyperlink" Target="https://www.barchart.com/futures/quotes/ZMK26" TargetMode="External"/><Relationship Id="rId44" Type="http://schemas.openxmlformats.org/officeDocument/2006/relationships/hyperlink" Target="https://www.usda.gov/oce/commodity/wasde/wasde0326.pdf" TargetMode="External"/><Relationship Id="rId52" Type="http://schemas.openxmlformats.org/officeDocument/2006/relationships/hyperlink" Target="https://www.nopa.org/resources/nopa-monthly-crush-report/" TargetMode="External"/><Relationship Id="rId60" Type="http://schemas.openxmlformats.org/officeDocument/2006/relationships/hyperlink" Target="https://www.barchart.com/story/news/775259/soybeans-collapsing-at-midday-on-china-uncertainty" TargetMode="External"/><Relationship Id="rId65" Type="http://schemas.openxmlformats.org/officeDocument/2006/relationships/hyperlink" Target="https://www.nopa.org/nopa-asa-and-cfaa-welcome-sign-of-progress-on-final-2026-27-rfs-volumes/" TargetMode="External"/><Relationship Id="rId73" Type="http://schemas.openxmlformats.org/officeDocument/2006/relationships/hyperlink" Target="https://www.barchart.com/futures/quotes/ZMK26" TargetMode="External"/><Relationship Id="rId78" Type="http://schemas.openxmlformats.org/officeDocument/2006/relationships/hyperlink" Target="https://www.profarmer.com/may-soybeans-limit-down-after-trump-threatens-delay-china-summit" TargetMode="External"/><Relationship Id="rId81" Type="http://schemas.openxmlformats.org/officeDocument/2006/relationships/hyperlink" Target="https://www.nopa.org/resources/nopa-monthly-crush-report/" TargetMode="External"/><Relationship Id="rId86" Type="http://schemas.openxmlformats.org/officeDocument/2006/relationships/hyperlink" Target="https://www.dtnpf.com/agriculture/web/ag/news/article/2026/03/16/periodic-updates-grains-livestock-3" TargetMode="External"/><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barchart.com/futures/quotes/ZMK26" TargetMode="External"/><Relationship Id="rId13" Type="http://schemas.openxmlformats.org/officeDocument/2006/relationships/hyperlink" Target="https://www.barchart.com/story/news/775259/soybeans-collapsing-at-midday-on-china-uncertainty" TargetMode="External"/><Relationship Id="rId18" Type="http://schemas.openxmlformats.org/officeDocument/2006/relationships/hyperlink" Target="https://www.admis.com/global-ag-news-for-march-16-2026/" TargetMode="External"/><Relationship Id="rId39" Type="http://schemas.openxmlformats.org/officeDocument/2006/relationships/hyperlink" Target="https://www.barchart.com/story/news/775259/soybeans-collapsing-at-midday-on-china-uncertainty" TargetMode="External"/><Relationship Id="rId34" Type="http://schemas.openxmlformats.org/officeDocument/2006/relationships/hyperlink" Target="https://www.barchart.com/futures/quotes/ZMK26" TargetMode="External"/><Relationship Id="rId50" Type="http://schemas.openxmlformats.org/officeDocument/2006/relationships/hyperlink" Target="https://www.barchart.com/story/news/775259/soybeans-collapsing-at-midday-on-china-uncertainty" TargetMode="External"/><Relationship Id="rId55" Type="http://schemas.openxmlformats.org/officeDocument/2006/relationships/hyperlink" Target="https://www.barchart.com/futures/quotes/ZMK26" TargetMode="External"/><Relationship Id="rId76" Type="http://schemas.openxmlformats.org/officeDocument/2006/relationships/hyperlink" Target="https://www.profarmer.com/may-soybeans-limit-down-after-trump-threatens-delay-china-summit" TargetMode="External"/><Relationship Id="rId7" Type="http://schemas.openxmlformats.org/officeDocument/2006/relationships/hyperlink" Target="https://www.nopa.org/nopa-asa-and-cfaa-welcome-sign-of-progress-on-final-2026-27-rfs-volumes/" TargetMode="External"/><Relationship Id="rId71" Type="http://schemas.openxmlformats.org/officeDocument/2006/relationships/hyperlink" Target="https://www.barchart.com/futures/quotes/ZMK26" TargetMode="External"/><Relationship Id="rId92" Type="http://schemas.openxmlformats.org/officeDocument/2006/relationships/hyperlink" Target="https://soygrowers.com/news-releases/soymeal-steals-spotlight-in-march-2026-wasde/" TargetMode="External"/><Relationship Id="rId2" Type="http://schemas.openxmlformats.org/officeDocument/2006/relationships/styles" Target="styles.xml"/><Relationship Id="rId29" Type="http://schemas.openxmlformats.org/officeDocument/2006/relationships/hyperlink" Target="https://www.admis.com/global-ag-news-for-march-16-2026/" TargetMode="External"/><Relationship Id="rId24" Type="http://schemas.openxmlformats.org/officeDocument/2006/relationships/hyperlink" Target="https://www.admis.com/global-ag-news-for-march-16-2026/" TargetMode="External"/><Relationship Id="rId40" Type="http://schemas.openxmlformats.org/officeDocument/2006/relationships/hyperlink" Target="https://www.dtnpf.com/agriculture/web/ag/news/article/2026/03/16/periodic-updates-grains-livestock-3" TargetMode="External"/><Relationship Id="rId45" Type="http://schemas.openxmlformats.org/officeDocument/2006/relationships/hyperlink" Target="https://www.usda.gov/oce/commodity/wasde/wasde0326.pdf" TargetMode="External"/><Relationship Id="rId66" Type="http://schemas.openxmlformats.org/officeDocument/2006/relationships/hyperlink" Target="https://www.nopa.org/nopa-asa-and-cfaa-welcome-sign-of-progress-on-final-2026-27-rfs-volumes/" TargetMode="External"/><Relationship Id="rId87" Type="http://schemas.openxmlformats.org/officeDocument/2006/relationships/hyperlink" Target="https://www.dtnpf.com/agriculture/web/ag/news/article/2026/03/16/periodic-updates-grains-livestock-3" TargetMode="External"/><Relationship Id="rId61" Type="http://schemas.openxmlformats.org/officeDocument/2006/relationships/hyperlink" Target="https://www.barchart.com/story/news/775259/soybeans-collapsing-at-midday-on-china-uncertainty" TargetMode="External"/><Relationship Id="rId82" Type="http://schemas.openxmlformats.org/officeDocument/2006/relationships/hyperlink" Target="https://www.nopa.org/resources/nopa-monthly-crush-report/" TargetMode="External"/><Relationship Id="rId19" Type="http://schemas.openxmlformats.org/officeDocument/2006/relationships/hyperlink" Target="https://www.admis.com/global-ag-news-for-march-16-2026/" TargetMode="External"/><Relationship Id="rId14" Type="http://schemas.openxmlformats.org/officeDocument/2006/relationships/hyperlink" Target="https://www.barchart.com/story/news/775259/soybeans-collapsing-at-midday-on-china-uncertainty" TargetMode="External"/><Relationship Id="rId30" Type="http://schemas.openxmlformats.org/officeDocument/2006/relationships/hyperlink" Target="https://www.barchart.com/futures/quotes/ZMK26" TargetMode="External"/><Relationship Id="rId35" Type="http://schemas.openxmlformats.org/officeDocument/2006/relationships/hyperlink" Target="https://www.barchart.com/futures/quotes/ZMK26" TargetMode="External"/><Relationship Id="rId56" Type="http://schemas.openxmlformats.org/officeDocument/2006/relationships/hyperlink" Target="https://www.usda.gov/oce/commodity/wasde/wasde0326.pdf" TargetMode="External"/><Relationship Id="rId77" Type="http://schemas.openxmlformats.org/officeDocument/2006/relationships/hyperlink" Target="https://www.profarmer.com/may-soybeans-limit-down-after-trump-threatens-delay-china-summ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1530</Words>
  <Characters>17752</Characters>
  <Application>Microsoft Office Word</Application>
  <DocSecurity>0</DocSecurity>
  <Lines>306</Lines>
  <Paragraphs>326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Tore Alden</dc:creator>
  <cp:keywords/>
  <cp:lastModifiedBy>Tore Alden</cp:lastModifiedBy>
  <cp:revision>2</cp:revision>
  <dcterms:created xsi:type="dcterms:W3CDTF">2026-03-20T10:06:00Z</dcterms:created>
  <dcterms:modified xsi:type="dcterms:W3CDTF">2026-03-20T10:06:00Z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