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E2F40" w14:textId="2E66DAAA" w:rsidR="004D1D0E" w:rsidRPr="00401F23" w:rsidRDefault="00F27A4B">
      <w:pPr>
        <w:rPr>
          <w:rFonts w:ascii="Google Sans" w:hAnsi="Google Sans" w:cs="Google Sans"/>
          <w:sz w:val="20"/>
          <w:szCs w:val="20"/>
        </w:rPr>
      </w:pPr>
      <w:r w:rsidRPr="00401F23">
        <w:rPr>
          <w:rFonts w:ascii="Google Sans" w:hAnsi="Google Sans" w:cs="Google Sans"/>
          <w:sz w:val="20"/>
          <w:szCs w:val="20"/>
        </w:rPr>
        <w:t xml:space="preserve">On Monday, oilseed complex prices fell sharply, while corn and wheat futures also declined. </w:t>
      </w:r>
      <w:r w:rsidR="009C0E4E" w:rsidRPr="00401F23">
        <w:rPr>
          <w:rFonts w:ascii="Google Sans" w:hAnsi="Google Sans" w:cs="Google Sans"/>
          <w:sz w:val="20"/>
          <w:szCs w:val="20"/>
        </w:rPr>
        <w:t xml:space="preserve">Macro developments and the volatility of crude oil prices and geopolitical events </w:t>
      </w:r>
      <w:r w:rsidRPr="00401F23">
        <w:rPr>
          <w:rFonts w:ascii="Google Sans" w:hAnsi="Google Sans" w:cs="Google Sans"/>
          <w:sz w:val="20"/>
          <w:szCs w:val="20"/>
        </w:rPr>
        <w:t xml:space="preserve">continue to drive the broader commodity markets. The sharp reversal followed broad strength in prices during the first 2 1/2 months of 2026, driven by the conflict in the Middle East and robust demand. However, whether prices will continue to move lower will depend, in part, on the usual factors during the spring, planting intentions and spring weather in the northern Hemisphere. </w:t>
      </w:r>
    </w:p>
    <w:p w14:paraId="5C9CF67E" w14:textId="1FE7735E" w:rsidR="004F2F84" w:rsidRPr="00401F23" w:rsidRDefault="00F27A4B">
      <w:pPr>
        <w:rPr>
          <w:rFonts w:ascii="Google Sans" w:hAnsi="Google Sans" w:cs="Google Sans"/>
          <w:sz w:val="20"/>
          <w:szCs w:val="20"/>
        </w:rPr>
      </w:pPr>
      <w:r w:rsidRPr="00401F23">
        <w:rPr>
          <w:rFonts w:ascii="Google Sans" w:hAnsi="Google Sans" w:cs="Google Sans"/>
          <w:sz w:val="20"/>
          <w:szCs w:val="20"/>
        </w:rPr>
        <w:t xml:space="preserve">The monthly NOPA crush report triggered a portion of the selling that drove prices lower on Monday. NOPA reported that its members crushed nearly 209 million bushels of soybeans in February, down from the more than 220 million bushels that NOPA reported its members crushed in January. However, from an </w:t>
      </w:r>
      <w:r w:rsidR="004F2F84" w:rsidRPr="00401F23">
        <w:rPr>
          <w:rFonts w:ascii="Google Sans" w:hAnsi="Google Sans" w:cs="Google Sans"/>
          <w:sz w:val="20"/>
          <w:szCs w:val="20"/>
        </w:rPr>
        <w:t>average daily volume</w:t>
      </w:r>
      <w:r w:rsidRPr="00401F23">
        <w:rPr>
          <w:rFonts w:ascii="Google Sans" w:hAnsi="Google Sans" w:cs="Google Sans"/>
          <w:sz w:val="20"/>
          <w:szCs w:val="20"/>
        </w:rPr>
        <w:t xml:space="preserve"> perspective, the February crush rose by roughly 300,000 bushels per day from January. </w:t>
      </w:r>
      <w:r w:rsidR="004F2F84" w:rsidRPr="00401F23">
        <w:rPr>
          <w:rFonts w:ascii="Google Sans" w:hAnsi="Google Sans" w:cs="Google Sans"/>
          <w:sz w:val="20"/>
          <w:szCs w:val="20"/>
        </w:rPr>
        <w:t xml:space="preserve"> </w:t>
      </w:r>
    </w:p>
    <w:p w14:paraId="2003D9A0" w14:textId="09AC1A39" w:rsidR="00F27A4B" w:rsidRPr="00401F23" w:rsidRDefault="004F2F84">
      <w:pPr>
        <w:rPr>
          <w:rFonts w:ascii="Google Sans" w:hAnsi="Google Sans" w:cs="Google Sans"/>
          <w:sz w:val="20"/>
          <w:szCs w:val="20"/>
        </w:rPr>
      </w:pPr>
      <w:r w:rsidRPr="00401F23">
        <w:rPr>
          <w:rFonts w:ascii="Google Sans" w:hAnsi="Google Sans" w:cs="Google Sans"/>
          <w:sz w:val="20"/>
          <w:szCs w:val="20"/>
        </w:rPr>
        <w:t xml:space="preserve">The implied average daily crushing volume of nearly 7.5 million bushels was a record for any month and nearly 25 percent above the five-year average for the month of just over six million bushels per day. </w:t>
      </w:r>
      <w:r w:rsidR="00F27A4B" w:rsidRPr="00401F23">
        <w:rPr>
          <w:rFonts w:ascii="Google Sans" w:hAnsi="Google Sans" w:cs="Google Sans"/>
          <w:sz w:val="20"/>
          <w:szCs w:val="20"/>
        </w:rPr>
        <w:t xml:space="preserve"> </w:t>
      </w:r>
      <w:r w:rsidRPr="00401F23">
        <w:rPr>
          <w:rFonts w:ascii="Google Sans" w:hAnsi="Google Sans" w:cs="Google Sans"/>
          <w:sz w:val="20"/>
          <w:szCs w:val="20"/>
        </w:rPr>
        <w:t xml:space="preserve">The record pace reflects the robust demand for soybean meal and soybean oil. </w:t>
      </w:r>
      <w:r w:rsidR="00401F23" w:rsidRPr="00401F23">
        <w:rPr>
          <w:rFonts w:ascii="Google Sans" w:hAnsi="Google Sans" w:cs="Google Sans"/>
          <w:sz w:val="20"/>
          <w:szCs w:val="20"/>
        </w:rPr>
        <w:t xml:space="preserve">The NOPA report implies an industry-wide crush of 218.6 million bushels. </w:t>
      </w:r>
      <w:r w:rsidR="00086CC9">
        <w:rPr>
          <w:rFonts w:ascii="Google Sans" w:hAnsi="Google Sans" w:cs="Google Sans"/>
          <w:sz w:val="20"/>
          <w:szCs w:val="20"/>
        </w:rPr>
        <w:t xml:space="preserve">The February volume and the implied industry-wide estimate would be record-large volumes for the month of February. </w:t>
      </w:r>
    </w:p>
    <w:sectPr w:rsidR="00F27A4B" w:rsidRPr="00401F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oogle Sans">
    <w:panose1 w:val="00000000000000000000"/>
    <w:charset w:val="00"/>
    <w:family w:val="auto"/>
    <w:pitch w:val="variable"/>
    <w:sig w:usb0="E7FFAEFF" w:usb1="5000A4FB" w:usb2="00010A28" w:usb3="00000000" w:csb0="0001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E4E"/>
    <w:rsid w:val="00007712"/>
    <w:rsid w:val="00086CC9"/>
    <w:rsid w:val="002C01E0"/>
    <w:rsid w:val="00401F23"/>
    <w:rsid w:val="004D1D0E"/>
    <w:rsid w:val="004E01B1"/>
    <w:rsid w:val="004F2F84"/>
    <w:rsid w:val="00665A6F"/>
    <w:rsid w:val="009C0E4E"/>
    <w:rsid w:val="00F27A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68FD6"/>
  <w15:chartTrackingRefBased/>
  <w15:docId w15:val="{30B812F2-08F7-4DC0-A875-5AFB4538B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E4E"/>
    <w:rPr>
      <w:rFonts w:eastAsiaTheme="majorEastAsia" w:cstheme="majorBidi"/>
      <w:color w:val="272727" w:themeColor="text1" w:themeTint="D8"/>
    </w:rPr>
  </w:style>
  <w:style w:type="paragraph" w:styleId="Title">
    <w:name w:val="Title"/>
    <w:basedOn w:val="Normal"/>
    <w:next w:val="Normal"/>
    <w:link w:val="TitleChar"/>
    <w:uiPriority w:val="10"/>
    <w:qFormat/>
    <w:rsid w:val="009C0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E4E"/>
    <w:pPr>
      <w:spacing w:before="160"/>
      <w:jc w:val="center"/>
    </w:pPr>
    <w:rPr>
      <w:i/>
      <w:iCs/>
      <w:color w:val="404040" w:themeColor="text1" w:themeTint="BF"/>
    </w:rPr>
  </w:style>
  <w:style w:type="character" w:customStyle="1" w:styleId="QuoteChar">
    <w:name w:val="Quote Char"/>
    <w:basedOn w:val="DefaultParagraphFont"/>
    <w:link w:val="Quote"/>
    <w:uiPriority w:val="29"/>
    <w:rsid w:val="009C0E4E"/>
    <w:rPr>
      <w:i/>
      <w:iCs/>
      <w:color w:val="404040" w:themeColor="text1" w:themeTint="BF"/>
    </w:rPr>
  </w:style>
  <w:style w:type="paragraph" w:styleId="ListParagraph">
    <w:name w:val="List Paragraph"/>
    <w:basedOn w:val="Normal"/>
    <w:uiPriority w:val="34"/>
    <w:qFormat/>
    <w:rsid w:val="009C0E4E"/>
    <w:pPr>
      <w:ind w:left="720"/>
      <w:contextualSpacing/>
    </w:pPr>
  </w:style>
  <w:style w:type="character" w:styleId="IntenseEmphasis">
    <w:name w:val="Intense Emphasis"/>
    <w:basedOn w:val="DefaultParagraphFont"/>
    <w:uiPriority w:val="21"/>
    <w:qFormat/>
    <w:rsid w:val="009C0E4E"/>
    <w:rPr>
      <w:i/>
      <w:iCs/>
      <w:color w:val="0F4761" w:themeColor="accent1" w:themeShade="BF"/>
    </w:rPr>
  </w:style>
  <w:style w:type="paragraph" w:styleId="IntenseQuote">
    <w:name w:val="Intense Quote"/>
    <w:basedOn w:val="Normal"/>
    <w:next w:val="Normal"/>
    <w:link w:val="IntenseQuoteChar"/>
    <w:uiPriority w:val="30"/>
    <w:qFormat/>
    <w:rsid w:val="009C0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E4E"/>
    <w:rPr>
      <w:i/>
      <w:iCs/>
      <w:color w:val="0F4761" w:themeColor="accent1" w:themeShade="BF"/>
    </w:rPr>
  </w:style>
  <w:style w:type="character" w:styleId="IntenseReference">
    <w:name w:val="Intense Reference"/>
    <w:basedOn w:val="DefaultParagraphFont"/>
    <w:uiPriority w:val="32"/>
    <w:qFormat/>
    <w:rsid w:val="009C0E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1329</Characters>
  <Application>Microsoft Office Word</Application>
  <DocSecurity>0</DocSecurity>
  <Lines>22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2026-03-16T19:24:00Z</dcterms:created>
  <dcterms:modified xsi:type="dcterms:W3CDTF">2026-03-20T10:05:00Z</dcterms:modified>
</cp:coreProperties>
</file>