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ECD1" w14:textId="1B03976A" w:rsidR="00302BF7" w:rsidRDefault="00FF1844">
      <w:pPr>
        <w:rPr>
          <w:rFonts w:ascii="Google Sans" w:hAnsi="Google Sans" w:cs="Google Sans"/>
        </w:rPr>
      </w:pPr>
      <w:r w:rsidRPr="00FF1844">
        <w:rPr>
          <w:rFonts w:ascii="Google Sans" w:hAnsi="Google Sans" w:cs="Google Sans"/>
        </w:rPr>
        <w:t>On June 15</w:t>
      </w:r>
      <w:r>
        <w:rPr>
          <w:rFonts w:ascii="Google Sans" w:hAnsi="Google Sans" w:cs="Google Sans"/>
        </w:rPr>
        <w:t xml:space="preserve"> the Environmental Protection Agency’s (EPA’s) Set 2 rule is set </w:t>
      </w:r>
      <w:r w:rsidR="00F77793">
        <w:rPr>
          <w:rFonts w:ascii="Google Sans" w:hAnsi="Google Sans" w:cs="Google Sans"/>
        </w:rPr>
        <w:t>to take effect</w:t>
      </w:r>
      <w:r>
        <w:rPr>
          <w:rFonts w:ascii="Google Sans" w:hAnsi="Google Sans" w:cs="Google Sans"/>
        </w:rPr>
        <w:t xml:space="preserve">. </w:t>
      </w:r>
      <w:r w:rsidR="00F77793">
        <w:rPr>
          <w:rFonts w:ascii="Google Sans" w:hAnsi="Google Sans" w:cs="Google Sans"/>
        </w:rPr>
        <w:t xml:space="preserve">Set 2 </w:t>
      </w:r>
      <w:r w:rsidR="008A4E3C">
        <w:rPr>
          <w:rFonts w:ascii="Google Sans" w:hAnsi="Google Sans" w:cs="Google Sans"/>
        </w:rPr>
        <w:t>proposed in June 2025</w:t>
      </w:r>
      <w:r w:rsidR="00F77793">
        <w:rPr>
          <w:rFonts w:ascii="Google Sans" w:hAnsi="Google Sans" w:cs="Google Sans"/>
        </w:rPr>
        <w:t>continues moving the industry beyond the mandated volumes of the original law</w:t>
      </w:r>
      <w:r w:rsidR="00C915EF">
        <w:rPr>
          <w:rFonts w:ascii="Google Sans" w:hAnsi="Google Sans" w:cs="Google Sans"/>
        </w:rPr>
        <w:t xml:space="preserve">. </w:t>
      </w:r>
      <w:r w:rsidR="00302BF7">
        <w:rPr>
          <w:rFonts w:ascii="Google Sans" w:hAnsi="Google Sans" w:cs="Google Sans"/>
        </w:rPr>
        <w:t xml:space="preserve">Under the Renewable Fuel Standard (RFS) amendments to the Clean Air Act, Congress specified numerical annual volume targets for several RFS categories through 2022. </w:t>
      </w:r>
      <w:r w:rsidR="008A4E3C">
        <w:rPr>
          <w:rFonts w:ascii="Google Sans" w:hAnsi="Google Sans" w:cs="Google Sans"/>
        </w:rPr>
        <w:t>However, b</w:t>
      </w:r>
      <w:r w:rsidR="00302BF7">
        <w:rPr>
          <w:rFonts w:ascii="Google Sans" w:hAnsi="Google Sans" w:cs="Google Sans"/>
        </w:rPr>
        <w:t xml:space="preserve">eginning with the 2023 compliance year, the statutory volume tables no longer specified annual volumes, so the EPA began to </w:t>
      </w:r>
      <w:r w:rsidR="007C2C3E">
        <w:rPr>
          <w:rFonts w:ascii="Google Sans" w:hAnsi="Google Sans" w:cs="Google Sans"/>
        </w:rPr>
        <w:t>establish</w:t>
      </w:r>
      <w:r w:rsidR="00302BF7">
        <w:rPr>
          <w:rFonts w:ascii="Google Sans" w:hAnsi="Google Sans" w:cs="Google Sans"/>
        </w:rPr>
        <w:t xml:space="preserve"> the applicable volumes under its post-2022 “set” authority, in coordination with the United States Department of Agriculture (USDA), and Department of Energy (DOE). </w:t>
      </w:r>
    </w:p>
    <w:p w14:paraId="5869F891" w14:textId="743B7D71" w:rsidR="008A4E3C" w:rsidRDefault="008A4E3C" w:rsidP="00F77793">
      <w:pPr>
        <w:rPr>
          <w:rFonts w:ascii="Google Sans" w:hAnsi="Google Sans" w:cs="Google Sans"/>
        </w:rPr>
      </w:pPr>
      <w:r>
        <w:rPr>
          <w:rFonts w:ascii="Google Sans" w:hAnsi="Google Sans" w:cs="Google Sans"/>
        </w:rPr>
        <w:t>The change in the way the government sets the annual volume mandates has had</w:t>
      </w:r>
    </w:p>
    <w:p w14:paraId="4C43E3F7" w14:textId="77777777" w:rsidR="008A4E3C" w:rsidRDefault="008A4E3C" w:rsidP="00F77793">
      <w:pPr>
        <w:rPr>
          <w:rFonts w:ascii="Google Sans" w:hAnsi="Google Sans" w:cs="Google Sans"/>
        </w:rPr>
      </w:pPr>
    </w:p>
    <w:p w14:paraId="138CA0B6" w14:textId="7471C949" w:rsidR="00F77793" w:rsidRDefault="00302BF7" w:rsidP="00F77793">
      <w:pPr>
        <w:rPr>
          <w:rFonts w:ascii="Google Sans" w:hAnsi="Google Sans" w:cs="Google Sans"/>
        </w:rPr>
      </w:pPr>
      <w:r w:rsidRPr="00302BF7">
        <w:rPr>
          <w:rFonts w:ascii="Google Sans" w:hAnsi="Google Sans" w:cs="Google Sans"/>
        </w:rPr>
        <w:t>The original volumetric requirements defined by the RFS language extended through 2022. Starting in 2023, the EPA directly determined the applicable volumes for the program.</w:t>
      </w:r>
      <w:r w:rsidR="007C2C3E">
        <w:rPr>
          <w:rFonts w:ascii="Google Sans" w:hAnsi="Google Sans" w:cs="Google Sans"/>
        </w:rPr>
        <w:t xml:space="preserve"> There is one caveat to that statement, which is that the statutory volumes for the biomass-based diesel category expired in 2012, requiring the EPA to set annual volumes in coordination with the USDA and DOE for that category for the last 14 years. </w:t>
      </w:r>
      <w:r w:rsidR="00F77793">
        <w:rPr>
          <w:rFonts w:ascii="Google Sans" w:hAnsi="Google Sans" w:cs="Google Sans"/>
        </w:rPr>
        <w:t>The initial post-RFS mandates</w:t>
      </w:r>
      <w:r w:rsidR="00F77793">
        <w:rPr>
          <w:rFonts w:ascii="Google Sans" w:hAnsi="Google Sans" w:cs="Google Sans"/>
        </w:rPr>
        <w:t xml:space="preserve"> for the remaining categories and BBD were </w:t>
      </w:r>
      <w:r w:rsidR="00F77793">
        <w:rPr>
          <w:rFonts w:ascii="Google Sans" w:hAnsi="Google Sans" w:cs="Google Sans"/>
        </w:rPr>
        <w:t xml:space="preserve">known as Set </w:t>
      </w:r>
      <w:r w:rsidR="00F77793">
        <w:rPr>
          <w:rFonts w:ascii="Google Sans" w:hAnsi="Google Sans" w:cs="Google Sans"/>
        </w:rPr>
        <w:t>1 and provided volumetric guidance starting in</w:t>
      </w:r>
      <w:r w:rsidR="00F77793">
        <w:rPr>
          <w:rFonts w:ascii="Google Sans" w:hAnsi="Google Sans" w:cs="Google Sans"/>
        </w:rPr>
        <w:t xml:space="preserve"> 2023 </w:t>
      </w:r>
      <w:r w:rsidR="00F77793">
        <w:rPr>
          <w:rFonts w:ascii="Google Sans" w:hAnsi="Google Sans" w:cs="Google Sans"/>
        </w:rPr>
        <w:t xml:space="preserve">and continuing </w:t>
      </w:r>
      <w:r w:rsidR="00F77793">
        <w:rPr>
          <w:rFonts w:ascii="Google Sans" w:hAnsi="Google Sans" w:cs="Google Sans"/>
        </w:rPr>
        <w:t xml:space="preserve">through 2025, while Set 2 covers 2026 and 2027. </w:t>
      </w:r>
    </w:p>
    <w:p w14:paraId="27D01933" w14:textId="0339975C" w:rsidR="00302BF7" w:rsidRDefault="00F77793">
      <w:pPr>
        <w:rPr>
          <w:rFonts w:ascii="Google Sans" w:hAnsi="Google Sans" w:cs="Google Sans"/>
        </w:rPr>
      </w:pPr>
      <w:r>
        <w:rPr>
          <w:rFonts w:ascii="Google Sans" w:hAnsi="Google Sans" w:cs="Google Sans"/>
        </w:rPr>
        <w:t xml:space="preserve">The primary change that occurred in 2023 was the volumes associated with the cellulosic fuel category. The original law set </w:t>
      </w:r>
    </w:p>
    <w:p w14:paraId="0DDCC8EB" w14:textId="5557E3EF" w:rsidR="002E16B8" w:rsidRDefault="002E16B8">
      <w:pPr>
        <w:rPr>
          <w:rFonts w:ascii="Google Sans" w:hAnsi="Google Sans" w:cs="Google Sans"/>
        </w:rPr>
      </w:pPr>
      <w:r>
        <w:rPr>
          <w:rFonts w:ascii="Google Sans" w:hAnsi="Google Sans" w:cs="Google Sans"/>
        </w:rPr>
        <w:t xml:space="preserve">The EPA, in coordination with the United States Department of Agriculture, and the Department of Energy, sets RFS program volumes using Clean Air Act “set” authority. </w:t>
      </w:r>
      <w:r w:rsidR="001D1ADE">
        <w:rPr>
          <w:rFonts w:ascii="Google Sans" w:hAnsi="Google Sans" w:cs="Google Sans"/>
        </w:rPr>
        <w:t xml:space="preserve">The current mandates are the second edition following the expiration of the original RFS law, which set volumes from 2010 to 2022 and was implemented in 2008. </w:t>
      </w:r>
      <w:r>
        <w:rPr>
          <w:rFonts w:ascii="Google Sans" w:hAnsi="Google Sans" w:cs="Google Sans"/>
        </w:rPr>
        <w:t>The initial</w:t>
      </w:r>
      <w:r w:rsidR="001D1ADE">
        <w:rPr>
          <w:rFonts w:ascii="Google Sans" w:hAnsi="Google Sans" w:cs="Google Sans"/>
        </w:rPr>
        <w:t xml:space="preserve"> post-RFS</w:t>
      </w:r>
      <w:r>
        <w:rPr>
          <w:rFonts w:ascii="Google Sans" w:hAnsi="Google Sans" w:cs="Google Sans"/>
        </w:rPr>
        <w:t xml:space="preserve"> </w:t>
      </w:r>
      <w:r w:rsidR="001D1ADE">
        <w:rPr>
          <w:rFonts w:ascii="Google Sans" w:hAnsi="Google Sans" w:cs="Google Sans"/>
        </w:rPr>
        <w:t>mandates, known as</w:t>
      </w:r>
      <w:r w:rsidR="000054FA">
        <w:rPr>
          <w:rFonts w:ascii="Google Sans" w:hAnsi="Google Sans" w:cs="Google Sans"/>
        </w:rPr>
        <w:t xml:space="preserve"> </w:t>
      </w:r>
      <w:r w:rsidR="000054FA">
        <w:rPr>
          <w:rFonts w:ascii="Google Sans" w:hAnsi="Google Sans" w:cs="Google Sans"/>
        </w:rPr>
        <w:t>Set 1</w:t>
      </w:r>
      <w:r w:rsidR="001D1ADE">
        <w:rPr>
          <w:rFonts w:ascii="Google Sans" w:hAnsi="Google Sans" w:cs="Google Sans"/>
        </w:rPr>
        <w:t>,</w:t>
      </w:r>
      <w:r w:rsidR="001D1ADE" w:rsidRPr="001D1ADE">
        <w:rPr>
          <w:rFonts w:ascii="Google Sans" w:hAnsi="Google Sans" w:cs="Google Sans"/>
        </w:rPr>
        <w:t xml:space="preserve"> </w:t>
      </w:r>
      <w:r w:rsidR="001D1ADE">
        <w:rPr>
          <w:rFonts w:ascii="Google Sans" w:hAnsi="Google Sans" w:cs="Google Sans"/>
        </w:rPr>
        <w:t>covered 2023 through 2025</w:t>
      </w:r>
      <w:r>
        <w:rPr>
          <w:rFonts w:ascii="Google Sans" w:hAnsi="Google Sans" w:cs="Google Sans"/>
        </w:rPr>
        <w:t xml:space="preserve">, while Set 2 covers 2026 and 2027. </w:t>
      </w:r>
    </w:p>
    <w:p w14:paraId="63826D12" w14:textId="77777777" w:rsidR="001D1ADE" w:rsidRDefault="002E16B8">
      <w:pPr>
        <w:rPr>
          <w:rFonts w:ascii="Google Sans" w:hAnsi="Google Sans" w:cs="Google Sans"/>
        </w:rPr>
      </w:pPr>
      <w:r>
        <w:rPr>
          <w:rFonts w:ascii="Google Sans" w:hAnsi="Google Sans" w:cs="Google Sans"/>
        </w:rPr>
        <w:t xml:space="preserve">The </w:t>
      </w:r>
      <w:r w:rsidR="000054FA">
        <w:rPr>
          <w:rFonts w:ascii="Google Sans" w:hAnsi="Google Sans" w:cs="Google Sans"/>
        </w:rPr>
        <w:t>Clean Air Act, which gives the EPA the power to establish and enforce the RFS mandates,</w:t>
      </w:r>
      <w:r>
        <w:rPr>
          <w:rFonts w:ascii="Google Sans" w:hAnsi="Google Sans" w:cs="Google Sans"/>
        </w:rPr>
        <w:t xml:space="preserve"> </w:t>
      </w:r>
      <w:r w:rsidR="001D1ADE">
        <w:rPr>
          <w:rFonts w:ascii="Google Sans" w:hAnsi="Google Sans" w:cs="Google Sans"/>
        </w:rPr>
        <w:t xml:space="preserve">also </w:t>
      </w:r>
      <w:r>
        <w:rPr>
          <w:rFonts w:ascii="Google Sans" w:hAnsi="Google Sans" w:cs="Google Sans"/>
        </w:rPr>
        <w:t xml:space="preserve">requires the EPA to determine the applicable volumes 14 months prior to the year in which the volume will be required, in this case the Set 2 rules should have been finalized two years earlier, releasing the 2026 volumes in November 2024. </w:t>
      </w:r>
    </w:p>
    <w:p w14:paraId="79DB525F" w14:textId="0B80B3E7" w:rsidR="00C915EF" w:rsidRDefault="000054FA">
      <w:pPr>
        <w:rPr>
          <w:rFonts w:ascii="Google Sans" w:hAnsi="Google Sans" w:cs="Google Sans"/>
        </w:rPr>
      </w:pPr>
      <w:r>
        <w:rPr>
          <w:rFonts w:ascii="Google Sans" w:hAnsi="Google Sans" w:cs="Google Sans"/>
        </w:rPr>
        <w:t xml:space="preserve">The EPA published the final Set 1 rules in June of 2023, allowing the industry to operate for nearly 18 months without set rules. The uncertainty arising from the lack of </w:t>
      </w:r>
      <w:r>
        <w:rPr>
          <w:rFonts w:ascii="Google Sans" w:hAnsi="Google Sans" w:cs="Google Sans"/>
        </w:rPr>
        <w:lastRenderedPageBreak/>
        <w:t xml:space="preserve">guidance and delays in setting volumes, slows investment in the industry and development of new capacities and capabilities. </w:t>
      </w:r>
    </w:p>
    <w:p w14:paraId="18222C90" w14:textId="1960C68C" w:rsidR="004D1D0E" w:rsidRDefault="00FF1844">
      <w:pPr>
        <w:rPr>
          <w:rFonts w:ascii="Google Sans" w:hAnsi="Google Sans" w:cs="Google Sans"/>
        </w:rPr>
      </w:pPr>
      <w:r>
        <w:rPr>
          <w:rFonts w:ascii="Google Sans" w:hAnsi="Google Sans" w:cs="Google Sans"/>
        </w:rPr>
        <w:t>The rule mandates biomass-based diesel volumes of 8.86 billion gallons in 2026 and 8.95 billion gallons in 2027. In addition, the reallocation of small refinery exemptions (SREs), adds 210 million gallons to the 2026 total (9.07 billion) and 250 million gallons to the 2027 total (9.2 billion gallons</w:t>
      </w:r>
      <w:r w:rsidR="00C915EF">
        <w:rPr>
          <w:rFonts w:ascii="Google Sans" w:hAnsi="Google Sans" w:cs="Google Sans"/>
        </w:rPr>
        <w:t>).</w:t>
      </w:r>
    </w:p>
    <w:p w14:paraId="2A8A9B75" w14:textId="77777777" w:rsidR="00C915EF" w:rsidRPr="00C915EF" w:rsidRDefault="00C915EF" w:rsidP="00C915EF">
      <w:pPr>
        <w:rPr>
          <w:rFonts w:ascii="Google Sans" w:hAnsi="Google Sans" w:cs="Google Sans"/>
        </w:rPr>
      </w:pPr>
      <w:r w:rsidRPr="00C915EF">
        <w:rPr>
          <w:rFonts w:ascii="Google Sans" w:hAnsi="Google Sans" w:cs="Google Sans"/>
        </w:rPr>
        <w:t xml:space="preserve">The final Set 2 volumes are expressed in </w:t>
      </w:r>
      <w:r w:rsidRPr="00C915EF">
        <w:rPr>
          <w:rFonts w:ascii="Google Sans" w:hAnsi="Google Sans" w:cs="Google Sans"/>
          <w:b/>
          <w:bCs/>
        </w:rPr>
        <w:t>billion RINs</w:t>
      </w:r>
      <w:r w:rsidRPr="00C915EF">
        <w:rPr>
          <w:rFonts w:ascii="Google Sans" w:hAnsi="Google Sans" w:cs="Google Sans"/>
        </w:rPr>
        <w:t>:</w:t>
      </w:r>
    </w:p>
    <w:tbl>
      <w:tblPr>
        <w:tblStyle w:val="TableGrid"/>
        <w:tblW w:w="0" w:type="auto"/>
        <w:tblLook w:val="04A0" w:firstRow="1" w:lastRow="0" w:firstColumn="1" w:lastColumn="0" w:noHBand="0" w:noVBand="1"/>
      </w:tblPr>
      <w:tblGrid>
        <w:gridCol w:w="1655"/>
        <w:gridCol w:w="941"/>
        <w:gridCol w:w="1633"/>
        <w:gridCol w:w="1007"/>
        <w:gridCol w:w="1001"/>
        <w:gridCol w:w="1633"/>
        <w:gridCol w:w="1480"/>
      </w:tblGrid>
      <w:tr w:rsidR="00C915EF" w:rsidRPr="00C915EF" w14:paraId="0E27B900" w14:textId="77777777" w:rsidTr="00C915EF">
        <w:trPr>
          <w:trHeight w:val="772"/>
        </w:trPr>
        <w:tc>
          <w:tcPr>
            <w:tcW w:w="0" w:type="auto"/>
            <w:hideMark/>
          </w:tcPr>
          <w:p w14:paraId="227A90D4" w14:textId="520B881E" w:rsidR="00C915EF" w:rsidRPr="00C915EF" w:rsidRDefault="00C915EF" w:rsidP="00C915EF">
            <w:pPr>
              <w:spacing w:after="160" w:line="278" w:lineRule="auto"/>
              <w:rPr>
                <w:rFonts w:ascii="Google Sans" w:hAnsi="Google Sans" w:cs="Google Sans"/>
                <w:b/>
                <w:bCs/>
              </w:rPr>
            </w:pPr>
            <w:r w:rsidRPr="00C915EF">
              <w:rPr>
                <w:rFonts w:ascii="Google Sans" w:hAnsi="Google Sans" w:cs="Google Sans"/>
                <w:b/>
                <w:bCs/>
              </w:rPr>
              <w:t xml:space="preserve">RFS </w:t>
            </w:r>
            <w:r>
              <w:rPr>
                <w:rFonts w:ascii="Google Sans" w:hAnsi="Google Sans" w:cs="Google Sans"/>
                <w:b/>
                <w:bCs/>
              </w:rPr>
              <w:t>C</w:t>
            </w:r>
            <w:r w:rsidRPr="00C915EF">
              <w:rPr>
                <w:rFonts w:ascii="Google Sans" w:hAnsi="Google Sans" w:cs="Google Sans"/>
                <w:b/>
                <w:bCs/>
              </w:rPr>
              <w:t>ategory</w:t>
            </w:r>
          </w:p>
        </w:tc>
        <w:tc>
          <w:tcPr>
            <w:tcW w:w="0" w:type="auto"/>
            <w:hideMark/>
          </w:tcPr>
          <w:p w14:paraId="5312C6C4" w14:textId="33534057" w:rsidR="00C915EF" w:rsidRPr="00C915EF" w:rsidRDefault="00C915EF" w:rsidP="00C915EF">
            <w:pPr>
              <w:spacing w:after="160" w:line="278" w:lineRule="auto"/>
              <w:jc w:val="distribute"/>
              <w:rPr>
                <w:rFonts w:ascii="Google Sans" w:hAnsi="Google Sans" w:cs="Google Sans"/>
                <w:b/>
                <w:bCs/>
              </w:rPr>
            </w:pPr>
            <w:r w:rsidRPr="00C915EF">
              <w:rPr>
                <w:rFonts w:ascii="Google Sans" w:hAnsi="Google Sans" w:cs="Google Sans"/>
                <w:b/>
                <w:bCs/>
              </w:rPr>
              <w:t xml:space="preserve">2026 </w:t>
            </w:r>
            <w:r>
              <w:rPr>
                <w:rFonts w:ascii="Google Sans" w:hAnsi="Google Sans" w:cs="Google Sans"/>
                <w:b/>
                <w:bCs/>
              </w:rPr>
              <w:t>B</w:t>
            </w:r>
            <w:r w:rsidRPr="00C915EF">
              <w:rPr>
                <w:rFonts w:ascii="Google Sans" w:hAnsi="Google Sans" w:cs="Google Sans"/>
                <w:b/>
                <w:bCs/>
              </w:rPr>
              <w:t xml:space="preserve">ase </w:t>
            </w:r>
          </w:p>
        </w:tc>
        <w:tc>
          <w:tcPr>
            <w:tcW w:w="1447" w:type="dxa"/>
            <w:hideMark/>
          </w:tcPr>
          <w:p w14:paraId="12603E6C" w14:textId="60D7AA01" w:rsidR="00C915EF" w:rsidRPr="00C915EF" w:rsidRDefault="00C915EF" w:rsidP="00C915EF">
            <w:pPr>
              <w:spacing w:after="160" w:line="278" w:lineRule="auto"/>
              <w:jc w:val="distribute"/>
              <w:rPr>
                <w:rFonts w:ascii="Google Sans" w:hAnsi="Google Sans" w:cs="Google Sans"/>
                <w:b/>
                <w:bCs/>
              </w:rPr>
            </w:pPr>
            <w:r w:rsidRPr="00C915EF">
              <w:rPr>
                <w:rFonts w:ascii="Google Sans" w:hAnsi="Google Sans" w:cs="Google Sans"/>
                <w:b/>
                <w:bCs/>
              </w:rPr>
              <w:t xml:space="preserve">2026 SRE </w:t>
            </w:r>
            <w:r>
              <w:rPr>
                <w:rFonts w:ascii="Google Sans" w:hAnsi="Google Sans" w:cs="Google Sans"/>
                <w:b/>
                <w:bCs/>
              </w:rPr>
              <w:t>R</w:t>
            </w:r>
            <w:r w:rsidRPr="00C915EF">
              <w:rPr>
                <w:rFonts w:ascii="Google Sans" w:hAnsi="Google Sans" w:cs="Google Sans"/>
                <w:b/>
                <w:bCs/>
              </w:rPr>
              <w:t>eallocation</w:t>
            </w:r>
          </w:p>
        </w:tc>
        <w:tc>
          <w:tcPr>
            <w:tcW w:w="1007" w:type="dxa"/>
            <w:hideMark/>
          </w:tcPr>
          <w:p w14:paraId="11477A52" w14:textId="57D75432" w:rsidR="00C915EF" w:rsidRPr="00C915EF" w:rsidRDefault="00C915EF" w:rsidP="00C915EF">
            <w:pPr>
              <w:spacing w:after="160" w:line="278" w:lineRule="auto"/>
              <w:jc w:val="distribute"/>
              <w:rPr>
                <w:rFonts w:ascii="Google Sans" w:hAnsi="Google Sans" w:cs="Google Sans"/>
                <w:b/>
                <w:bCs/>
              </w:rPr>
            </w:pPr>
            <w:r w:rsidRPr="00C915EF">
              <w:rPr>
                <w:rFonts w:ascii="Google Sans" w:hAnsi="Google Sans" w:cs="Google Sans"/>
                <w:b/>
                <w:bCs/>
              </w:rPr>
              <w:t xml:space="preserve">2026 </w:t>
            </w:r>
            <w:r>
              <w:rPr>
                <w:rFonts w:ascii="Google Sans" w:hAnsi="Google Sans" w:cs="Google Sans"/>
                <w:b/>
                <w:bCs/>
              </w:rPr>
              <w:t>T</w:t>
            </w:r>
            <w:r w:rsidRPr="00C915EF">
              <w:rPr>
                <w:rFonts w:ascii="Google Sans" w:hAnsi="Google Sans" w:cs="Google Sans"/>
                <w:b/>
                <w:bCs/>
              </w:rPr>
              <w:t>otal</w:t>
            </w:r>
          </w:p>
        </w:tc>
        <w:tc>
          <w:tcPr>
            <w:tcW w:w="1001" w:type="dxa"/>
            <w:hideMark/>
          </w:tcPr>
          <w:p w14:paraId="7E2C6165" w14:textId="285D5575" w:rsidR="00C915EF" w:rsidRPr="00C915EF" w:rsidRDefault="00C915EF" w:rsidP="00C915EF">
            <w:pPr>
              <w:spacing w:after="160" w:line="278" w:lineRule="auto"/>
              <w:jc w:val="distribute"/>
              <w:rPr>
                <w:rFonts w:ascii="Google Sans" w:hAnsi="Google Sans" w:cs="Google Sans"/>
                <w:b/>
                <w:bCs/>
              </w:rPr>
            </w:pPr>
            <w:r w:rsidRPr="00C915EF">
              <w:rPr>
                <w:rFonts w:ascii="Google Sans" w:hAnsi="Google Sans" w:cs="Google Sans"/>
                <w:b/>
                <w:bCs/>
              </w:rPr>
              <w:t xml:space="preserve">2027 </w:t>
            </w:r>
            <w:r>
              <w:rPr>
                <w:rFonts w:ascii="Google Sans" w:hAnsi="Google Sans" w:cs="Google Sans"/>
                <w:b/>
                <w:bCs/>
              </w:rPr>
              <w:t>B</w:t>
            </w:r>
            <w:r w:rsidRPr="00C915EF">
              <w:rPr>
                <w:rFonts w:ascii="Google Sans" w:hAnsi="Google Sans" w:cs="Google Sans"/>
                <w:b/>
                <w:bCs/>
              </w:rPr>
              <w:t>ase</w:t>
            </w:r>
          </w:p>
        </w:tc>
        <w:tc>
          <w:tcPr>
            <w:tcW w:w="1419" w:type="dxa"/>
            <w:hideMark/>
          </w:tcPr>
          <w:p w14:paraId="07A15615" w14:textId="79C70F03" w:rsidR="00C915EF" w:rsidRPr="00C915EF" w:rsidRDefault="00C915EF" w:rsidP="00C915EF">
            <w:pPr>
              <w:spacing w:after="160" w:line="278" w:lineRule="auto"/>
              <w:jc w:val="distribute"/>
              <w:rPr>
                <w:rFonts w:ascii="Google Sans" w:hAnsi="Google Sans" w:cs="Google Sans"/>
                <w:b/>
                <w:bCs/>
              </w:rPr>
            </w:pPr>
            <w:r w:rsidRPr="00C915EF">
              <w:rPr>
                <w:rFonts w:ascii="Google Sans" w:hAnsi="Google Sans" w:cs="Google Sans"/>
                <w:b/>
                <w:bCs/>
              </w:rPr>
              <w:t xml:space="preserve">2027 SRE </w:t>
            </w:r>
            <w:r>
              <w:rPr>
                <w:rFonts w:ascii="Google Sans" w:hAnsi="Google Sans" w:cs="Google Sans"/>
                <w:b/>
                <w:bCs/>
              </w:rPr>
              <w:t>R</w:t>
            </w:r>
            <w:r w:rsidRPr="00C915EF">
              <w:rPr>
                <w:rFonts w:ascii="Google Sans" w:hAnsi="Google Sans" w:cs="Google Sans"/>
                <w:b/>
                <w:bCs/>
              </w:rPr>
              <w:t>eallocation</w:t>
            </w:r>
          </w:p>
        </w:tc>
        <w:tc>
          <w:tcPr>
            <w:tcW w:w="1480" w:type="dxa"/>
            <w:hideMark/>
          </w:tcPr>
          <w:p w14:paraId="537016CE" w14:textId="7BCCB6B8" w:rsidR="00C915EF" w:rsidRPr="00C915EF" w:rsidRDefault="00C915EF" w:rsidP="00C915EF">
            <w:pPr>
              <w:spacing w:after="160" w:line="278" w:lineRule="auto"/>
              <w:jc w:val="distribute"/>
              <w:rPr>
                <w:rFonts w:ascii="Google Sans" w:hAnsi="Google Sans" w:cs="Google Sans"/>
                <w:b/>
                <w:bCs/>
              </w:rPr>
            </w:pPr>
            <w:r w:rsidRPr="00C915EF">
              <w:rPr>
                <w:rFonts w:ascii="Google Sans" w:hAnsi="Google Sans" w:cs="Google Sans"/>
                <w:b/>
                <w:bCs/>
              </w:rPr>
              <w:t xml:space="preserve">2027 </w:t>
            </w:r>
            <w:r>
              <w:rPr>
                <w:rFonts w:ascii="Google Sans" w:hAnsi="Google Sans" w:cs="Google Sans"/>
                <w:b/>
                <w:bCs/>
              </w:rPr>
              <w:t>T</w:t>
            </w:r>
            <w:r w:rsidRPr="00C915EF">
              <w:rPr>
                <w:rFonts w:ascii="Google Sans" w:hAnsi="Google Sans" w:cs="Google Sans"/>
                <w:b/>
                <w:bCs/>
              </w:rPr>
              <w:t>otal</w:t>
            </w:r>
          </w:p>
        </w:tc>
      </w:tr>
      <w:tr w:rsidR="00C915EF" w:rsidRPr="00C915EF" w14:paraId="3F8B7308" w14:textId="77777777" w:rsidTr="00C915EF">
        <w:tc>
          <w:tcPr>
            <w:tcW w:w="0" w:type="auto"/>
            <w:hideMark/>
          </w:tcPr>
          <w:p w14:paraId="24F0F883" w14:textId="0B486924" w:rsidR="00C915EF" w:rsidRPr="00C915EF" w:rsidRDefault="00C915EF" w:rsidP="00C915EF">
            <w:pPr>
              <w:spacing w:after="160" w:line="278" w:lineRule="auto"/>
              <w:rPr>
                <w:rFonts w:ascii="Google Sans" w:hAnsi="Google Sans" w:cs="Google Sans"/>
              </w:rPr>
            </w:pPr>
            <w:r w:rsidRPr="00C915EF">
              <w:rPr>
                <w:rFonts w:ascii="Google Sans" w:hAnsi="Google Sans" w:cs="Google Sans"/>
              </w:rPr>
              <w:t>Cellulosic</w:t>
            </w:r>
          </w:p>
        </w:tc>
        <w:tc>
          <w:tcPr>
            <w:tcW w:w="0" w:type="auto"/>
            <w:hideMark/>
          </w:tcPr>
          <w:p w14:paraId="4B7A8651"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1.36</w:t>
            </w:r>
          </w:p>
        </w:tc>
        <w:tc>
          <w:tcPr>
            <w:tcW w:w="1447" w:type="dxa"/>
            <w:hideMark/>
          </w:tcPr>
          <w:p w14:paraId="367FAB44"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w:t>
            </w:r>
          </w:p>
        </w:tc>
        <w:tc>
          <w:tcPr>
            <w:tcW w:w="1007" w:type="dxa"/>
            <w:hideMark/>
          </w:tcPr>
          <w:p w14:paraId="5ADA2160"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1.36</w:t>
            </w:r>
          </w:p>
        </w:tc>
        <w:tc>
          <w:tcPr>
            <w:tcW w:w="1001" w:type="dxa"/>
            <w:hideMark/>
          </w:tcPr>
          <w:p w14:paraId="7D3F3943"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1.43</w:t>
            </w:r>
          </w:p>
        </w:tc>
        <w:tc>
          <w:tcPr>
            <w:tcW w:w="1419" w:type="dxa"/>
            <w:hideMark/>
          </w:tcPr>
          <w:p w14:paraId="7D84B3ED"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w:t>
            </w:r>
          </w:p>
        </w:tc>
        <w:tc>
          <w:tcPr>
            <w:tcW w:w="1480" w:type="dxa"/>
            <w:hideMark/>
          </w:tcPr>
          <w:p w14:paraId="66F77D36"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1.43</w:t>
            </w:r>
          </w:p>
        </w:tc>
      </w:tr>
      <w:tr w:rsidR="00C915EF" w:rsidRPr="00C915EF" w14:paraId="4DB7AD90" w14:textId="77777777" w:rsidTr="00C915EF">
        <w:tc>
          <w:tcPr>
            <w:tcW w:w="0" w:type="auto"/>
            <w:hideMark/>
          </w:tcPr>
          <w:p w14:paraId="63C8E1C1" w14:textId="77777777" w:rsidR="00C915EF" w:rsidRPr="00C915EF" w:rsidRDefault="00C915EF" w:rsidP="00C915EF">
            <w:pPr>
              <w:spacing w:after="160" w:line="278" w:lineRule="auto"/>
              <w:rPr>
                <w:rFonts w:ascii="Google Sans" w:hAnsi="Google Sans" w:cs="Google Sans"/>
              </w:rPr>
            </w:pPr>
            <w:r w:rsidRPr="00C915EF">
              <w:rPr>
                <w:rFonts w:ascii="Google Sans" w:hAnsi="Google Sans" w:cs="Google Sans"/>
              </w:rPr>
              <w:t>Biomass-based diesel</w:t>
            </w:r>
          </w:p>
        </w:tc>
        <w:tc>
          <w:tcPr>
            <w:tcW w:w="0" w:type="auto"/>
            <w:hideMark/>
          </w:tcPr>
          <w:p w14:paraId="2C899FE0"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8.86</w:t>
            </w:r>
          </w:p>
        </w:tc>
        <w:tc>
          <w:tcPr>
            <w:tcW w:w="1447" w:type="dxa"/>
            <w:hideMark/>
          </w:tcPr>
          <w:p w14:paraId="36C72A65"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0.21</w:t>
            </w:r>
          </w:p>
        </w:tc>
        <w:tc>
          <w:tcPr>
            <w:tcW w:w="1007" w:type="dxa"/>
            <w:hideMark/>
          </w:tcPr>
          <w:p w14:paraId="11B22C40"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9.07</w:t>
            </w:r>
          </w:p>
        </w:tc>
        <w:tc>
          <w:tcPr>
            <w:tcW w:w="1001" w:type="dxa"/>
            <w:hideMark/>
          </w:tcPr>
          <w:p w14:paraId="7B5858A1"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8.95</w:t>
            </w:r>
          </w:p>
        </w:tc>
        <w:tc>
          <w:tcPr>
            <w:tcW w:w="1419" w:type="dxa"/>
            <w:hideMark/>
          </w:tcPr>
          <w:p w14:paraId="074D2056"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0.25</w:t>
            </w:r>
          </w:p>
        </w:tc>
        <w:tc>
          <w:tcPr>
            <w:tcW w:w="1480" w:type="dxa"/>
            <w:hideMark/>
          </w:tcPr>
          <w:p w14:paraId="34DE42DB"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9.20</w:t>
            </w:r>
          </w:p>
        </w:tc>
      </w:tr>
      <w:tr w:rsidR="00C915EF" w:rsidRPr="00C915EF" w14:paraId="7C1BB188" w14:textId="77777777" w:rsidTr="00C915EF">
        <w:tc>
          <w:tcPr>
            <w:tcW w:w="0" w:type="auto"/>
            <w:hideMark/>
          </w:tcPr>
          <w:p w14:paraId="1A8A5DA2" w14:textId="77777777" w:rsidR="00C915EF" w:rsidRPr="00C915EF" w:rsidRDefault="00C915EF" w:rsidP="00C915EF">
            <w:pPr>
              <w:spacing w:after="160" w:line="278" w:lineRule="auto"/>
              <w:rPr>
                <w:rFonts w:ascii="Google Sans" w:hAnsi="Google Sans" w:cs="Google Sans"/>
              </w:rPr>
            </w:pPr>
            <w:r w:rsidRPr="00C915EF">
              <w:rPr>
                <w:rFonts w:ascii="Google Sans" w:hAnsi="Google Sans" w:cs="Google Sans"/>
              </w:rPr>
              <w:t>Advanced biofuel</w:t>
            </w:r>
          </w:p>
        </w:tc>
        <w:tc>
          <w:tcPr>
            <w:tcW w:w="0" w:type="auto"/>
            <w:hideMark/>
          </w:tcPr>
          <w:p w14:paraId="4936CE0B"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10.82</w:t>
            </w:r>
          </w:p>
        </w:tc>
        <w:tc>
          <w:tcPr>
            <w:tcW w:w="1447" w:type="dxa"/>
            <w:hideMark/>
          </w:tcPr>
          <w:p w14:paraId="568B4CB1"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0.28</w:t>
            </w:r>
          </w:p>
        </w:tc>
        <w:tc>
          <w:tcPr>
            <w:tcW w:w="1007" w:type="dxa"/>
            <w:hideMark/>
          </w:tcPr>
          <w:p w14:paraId="390A1431"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11.10</w:t>
            </w:r>
          </w:p>
        </w:tc>
        <w:tc>
          <w:tcPr>
            <w:tcW w:w="1001" w:type="dxa"/>
            <w:hideMark/>
          </w:tcPr>
          <w:p w14:paraId="52B5793C"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10.98</w:t>
            </w:r>
          </w:p>
        </w:tc>
        <w:tc>
          <w:tcPr>
            <w:tcW w:w="1419" w:type="dxa"/>
            <w:hideMark/>
          </w:tcPr>
          <w:p w14:paraId="16F8E00C"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0.34</w:t>
            </w:r>
          </w:p>
        </w:tc>
        <w:tc>
          <w:tcPr>
            <w:tcW w:w="1480" w:type="dxa"/>
            <w:hideMark/>
          </w:tcPr>
          <w:p w14:paraId="64B7D964"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11.32</w:t>
            </w:r>
          </w:p>
        </w:tc>
      </w:tr>
      <w:tr w:rsidR="00C915EF" w:rsidRPr="00C915EF" w14:paraId="1CBDBF71" w14:textId="77777777" w:rsidTr="00C915EF">
        <w:tc>
          <w:tcPr>
            <w:tcW w:w="0" w:type="auto"/>
            <w:hideMark/>
          </w:tcPr>
          <w:p w14:paraId="4D76B74D" w14:textId="77777777" w:rsidR="00C915EF" w:rsidRPr="00C915EF" w:rsidRDefault="00C915EF" w:rsidP="00C915EF">
            <w:pPr>
              <w:spacing w:after="160" w:line="278" w:lineRule="auto"/>
              <w:rPr>
                <w:rFonts w:ascii="Google Sans" w:hAnsi="Google Sans" w:cs="Google Sans"/>
              </w:rPr>
            </w:pPr>
            <w:r w:rsidRPr="00C915EF">
              <w:rPr>
                <w:rFonts w:ascii="Google Sans" w:hAnsi="Google Sans" w:cs="Google Sans"/>
              </w:rPr>
              <w:t>Total renewable fuel</w:t>
            </w:r>
          </w:p>
        </w:tc>
        <w:tc>
          <w:tcPr>
            <w:tcW w:w="0" w:type="auto"/>
            <w:hideMark/>
          </w:tcPr>
          <w:p w14:paraId="5E62D96A"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25.82</w:t>
            </w:r>
          </w:p>
        </w:tc>
        <w:tc>
          <w:tcPr>
            <w:tcW w:w="1447" w:type="dxa"/>
            <w:hideMark/>
          </w:tcPr>
          <w:p w14:paraId="113BAC8D"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0.99</w:t>
            </w:r>
          </w:p>
        </w:tc>
        <w:tc>
          <w:tcPr>
            <w:tcW w:w="1007" w:type="dxa"/>
            <w:hideMark/>
          </w:tcPr>
          <w:p w14:paraId="3957460F"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26.81</w:t>
            </w:r>
          </w:p>
        </w:tc>
        <w:tc>
          <w:tcPr>
            <w:tcW w:w="1001" w:type="dxa"/>
            <w:hideMark/>
          </w:tcPr>
          <w:p w14:paraId="64278710"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25.98</w:t>
            </w:r>
          </w:p>
        </w:tc>
        <w:tc>
          <w:tcPr>
            <w:tcW w:w="1419" w:type="dxa"/>
            <w:hideMark/>
          </w:tcPr>
          <w:p w14:paraId="5B7553F1"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1.04</w:t>
            </w:r>
          </w:p>
        </w:tc>
        <w:tc>
          <w:tcPr>
            <w:tcW w:w="1480" w:type="dxa"/>
            <w:hideMark/>
          </w:tcPr>
          <w:p w14:paraId="3F222A4E" w14:textId="77777777" w:rsidR="00C915EF" w:rsidRPr="00C915EF" w:rsidRDefault="00C915EF" w:rsidP="00C915EF">
            <w:pPr>
              <w:spacing w:after="160" w:line="278" w:lineRule="auto"/>
              <w:jc w:val="distribute"/>
              <w:rPr>
                <w:rFonts w:ascii="Google Sans" w:hAnsi="Google Sans" w:cs="Google Sans"/>
              </w:rPr>
            </w:pPr>
            <w:r w:rsidRPr="00C915EF">
              <w:rPr>
                <w:rFonts w:ascii="Google Sans" w:hAnsi="Google Sans" w:cs="Google Sans"/>
              </w:rPr>
              <w:t>27.02</w:t>
            </w:r>
          </w:p>
        </w:tc>
      </w:tr>
    </w:tbl>
    <w:p w14:paraId="7C2EA0DD" w14:textId="77777777" w:rsidR="00C915EF" w:rsidRDefault="00C915EF">
      <w:pPr>
        <w:rPr>
          <w:rFonts w:ascii="Google Sans" w:hAnsi="Google Sans" w:cs="Google Sans"/>
        </w:rPr>
      </w:pPr>
    </w:p>
    <w:p w14:paraId="5AF0AC88" w14:textId="24178CFB" w:rsidR="00C915EF" w:rsidRPr="00FF1844" w:rsidRDefault="00C915EF">
      <w:pPr>
        <w:rPr>
          <w:rFonts w:ascii="Google Sans" w:hAnsi="Google Sans" w:cs="Google Sans"/>
        </w:rPr>
      </w:pPr>
      <w:r>
        <w:rPr>
          <w:rFonts w:ascii="Google Sans" w:hAnsi="Google Sans" w:cs="Google Sans"/>
        </w:rPr>
        <w:t xml:space="preserve">While the rule establishes the guidelines for production volumes, actual total production volumes will depend, in part, on the undifferentiated advanced biofuel requirement. The </w:t>
      </w:r>
      <w:r w:rsidR="002E16B8">
        <w:rPr>
          <w:rFonts w:ascii="Google Sans" w:hAnsi="Google Sans" w:cs="Google Sans"/>
        </w:rPr>
        <w:t>nesting feature of RINs</w:t>
      </w:r>
    </w:p>
    <w:sectPr w:rsidR="00C915EF" w:rsidRPr="00FF1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panose1 w:val="00000000000000000000"/>
    <w:charset w:val="00"/>
    <w:family w:val="auto"/>
    <w:pitch w:val="variable"/>
    <w:sig w:usb0="E7FFAEFF" w:usb1="5000A4FB" w:usb2="00010A28" w:usb3="00000000" w:csb0="0001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44"/>
    <w:rsid w:val="000054FA"/>
    <w:rsid w:val="00007712"/>
    <w:rsid w:val="001D1ADE"/>
    <w:rsid w:val="002E16B8"/>
    <w:rsid w:val="00302BF7"/>
    <w:rsid w:val="00372AE2"/>
    <w:rsid w:val="004D1D0E"/>
    <w:rsid w:val="00665A6F"/>
    <w:rsid w:val="006C4B0A"/>
    <w:rsid w:val="007C2C3E"/>
    <w:rsid w:val="008A4E3C"/>
    <w:rsid w:val="00C915EF"/>
    <w:rsid w:val="00F77793"/>
    <w:rsid w:val="00FF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834E"/>
  <w15:chartTrackingRefBased/>
  <w15:docId w15:val="{A86905F6-1471-4D0D-AA99-6D364F44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844"/>
    <w:rPr>
      <w:rFonts w:eastAsiaTheme="majorEastAsia" w:cstheme="majorBidi"/>
      <w:color w:val="272727" w:themeColor="text1" w:themeTint="D8"/>
    </w:rPr>
  </w:style>
  <w:style w:type="paragraph" w:styleId="Title">
    <w:name w:val="Title"/>
    <w:basedOn w:val="Normal"/>
    <w:next w:val="Normal"/>
    <w:link w:val="TitleChar"/>
    <w:uiPriority w:val="10"/>
    <w:qFormat/>
    <w:rsid w:val="00FF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844"/>
    <w:pPr>
      <w:spacing w:before="160"/>
      <w:jc w:val="center"/>
    </w:pPr>
    <w:rPr>
      <w:i/>
      <w:iCs/>
      <w:color w:val="404040" w:themeColor="text1" w:themeTint="BF"/>
    </w:rPr>
  </w:style>
  <w:style w:type="character" w:customStyle="1" w:styleId="QuoteChar">
    <w:name w:val="Quote Char"/>
    <w:basedOn w:val="DefaultParagraphFont"/>
    <w:link w:val="Quote"/>
    <w:uiPriority w:val="29"/>
    <w:rsid w:val="00FF1844"/>
    <w:rPr>
      <w:i/>
      <w:iCs/>
      <w:color w:val="404040" w:themeColor="text1" w:themeTint="BF"/>
    </w:rPr>
  </w:style>
  <w:style w:type="paragraph" w:styleId="ListParagraph">
    <w:name w:val="List Paragraph"/>
    <w:basedOn w:val="Normal"/>
    <w:uiPriority w:val="34"/>
    <w:qFormat/>
    <w:rsid w:val="00FF1844"/>
    <w:pPr>
      <w:ind w:left="720"/>
      <w:contextualSpacing/>
    </w:pPr>
  </w:style>
  <w:style w:type="character" w:styleId="IntenseEmphasis">
    <w:name w:val="Intense Emphasis"/>
    <w:basedOn w:val="DefaultParagraphFont"/>
    <w:uiPriority w:val="21"/>
    <w:qFormat/>
    <w:rsid w:val="00FF1844"/>
    <w:rPr>
      <w:i/>
      <w:iCs/>
      <w:color w:val="0F4761" w:themeColor="accent1" w:themeShade="BF"/>
    </w:rPr>
  </w:style>
  <w:style w:type="paragraph" w:styleId="IntenseQuote">
    <w:name w:val="Intense Quote"/>
    <w:basedOn w:val="Normal"/>
    <w:next w:val="Normal"/>
    <w:link w:val="IntenseQuoteChar"/>
    <w:uiPriority w:val="30"/>
    <w:qFormat/>
    <w:rsid w:val="00FF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844"/>
    <w:rPr>
      <w:i/>
      <w:iCs/>
      <w:color w:val="0F4761" w:themeColor="accent1" w:themeShade="BF"/>
    </w:rPr>
  </w:style>
  <w:style w:type="character" w:styleId="IntenseReference">
    <w:name w:val="Intense Reference"/>
    <w:basedOn w:val="DefaultParagraphFont"/>
    <w:uiPriority w:val="32"/>
    <w:qFormat/>
    <w:rsid w:val="00FF1844"/>
    <w:rPr>
      <w:b/>
      <w:bCs/>
      <w:smallCaps/>
      <w:color w:val="0F4761" w:themeColor="accent1" w:themeShade="BF"/>
      <w:spacing w:val="5"/>
    </w:rPr>
  </w:style>
  <w:style w:type="table" w:styleId="TableGrid">
    <w:name w:val="Table Grid"/>
    <w:basedOn w:val="TableNormal"/>
    <w:uiPriority w:val="39"/>
    <w:rsid w:val="00C91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2026-06-02T10:45:00Z</dcterms:created>
  <dcterms:modified xsi:type="dcterms:W3CDTF">2026-06-05T10:31:00Z</dcterms:modified>
</cp:coreProperties>
</file>