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E27A" w14:textId="77777777" w:rsidR="00396B0A" w:rsidRDefault="00000000">
      <w:pPr>
        <w:pStyle w:val="Heading1"/>
      </w:pPr>
      <w:bookmarkStart w:id="0" w:name="header"/>
      <w:bookmarkStart w:id="1" w:name="Xba8e7dec5defc323ab8cec2bc220f6d0e02eda7"/>
      <w:bookmarkStart w:id="2" w:name="content"/>
      <w:bookmarkEnd w:id="0"/>
      <w:r>
        <w:t>Biomass-Based Diesel and Feedstock Markets Monthly Summary</w:t>
      </w:r>
    </w:p>
    <w:p w14:paraId="1EEB1CB1" w14:textId="77777777" w:rsidR="00396B0A" w:rsidRDefault="00000000">
      <w:pPr>
        <w:pStyle w:val="Heading2"/>
      </w:pPr>
      <w:bookmarkStart w:id="3" w:name="executive-summary"/>
      <w:r>
        <w:t>Executive summary</w:t>
      </w:r>
    </w:p>
    <w:p w14:paraId="3CB878E2" w14:textId="77777777" w:rsidR="00396B0A" w:rsidRDefault="00000000">
      <w:pPr>
        <w:pStyle w:val="Compact"/>
        <w:numPr>
          <w:ilvl w:val="0"/>
          <w:numId w:val="2"/>
        </w:numPr>
      </w:pPr>
      <w:r>
        <w:t xml:space="preserve">The latest federal demand signal is materially stronger than the 2025 proposal: the </w:t>
      </w:r>
      <w:r>
        <w:rPr>
          <w:b/>
          <w:bCs/>
        </w:rPr>
        <w:t>final RFS “Set 2” rule</w:t>
      </w:r>
      <w:r>
        <w:t xml:space="preserve"> sets </w:t>
      </w:r>
      <w:r>
        <w:rPr>
          <w:b/>
          <w:bCs/>
        </w:rPr>
        <w:t>biomass-based diesel (BBD)</w:t>
      </w:r>
      <w:r>
        <w:t xml:space="preserve"> at </w:t>
      </w:r>
      <w:r>
        <w:rPr>
          <w:b/>
          <w:bCs/>
        </w:rPr>
        <w:t>9.07</w:t>
      </w:r>
      <w:r>
        <w:t xml:space="preserve"> (2026) and </w:t>
      </w:r>
      <w:r>
        <w:rPr>
          <w:b/>
          <w:bCs/>
        </w:rPr>
        <w:t>9.20</w:t>
      </w:r>
      <w:r>
        <w:t xml:space="preserve"> (2027) </w:t>
      </w:r>
      <w:r>
        <w:rPr>
          <w:b/>
          <w:bCs/>
        </w:rPr>
        <w:t>billion RINs</w:t>
      </w:r>
      <w:r>
        <w:t xml:space="preserve"> (total applicable volumes, incl. SRE reallocation), and includes several structural program changes (notably removing renewable electricity/eRINs). </w:t>
      </w:r>
      <w:hyperlink r:id="rId5">
        <w:r>
          <w:rPr>
            <w:rStyle w:val="Hyperlink"/>
          </w:rPr>
          <w:t>[1]</w:t>
        </w:r>
      </w:hyperlink>
    </w:p>
    <w:p w14:paraId="0C0253FD" w14:textId="77777777" w:rsidR="00396B0A" w:rsidRDefault="00000000">
      <w:pPr>
        <w:pStyle w:val="Compact"/>
        <w:numPr>
          <w:ilvl w:val="0"/>
          <w:numId w:val="2"/>
        </w:numPr>
      </w:pPr>
      <w:r>
        <w:rPr>
          <w:b/>
          <w:bCs/>
        </w:rPr>
        <w:t>Feedstock pricing remains elevated and highly sensitive to policy certainty and diesel-side margins</w:t>
      </w:r>
      <w:r>
        <w:t xml:space="preserve">: the latest USDA weekly snapshot shows </w:t>
      </w:r>
      <w:r>
        <w:rPr>
          <w:b/>
          <w:bCs/>
        </w:rPr>
        <w:t>Central Illinois crude soybean oil ~68¢/lb</w:t>
      </w:r>
      <w:r>
        <w:t xml:space="preserve"> (range 67.94–68.94¢/lb, week ending </w:t>
      </w:r>
      <w:r>
        <w:rPr>
          <w:b/>
          <w:bCs/>
        </w:rPr>
        <w:t>Apr 3, 2026</w:t>
      </w:r>
      <w:r>
        <w:t xml:space="preserve">), </w:t>
      </w:r>
      <w:r>
        <w:rPr>
          <w:b/>
          <w:bCs/>
        </w:rPr>
        <w:t>yellow grease ~44–56¢/lb</w:t>
      </w:r>
      <w:r>
        <w:t xml:space="preserve"> depending on region, and Chicago </w:t>
      </w:r>
      <w:r>
        <w:rPr>
          <w:b/>
          <w:bCs/>
        </w:rPr>
        <w:t>bleachable tallow ~$74–75/cwt</w:t>
      </w:r>
      <w:r>
        <w:t xml:space="preserve"> (report period </w:t>
      </w:r>
      <w:r>
        <w:rPr>
          <w:b/>
          <w:bCs/>
        </w:rPr>
        <w:t>Mar 30–Apr 3, 2026</w:t>
      </w:r>
      <w:r>
        <w:t xml:space="preserve">). </w:t>
      </w:r>
      <w:hyperlink r:id="rId6">
        <w:r>
          <w:rPr>
            <w:rStyle w:val="Hyperlink"/>
          </w:rPr>
          <w:t>[2]</w:t>
        </w:r>
      </w:hyperlink>
    </w:p>
    <w:p w14:paraId="505CDB3D" w14:textId="77777777" w:rsidR="00396B0A" w:rsidRDefault="00000000">
      <w:pPr>
        <w:pStyle w:val="Compact"/>
        <w:numPr>
          <w:ilvl w:val="0"/>
          <w:numId w:val="2"/>
        </w:numPr>
      </w:pPr>
      <w:r>
        <w:rPr>
          <w:b/>
          <w:bCs/>
        </w:rPr>
        <w:t>Renewable diesel remains the dominant growth platform in U.S. biomass-based diesel</w:t>
      </w:r>
      <w:r>
        <w:t xml:space="preserve">, and U.S. operable capacity is structurally RD-weighted: </w:t>
      </w:r>
      <w:r>
        <w:rPr>
          <w:b/>
          <w:bCs/>
        </w:rPr>
        <w:t>renewable diesel &amp; other biofuels capacity ~4,719 MMgal/yr (308 kb/d)</w:t>
      </w:r>
      <w:r>
        <w:t xml:space="preserve"> vs. </w:t>
      </w:r>
      <w:r>
        <w:rPr>
          <w:b/>
          <w:bCs/>
        </w:rPr>
        <w:t>biodiesel capacity ~1,986 MMgal/yr (130 kb/d)</w:t>
      </w:r>
      <w:r>
        <w:t xml:space="preserve"> as of </w:t>
      </w:r>
      <w:r>
        <w:rPr>
          <w:b/>
          <w:bCs/>
        </w:rPr>
        <w:t>Jan 1, 2025</w:t>
      </w:r>
      <w:r>
        <w:t xml:space="preserve">. </w:t>
      </w:r>
      <w:hyperlink r:id="rId7">
        <w:r>
          <w:rPr>
            <w:rStyle w:val="Hyperlink"/>
          </w:rPr>
          <w:t>[3]</w:t>
        </w:r>
      </w:hyperlink>
    </w:p>
    <w:p w14:paraId="15539432" w14:textId="77777777" w:rsidR="00396B0A" w:rsidRDefault="00000000">
      <w:pPr>
        <w:pStyle w:val="Compact"/>
        <w:numPr>
          <w:ilvl w:val="0"/>
          <w:numId w:val="2"/>
        </w:numPr>
      </w:pPr>
      <w:r>
        <w:rPr>
          <w:b/>
          <w:bCs/>
        </w:rPr>
        <w:t>Market balancing in 2025 shows up clearly in EIA time series</w:t>
      </w:r>
      <w:r>
        <w:t xml:space="preserve">: biodiesel production rates were generally </w:t>
      </w:r>
      <w:r>
        <w:rPr>
          <w:b/>
          <w:bCs/>
        </w:rPr>
        <w:t>higher in 2024</w:t>
      </w:r>
      <w:r>
        <w:t xml:space="preserve"> than in 2025 (data availability varies by month), while renewable diesel production stayed around the </w:t>
      </w:r>
      <w:r>
        <w:rPr>
          <w:b/>
          <w:bCs/>
        </w:rPr>
        <w:t>high-100s to low-200s kb/d</w:t>
      </w:r>
      <w:r>
        <w:t xml:space="preserve"> through late 2025. Bulk-terminal biodiesel inventories declined from early-2024 highs into mid-2025 before rebuilding later in 2025. </w:t>
      </w:r>
      <w:hyperlink r:id="rId8">
        <w:r>
          <w:rPr>
            <w:rStyle w:val="Hyperlink"/>
          </w:rPr>
          <w:t>[4]</w:t>
        </w:r>
      </w:hyperlink>
    </w:p>
    <w:p w14:paraId="4268FE42" w14:textId="77777777" w:rsidR="00396B0A" w:rsidRDefault="00000000">
      <w:pPr>
        <w:pStyle w:val="Compact"/>
        <w:numPr>
          <w:ilvl w:val="0"/>
          <w:numId w:val="2"/>
        </w:numPr>
      </w:pPr>
      <w:r>
        <w:rPr>
          <w:b/>
          <w:bCs/>
        </w:rPr>
        <w:t>Short-term (next 1–3 months) decision risk is concentrated in credit-stack rules and verification</w:t>
      </w:r>
      <w:r>
        <w:t xml:space="preserve">: Treasury/IRS issued </w:t>
      </w:r>
      <w:r>
        <w:rPr>
          <w:b/>
          <w:bCs/>
        </w:rPr>
        <w:t>proposed 45Z regulations (Feb 3, 2026)</w:t>
      </w:r>
      <w:r>
        <w:t xml:space="preserve"> that clarify eligibility, emissions-rate determination, and registration requirements (including IRS registration via </w:t>
      </w:r>
      <w:r>
        <w:rPr>
          <w:b/>
          <w:bCs/>
        </w:rPr>
        <w:t>Form 637</w:t>
      </w:r>
      <w:r>
        <w:t xml:space="preserve">), but the final construct still represents a major swing factor for margins and contracting. </w:t>
      </w:r>
      <w:hyperlink r:id="rId9">
        <w:r>
          <w:rPr>
            <w:rStyle w:val="Hyperlink"/>
          </w:rPr>
          <w:t>[5]</w:t>
        </w:r>
      </w:hyperlink>
    </w:p>
    <w:p w14:paraId="50EEF760" w14:textId="77777777" w:rsidR="00396B0A" w:rsidRDefault="00000000">
      <w:pPr>
        <w:pStyle w:val="Heading2"/>
      </w:pPr>
      <w:bookmarkStart w:id="4" w:name="market-overview"/>
      <w:bookmarkEnd w:id="3"/>
      <w:r>
        <w:t>Market overview</w:t>
      </w:r>
    </w:p>
    <w:p w14:paraId="7A951010" w14:textId="77777777" w:rsidR="00396B0A" w:rsidRDefault="00000000">
      <w:pPr>
        <w:pStyle w:val="Heading3"/>
      </w:pPr>
      <w:bookmarkStart w:id="5" w:name="dashboard-of-market-relevant-indicators"/>
      <w:r>
        <w:t>Dashboard of market-relevant indicators</w:t>
      </w:r>
    </w:p>
    <w:p w14:paraId="43962F1F" w14:textId="77777777" w:rsidR="00396B0A" w:rsidRDefault="00000000">
      <w:pPr>
        <w:pStyle w:val="FirstParagraph"/>
      </w:pPr>
      <w:r>
        <w:rPr>
          <w:b/>
          <w:bCs/>
        </w:rPr>
        <w:t>Prices (latest available, nominal):</w:t>
      </w:r>
    </w:p>
    <w:tbl>
      <w:tblPr>
        <w:tblStyle w:val="Table"/>
        <w:tblW w:w="0" w:type="auto"/>
        <w:tblLook w:val="0020" w:firstRow="1" w:lastRow="0" w:firstColumn="0" w:lastColumn="0" w:noHBand="0" w:noVBand="0"/>
      </w:tblPr>
      <w:tblGrid>
        <w:gridCol w:w="2230"/>
        <w:gridCol w:w="2452"/>
        <w:gridCol w:w="4678"/>
      </w:tblGrid>
      <w:tr w:rsidR="00396B0A" w14:paraId="01B6ADF7" w14:textId="77777777" w:rsidTr="00396B0A">
        <w:trPr>
          <w:cnfStyle w:val="100000000000" w:firstRow="1" w:lastRow="0" w:firstColumn="0" w:lastColumn="0" w:oddVBand="0" w:evenVBand="0" w:oddHBand="0" w:evenHBand="0" w:firstRowFirstColumn="0" w:firstRowLastColumn="0" w:lastRowFirstColumn="0" w:lastRowLastColumn="0"/>
          <w:tblHeader/>
        </w:trPr>
        <w:tc>
          <w:tcPr>
            <w:tcW w:w="0" w:type="auto"/>
          </w:tcPr>
          <w:p w14:paraId="739A9518" w14:textId="77777777" w:rsidR="00396B0A" w:rsidRDefault="00000000">
            <w:pPr>
              <w:pStyle w:val="Compact"/>
            </w:pPr>
            <w:r>
              <w:t>Indicator</w:t>
            </w:r>
          </w:p>
        </w:tc>
        <w:tc>
          <w:tcPr>
            <w:tcW w:w="0" w:type="auto"/>
          </w:tcPr>
          <w:p w14:paraId="0C56BBF3" w14:textId="77777777" w:rsidR="00396B0A" w:rsidRDefault="00000000">
            <w:pPr>
              <w:pStyle w:val="Compact"/>
              <w:jc w:val="right"/>
            </w:pPr>
            <w:r>
              <w:t>Latest value (date basis)</w:t>
            </w:r>
          </w:p>
        </w:tc>
        <w:tc>
          <w:tcPr>
            <w:tcW w:w="0" w:type="auto"/>
          </w:tcPr>
          <w:p w14:paraId="76750110" w14:textId="77777777" w:rsidR="00396B0A" w:rsidRDefault="00000000">
            <w:pPr>
              <w:pStyle w:val="Compact"/>
            </w:pPr>
            <w:r>
              <w:t>Notes</w:t>
            </w:r>
          </w:p>
        </w:tc>
      </w:tr>
      <w:tr w:rsidR="00396B0A" w14:paraId="14FED2FB" w14:textId="77777777">
        <w:tc>
          <w:tcPr>
            <w:tcW w:w="0" w:type="auto"/>
          </w:tcPr>
          <w:p w14:paraId="583C869D" w14:textId="77777777" w:rsidR="00396B0A" w:rsidRDefault="00000000">
            <w:pPr>
              <w:pStyle w:val="Compact"/>
            </w:pPr>
            <w:r>
              <w:t>Central IL crude soybean oil</w:t>
            </w:r>
          </w:p>
        </w:tc>
        <w:tc>
          <w:tcPr>
            <w:tcW w:w="0" w:type="auto"/>
          </w:tcPr>
          <w:p w14:paraId="2505237C" w14:textId="77777777" w:rsidR="00396B0A" w:rsidRDefault="00000000">
            <w:pPr>
              <w:pStyle w:val="Compact"/>
              <w:jc w:val="right"/>
            </w:pPr>
            <w:r>
              <w:rPr>
                <w:b/>
                <w:bCs/>
              </w:rPr>
              <w:t>67.94–68.94 ¢/lb</w:t>
            </w:r>
            <w:r>
              <w:t xml:space="preserve"> (W/E Apr 3, 2026)</w:t>
            </w:r>
          </w:p>
        </w:tc>
        <w:tc>
          <w:tcPr>
            <w:tcW w:w="0" w:type="auto"/>
          </w:tcPr>
          <w:p w14:paraId="512F0C7C" w14:textId="77777777" w:rsidR="00396B0A" w:rsidRDefault="00000000">
            <w:pPr>
              <w:pStyle w:val="Compact"/>
            </w:pPr>
            <w:r>
              <w:t xml:space="preserve">USDA weekly ag energy round-up; regionally quoted ranges. </w:t>
            </w:r>
            <w:hyperlink r:id="rId10">
              <w:r>
                <w:rPr>
                  <w:rStyle w:val="Hyperlink"/>
                </w:rPr>
                <w:t>[6]</w:t>
              </w:r>
            </w:hyperlink>
          </w:p>
        </w:tc>
      </w:tr>
      <w:tr w:rsidR="00396B0A" w14:paraId="29B422E0" w14:textId="77777777">
        <w:tc>
          <w:tcPr>
            <w:tcW w:w="0" w:type="auto"/>
          </w:tcPr>
          <w:p w14:paraId="0EF0AA2C" w14:textId="77777777" w:rsidR="00396B0A" w:rsidRDefault="00000000">
            <w:pPr>
              <w:pStyle w:val="Compact"/>
            </w:pPr>
            <w:r>
              <w:t>Yellow grease (MN)</w:t>
            </w:r>
          </w:p>
        </w:tc>
        <w:tc>
          <w:tcPr>
            <w:tcW w:w="0" w:type="auto"/>
          </w:tcPr>
          <w:p w14:paraId="41BD1C4C" w14:textId="77777777" w:rsidR="00396B0A" w:rsidRDefault="00000000">
            <w:pPr>
              <w:pStyle w:val="Compact"/>
              <w:jc w:val="right"/>
            </w:pPr>
            <w:r>
              <w:rPr>
                <w:b/>
                <w:bCs/>
              </w:rPr>
              <w:t>44–48 ¢/lb</w:t>
            </w:r>
            <w:r>
              <w:t xml:space="preserve"> (report period Mar 30–Apr 3, </w:t>
            </w:r>
            <w:r>
              <w:lastRenderedPageBreak/>
              <w:t>2026)</w:t>
            </w:r>
          </w:p>
        </w:tc>
        <w:tc>
          <w:tcPr>
            <w:tcW w:w="0" w:type="auto"/>
          </w:tcPr>
          <w:p w14:paraId="0EF35FF0" w14:textId="77777777" w:rsidR="00396B0A" w:rsidRDefault="00000000">
            <w:pPr>
              <w:pStyle w:val="Compact"/>
            </w:pPr>
            <w:r>
              <w:lastRenderedPageBreak/>
              <w:t xml:space="preserve">USDA animal by-product feedstuff report. </w:t>
            </w:r>
            <w:hyperlink r:id="rId11">
              <w:r>
                <w:rPr>
                  <w:rStyle w:val="Hyperlink"/>
                </w:rPr>
                <w:t>[7]</w:t>
              </w:r>
            </w:hyperlink>
          </w:p>
        </w:tc>
      </w:tr>
      <w:tr w:rsidR="00396B0A" w14:paraId="6A96B74B" w14:textId="77777777">
        <w:tc>
          <w:tcPr>
            <w:tcW w:w="0" w:type="auto"/>
          </w:tcPr>
          <w:p w14:paraId="7EAAB70D" w14:textId="77777777" w:rsidR="00396B0A" w:rsidRDefault="00000000">
            <w:pPr>
              <w:pStyle w:val="Compact"/>
            </w:pPr>
            <w:r>
              <w:t>Yellow grease (CA, San Joaquin Valley)</w:t>
            </w:r>
          </w:p>
        </w:tc>
        <w:tc>
          <w:tcPr>
            <w:tcW w:w="0" w:type="auto"/>
          </w:tcPr>
          <w:p w14:paraId="763D5918" w14:textId="77777777" w:rsidR="00396B0A" w:rsidRDefault="00000000">
            <w:pPr>
              <w:pStyle w:val="Compact"/>
              <w:jc w:val="right"/>
            </w:pPr>
            <w:r>
              <w:rPr>
                <w:b/>
                <w:bCs/>
              </w:rPr>
              <w:t>50–56 ¢/lb</w:t>
            </w:r>
            <w:r>
              <w:t xml:space="preserve"> (report period Mar 30–Apr 3, 2026)</w:t>
            </w:r>
          </w:p>
        </w:tc>
        <w:tc>
          <w:tcPr>
            <w:tcW w:w="0" w:type="auto"/>
          </w:tcPr>
          <w:p w14:paraId="2A8FD2CC" w14:textId="77777777" w:rsidR="00396B0A" w:rsidRDefault="00000000">
            <w:pPr>
              <w:pStyle w:val="Compact"/>
            </w:pPr>
            <w:r>
              <w:t xml:space="preserve">USDA animal by-product feedstuff report. </w:t>
            </w:r>
            <w:hyperlink r:id="rId12">
              <w:r>
                <w:rPr>
                  <w:rStyle w:val="Hyperlink"/>
                </w:rPr>
                <w:t>[7]</w:t>
              </w:r>
            </w:hyperlink>
          </w:p>
        </w:tc>
      </w:tr>
      <w:tr w:rsidR="00396B0A" w14:paraId="3FC2C3BA" w14:textId="77777777">
        <w:tc>
          <w:tcPr>
            <w:tcW w:w="0" w:type="auto"/>
          </w:tcPr>
          <w:p w14:paraId="3302BA9F" w14:textId="77777777" w:rsidR="00396B0A" w:rsidRDefault="00000000">
            <w:pPr>
              <w:pStyle w:val="Compact"/>
            </w:pPr>
            <w:r>
              <w:t>Bleachable tallow (Chicago, inedible)</w:t>
            </w:r>
          </w:p>
        </w:tc>
        <w:tc>
          <w:tcPr>
            <w:tcW w:w="0" w:type="auto"/>
          </w:tcPr>
          <w:p w14:paraId="0ABE41B4" w14:textId="77777777" w:rsidR="00396B0A" w:rsidRDefault="00000000">
            <w:pPr>
              <w:pStyle w:val="Compact"/>
              <w:jc w:val="right"/>
            </w:pPr>
            <w:r>
              <w:rPr>
                <w:b/>
                <w:bCs/>
              </w:rPr>
              <w:t>$74–75/cwt</w:t>
            </w:r>
            <w:r>
              <w:t xml:space="preserve"> (report period Mar 30–Apr 3, 2026)</w:t>
            </w:r>
          </w:p>
        </w:tc>
        <w:tc>
          <w:tcPr>
            <w:tcW w:w="0" w:type="auto"/>
          </w:tcPr>
          <w:p w14:paraId="3FEB44FF" w14:textId="77777777" w:rsidR="00396B0A" w:rsidRDefault="00000000">
            <w:pPr>
              <w:pStyle w:val="Compact"/>
            </w:pPr>
            <w:r>
              <w:t xml:space="preserve">USDA weekly tallow &amp; protein report. </w:t>
            </w:r>
            <w:hyperlink r:id="rId13">
              <w:r>
                <w:rPr>
                  <w:rStyle w:val="Hyperlink"/>
                </w:rPr>
                <w:t>[8]</w:t>
              </w:r>
            </w:hyperlink>
          </w:p>
        </w:tc>
      </w:tr>
      <w:tr w:rsidR="00396B0A" w14:paraId="055B629D" w14:textId="77777777">
        <w:tc>
          <w:tcPr>
            <w:tcW w:w="0" w:type="auto"/>
          </w:tcPr>
          <w:p w14:paraId="2DDB8F49" w14:textId="77777777" w:rsidR="00396B0A" w:rsidRDefault="00000000">
            <w:pPr>
              <w:pStyle w:val="Compact"/>
            </w:pPr>
            <w:r>
              <w:t>Technical tallow (Chicago, edible)</w:t>
            </w:r>
          </w:p>
        </w:tc>
        <w:tc>
          <w:tcPr>
            <w:tcW w:w="0" w:type="auto"/>
          </w:tcPr>
          <w:p w14:paraId="5B14BFC1" w14:textId="77777777" w:rsidR="00396B0A" w:rsidRDefault="00000000">
            <w:pPr>
              <w:pStyle w:val="Compact"/>
              <w:jc w:val="right"/>
            </w:pPr>
            <w:r>
              <w:rPr>
                <w:b/>
                <w:bCs/>
              </w:rPr>
              <w:t>$76/cwt</w:t>
            </w:r>
            <w:r>
              <w:t xml:space="preserve"> (report period Mar 30–Apr 3, 2026)</w:t>
            </w:r>
          </w:p>
        </w:tc>
        <w:tc>
          <w:tcPr>
            <w:tcW w:w="0" w:type="auto"/>
          </w:tcPr>
          <w:p w14:paraId="460D3FF5" w14:textId="77777777" w:rsidR="00396B0A" w:rsidRDefault="00000000">
            <w:pPr>
              <w:pStyle w:val="Compact"/>
            </w:pPr>
            <w:r>
              <w:t xml:space="preserve">USDA weekly tallow &amp; protein report. </w:t>
            </w:r>
            <w:hyperlink r:id="rId14">
              <w:r>
                <w:rPr>
                  <w:rStyle w:val="Hyperlink"/>
                </w:rPr>
                <w:t>[8]</w:t>
              </w:r>
            </w:hyperlink>
          </w:p>
        </w:tc>
      </w:tr>
      <w:tr w:rsidR="00396B0A" w14:paraId="7E184B2B" w14:textId="77777777">
        <w:tc>
          <w:tcPr>
            <w:tcW w:w="0" w:type="auto"/>
          </w:tcPr>
          <w:p w14:paraId="1DE2D4E3" w14:textId="77777777" w:rsidR="00396B0A" w:rsidRDefault="00000000">
            <w:pPr>
              <w:pStyle w:val="Compact"/>
            </w:pPr>
            <w:r>
              <w:t>California LCFS credit (weekly VWAP)</w:t>
            </w:r>
          </w:p>
        </w:tc>
        <w:tc>
          <w:tcPr>
            <w:tcW w:w="0" w:type="auto"/>
          </w:tcPr>
          <w:p w14:paraId="220DD69E" w14:textId="77777777" w:rsidR="00396B0A" w:rsidRDefault="00000000">
            <w:pPr>
              <w:pStyle w:val="Compact"/>
              <w:jc w:val="right"/>
            </w:pPr>
            <w:r>
              <w:rPr>
                <w:b/>
                <w:bCs/>
              </w:rPr>
              <w:t>$68.59/MT</w:t>
            </w:r>
            <w:r>
              <w:t xml:space="preserve"> (Feb 23–Mar 1, 2026)</w:t>
            </w:r>
          </w:p>
        </w:tc>
        <w:tc>
          <w:tcPr>
            <w:tcW w:w="0" w:type="auto"/>
          </w:tcPr>
          <w:p w14:paraId="07EF3030" w14:textId="77777777" w:rsidR="00396B0A" w:rsidRDefault="00000000">
            <w:pPr>
              <w:pStyle w:val="Compact"/>
            </w:pPr>
            <w:r>
              <w:t xml:space="preserve">CARB weekly snapshot; includes range and volume. </w:t>
            </w:r>
            <w:hyperlink r:id="rId15">
              <w:r>
                <w:rPr>
                  <w:rStyle w:val="Hyperlink"/>
                </w:rPr>
                <w:t>[9]</w:t>
              </w:r>
            </w:hyperlink>
          </w:p>
        </w:tc>
      </w:tr>
      <w:tr w:rsidR="00396B0A" w14:paraId="00EE69C6" w14:textId="77777777">
        <w:tc>
          <w:tcPr>
            <w:tcW w:w="0" w:type="auto"/>
          </w:tcPr>
          <w:p w14:paraId="0508B77F" w14:textId="77777777" w:rsidR="00396B0A" w:rsidRDefault="00000000">
            <w:pPr>
              <w:pStyle w:val="Compact"/>
            </w:pPr>
            <w:r>
              <w:t>D4 RIN (market snapshot)</w:t>
            </w:r>
          </w:p>
        </w:tc>
        <w:tc>
          <w:tcPr>
            <w:tcW w:w="0" w:type="auto"/>
          </w:tcPr>
          <w:p w14:paraId="3A7434D1" w14:textId="77777777" w:rsidR="00396B0A" w:rsidRDefault="00000000">
            <w:pPr>
              <w:pStyle w:val="Compact"/>
              <w:jc w:val="right"/>
            </w:pPr>
            <w:r>
              <w:rPr>
                <w:b/>
                <w:bCs/>
              </w:rPr>
              <w:t>$1.525</w:t>
            </w:r>
            <w:r>
              <w:t xml:space="preserve"> (Mar 13, 2026)</w:t>
            </w:r>
          </w:p>
        </w:tc>
        <w:tc>
          <w:tcPr>
            <w:tcW w:w="0" w:type="auto"/>
          </w:tcPr>
          <w:p w14:paraId="171AF9D0" w14:textId="77777777" w:rsidR="00396B0A" w:rsidRDefault="00000000">
            <w:pPr>
              <w:pStyle w:val="Compact"/>
            </w:pPr>
            <w:r>
              <w:t xml:space="preserve">Published market commentary; EPA also publishes EMTS-based weekly VWAP series via its public interface. </w:t>
            </w:r>
            <w:hyperlink r:id="rId16">
              <w:r>
                <w:rPr>
                  <w:rStyle w:val="Hyperlink"/>
                </w:rPr>
                <w:t>[10]</w:t>
              </w:r>
            </w:hyperlink>
          </w:p>
        </w:tc>
      </w:tr>
    </w:tbl>
    <w:p w14:paraId="555C6FCD" w14:textId="77777777" w:rsidR="00396B0A" w:rsidRDefault="00000000">
      <w:pPr>
        <w:pStyle w:val="BodyText"/>
      </w:pPr>
      <w:r>
        <w:rPr>
          <w:b/>
          <w:bCs/>
        </w:rPr>
        <w:t>Production, inventories, and capacity (latest published points in major public series):</w:t>
      </w:r>
    </w:p>
    <w:p w14:paraId="5639DF05" w14:textId="77777777" w:rsidR="00396B0A" w:rsidRDefault="00000000">
      <w:pPr>
        <w:pStyle w:val="Compact"/>
        <w:numPr>
          <w:ilvl w:val="0"/>
          <w:numId w:val="3"/>
        </w:numPr>
      </w:pPr>
      <w:r>
        <w:rPr>
          <w:b/>
          <w:bCs/>
        </w:rPr>
        <w:t>Capacity (U.S., operable, as of Jan 1, 2025):</w:t>
      </w:r>
      <w:r>
        <w:t xml:space="preserve"> biodiesel </w:t>
      </w:r>
      <w:r>
        <w:rPr>
          <w:b/>
          <w:bCs/>
        </w:rPr>
        <w:t>1,986 MMgal/yr</w:t>
      </w:r>
      <w:r>
        <w:t xml:space="preserve"> (about </w:t>
      </w:r>
      <w:r>
        <w:rPr>
          <w:b/>
          <w:bCs/>
        </w:rPr>
        <w:t>130 kb/d</w:t>
      </w:r>
      <w:r>
        <w:t xml:space="preserve">), and renewable diesel &amp; other biofuels </w:t>
      </w:r>
      <w:r>
        <w:rPr>
          <w:b/>
          <w:bCs/>
        </w:rPr>
        <w:t>4,719 MMgal/yr</w:t>
      </w:r>
      <w:r>
        <w:t xml:space="preserve"> (about </w:t>
      </w:r>
      <w:r>
        <w:rPr>
          <w:b/>
          <w:bCs/>
        </w:rPr>
        <w:t>308 kb/d</w:t>
      </w:r>
      <w:r>
        <w:t xml:space="preserve">). </w:t>
      </w:r>
      <w:hyperlink r:id="rId17">
        <w:r>
          <w:rPr>
            <w:rStyle w:val="Hyperlink"/>
          </w:rPr>
          <w:t>[11]</w:t>
        </w:r>
      </w:hyperlink>
    </w:p>
    <w:p w14:paraId="052D9611" w14:textId="77777777" w:rsidR="00396B0A" w:rsidRDefault="00000000">
      <w:pPr>
        <w:pStyle w:val="Compact"/>
        <w:numPr>
          <w:ilvl w:val="0"/>
          <w:numId w:val="3"/>
        </w:numPr>
      </w:pPr>
      <w:r>
        <w:rPr>
          <w:b/>
          <w:bCs/>
        </w:rPr>
        <w:t>Inventories (bulk terminals):</w:t>
      </w:r>
      <w:r>
        <w:t xml:space="preserve"> EIA’s biodiesel bulk terminal stocks series shows a decline from early 2024 levels, bottoming mid-2025 and rebuilding later in 2025 (see Appendix figure). </w:t>
      </w:r>
      <w:hyperlink r:id="rId18">
        <w:r>
          <w:rPr>
            <w:rStyle w:val="Hyperlink"/>
          </w:rPr>
          <w:t>[12]</w:t>
        </w:r>
      </w:hyperlink>
    </w:p>
    <w:p w14:paraId="40E2B616" w14:textId="77777777" w:rsidR="00396B0A" w:rsidRDefault="00000000">
      <w:pPr>
        <w:pStyle w:val="Compact"/>
        <w:numPr>
          <w:ilvl w:val="0"/>
          <w:numId w:val="3"/>
        </w:numPr>
      </w:pPr>
      <w:r>
        <w:rPr>
          <w:b/>
          <w:bCs/>
        </w:rPr>
        <w:t>Trade:</w:t>
      </w:r>
      <w:r>
        <w:t xml:space="preserve"> biodiesel imports dropped sharply in 2025 vs 2024 in EIA’s monthly series (see Appendix table); this aligns with broader reporting that tax-credit design changes reduced incentives for imports. </w:t>
      </w:r>
      <w:hyperlink r:id="rId19">
        <w:r>
          <w:rPr>
            <w:rStyle w:val="Hyperlink"/>
          </w:rPr>
          <w:t>[13]</w:t>
        </w:r>
      </w:hyperlink>
    </w:p>
    <w:p w14:paraId="54702E67" w14:textId="77777777" w:rsidR="00396B0A" w:rsidRDefault="00000000">
      <w:pPr>
        <w:pStyle w:val="Heading3"/>
      </w:pPr>
      <w:bookmarkStart w:id="6" w:name="X01af4cc1756f2d346acc7237b4133473a518f8e"/>
      <w:bookmarkEnd w:id="5"/>
      <w:r>
        <w:t>Policy and regulatory updates that materially change the forward balance</w:t>
      </w:r>
    </w:p>
    <w:p w14:paraId="6EB0F909" w14:textId="77777777" w:rsidR="00396B0A" w:rsidRDefault="00000000">
      <w:pPr>
        <w:pStyle w:val="FirstParagraph"/>
      </w:pPr>
      <w:r>
        <w:rPr>
          <w:b/>
          <w:bCs/>
        </w:rPr>
        <w:t>Renewable Fuel Standard volumes (RFS “Set 2” final rule).</w:t>
      </w:r>
      <w:r>
        <w:br/>
        <w:t xml:space="preserve">The federal policy baseline for 2026–2027 is now set: EPA’s </w:t>
      </w:r>
      <w:r>
        <w:rPr>
          <w:b/>
          <w:bCs/>
        </w:rPr>
        <w:t>final renewable fuel standards for 2026 and 2027</w:t>
      </w:r>
      <w:r>
        <w:t xml:space="preserve"> include </w:t>
      </w:r>
      <w:r>
        <w:rPr>
          <w:b/>
          <w:bCs/>
        </w:rPr>
        <w:t>biomass-based diesel total applicable volumes</w:t>
      </w:r>
      <w:r>
        <w:t xml:space="preserve"> of </w:t>
      </w:r>
      <w:r>
        <w:rPr>
          <w:b/>
          <w:bCs/>
        </w:rPr>
        <w:t>9.07</w:t>
      </w:r>
      <w:r>
        <w:t xml:space="preserve"> (2026) and </w:t>
      </w:r>
      <w:r>
        <w:rPr>
          <w:b/>
          <w:bCs/>
        </w:rPr>
        <w:t>9.20</w:t>
      </w:r>
      <w:r>
        <w:t xml:space="preserve"> (2027) </w:t>
      </w:r>
      <w:r>
        <w:rPr>
          <w:b/>
          <w:bCs/>
        </w:rPr>
        <w:t>billion RINs</w:t>
      </w:r>
      <w:r>
        <w:t xml:space="preserve">, consisting of the base requirement plus a </w:t>
      </w:r>
      <w:r>
        <w:rPr>
          <w:b/>
          <w:bCs/>
        </w:rPr>
        <w:t>70% reallocation of certain SREs granted for 2023–2025</w:t>
      </w:r>
      <w:r>
        <w:t xml:space="preserve">. The final rule also includes program changes such as </w:t>
      </w:r>
      <w:r>
        <w:rPr>
          <w:b/>
          <w:bCs/>
        </w:rPr>
        <w:t>removing renewable electricity as a qualifying renewable fuel under the RFS (eRINs)</w:t>
      </w:r>
      <w:r>
        <w:t xml:space="preserve">. </w:t>
      </w:r>
      <w:hyperlink r:id="rId20">
        <w:r>
          <w:rPr>
            <w:rStyle w:val="Hyperlink"/>
          </w:rPr>
          <w:t>[1]</w:t>
        </w:r>
      </w:hyperlink>
    </w:p>
    <w:p w14:paraId="164EC363" w14:textId="77777777" w:rsidR="00396B0A" w:rsidRDefault="00000000">
      <w:pPr>
        <w:pStyle w:val="BodyText"/>
      </w:pPr>
      <w:r>
        <w:rPr>
          <w:b/>
          <w:bCs/>
        </w:rPr>
        <w:t>45Z clean fuel production credit (rulemaking phase).</w:t>
      </w:r>
      <w:r>
        <w:br/>
        <w:t>Treasury and the Internal Revenue Service</w:t>
      </w:r>
      <w:hyperlink r:id="rId21">
        <w:r>
          <w:rPr>
            <w:rStyle w:val="Hyperlink"/>
          </w:rPr>
          <w:t>[14]</w:t>
        </w:r>
      </w:hyperlink>
      <w:r>
        <w:t xml:space="preserve"> issued </w:t>
      </w:r>
      <w:r>
        <w:rPr>
          <w:b/>
          <w:bCs/>
        </w:rPr>
        <w:t>proposed regulations</w:t>
      </w:r>
      <w:r>
        <w:t xml:space="preserve"> on </w:t>
      </w:r>
      <w:r>
        <w:rPr>
          <w:b/>
          <w:bCs/>
        </w:rPr>
        <w:t>Feb 3, 2026</w:t>
      </w:r>
      <w:r>
        <w:t xml:space="preserve"> for the </w:t>
      </w:r>
      <w:r>
        <w:rPr>
          <w:b/>
          <w:bCs/>
        </w:rPr>
        <w:t>45Z clean fuel production credit</w:t>
      </w:r>
      <w:r>
        <w:t xml:space="preserve">, including how eligibility and emissions rates are determined and </w:t>
      </w:r>
      <w:r>
        <w:rPr>
          <w:b/>
          <w:bCs/>
        </w:rPr>
        <w:t xml:space="preserve">registration requirements (including Form 637 registration at </w:t>
      </w:r>
      <w:r>
        <w:rPr>
          <w:b/>
          <w:bCs/>
        </w:rPr>
        <w:lastRenderedPageBreak/>
        <w:t>the time of production)</w:t>
      </w:r>
      <w:r>
        <w:t xml:space="preserve">. For market participants, the key near-term operational implication is that “credit stack” monetization increasingly depends on auditable lifecycle emissions documentation and administrative compliance, not only physical supply/demand. </w:t>
      </w:r>
      <w:hyperlink r:id="rId22">
        <w:r>
          <w:rPr>
            <w:rStyle w:val="Hyperlink"/>
          </w:rPr>
          <w:t>[5]</w:t>
        </w:r>
      </w:hyperlink>
    </w:p>
    <w:p w14:paraId="66AA5CD8" w14:textId="77777777" w:rsidR="00396B0A" w:rsidRDefault="00000000">
      <w:pPr>
        <w:pStyle w:val="BodyText"/>
      </w:pPr>
      <w:r>
        <w:rPr>
          <w:b/>
          <w:bCs/>
        </w:rPr>
        <w:t>State clean fuel programs (LCFS-style).</w:t>
      </w:r>
      <w:r>
        <w:br/>
        <w:t>California remains the dominant credit stack lever for biomass-based diesel demand; California Air Resources Board</w:t>
      </w:r>
      <w:hyperlink r:id="rId23">
        <w:r>
          <w:rPr>
            <w:rStyle w:val="Hyperlink"/>
          </w:rPr>
          <w:t>[15]</w:t>
        </w:r>
      </w:hyperlink>
      <w:r>
        <w:t xml:space="preserve"> publishes weekly transfer activity snapshots including volume-weighted average prices and ranges. Separate from price, tightening carbon intensity targets in other jurisdictions (e.g., Washington) can increase regional pull for low-CI renewable diesel and waste-based biodiesel blends. </w:t>
      </w:r>
      <w:hyperlink r:id="rId24">
        <w:r>
          <w:rPr>
            <w:rStyle w:val="Hyperlink"/>
          </w:rPr>
          <w:t>[16]</w:t>
        </w:r>
      </w:hyperlink>
    </w:p>
    <w:p w14:paraId="30B8A6EE" w14:textId="77777777" w:rsidR="00396B0A" w:rsidRDefault="00000000">
      <w:pPr>
        <w:pStyle w:val="Heading3"/>
      </w:pPr>
      <w:bookmarkStart w:id="7" w:name="conceptual-map-of-the-margin-stack"/>
      <w:bookmarkEnd w:id="6"/>
      <w:r>
        <w:t>Conceptual map of the margin stack</w:t>
      </w:r>
    </w:p>
    <w:p w14:paraId="36E8D7D8" w14:textId="77777777" w:rsidR="00396B0A" w:rsidRDefault="00000000">
      <w:pPr>
        <w:pStyle w:val="SourceCode"/>
      </w:pPr>
      <w:r>
        <w:rPr>
          <w:rStyle w:val="VerbatimChar"/>
        </w:rPr>
        <w:t>flowchart LR</w:t>
      </w:r>
      <w:r>
        <w:br/>
      </w:r>
      <w:r>
        <w:rPr>
          <w:rStyle w:val="VerbatimChar"/>
        </w:rPr>
        <w:t xml:space="preserve">  A[Feedstocks\nSoy oil / Canola oil\nUCO (yellow grease) / Tallow\nCorn distillers oil] --&gt; B[Conversion]</w:t>
      </w:r>
      <w:r>
        <w:br/>
      </w:r>
      <w:r>
        <w:rPr>
          <w:rStyle w:val="VerbatimChar"/>
        </w:rPr>
        <w:t xml:space="preserve">  B --&gt; C[Biodiesel (FAME)]</w:t>
      </w:r>
      <w:r>
        <w:br/>
      </w:r>
      <w:r>
        <w:rPr>
          <w:rStyle w:val="VerbatimChar"/>
        </w:rPr>
        <w:t xml:space="preserve">  B --&gt; D[Renewable diesel (HVO/HEFA)]</w:t>
      </w:r>
      <w:r>
        <w:br/>
      </w:r>
      <w:r>
        <w:rPr>
          <w:rStyle w:val="VerbatimChar"/>
        </w:rPr>
        <w:t xml:space="preserve">  B --&gt; E[Renewable jet / SAF (HEFA-SPK)]</w:t>
      </w:r>
      <w:r>
        <w:br/>
      </w:r>
      <w:r>
        <w:rPr>
          <w:rStyle w:val="VerbatimChar"/>
        </w:rPr>
        <w:t xml:space="preserve">  C --&gt; F[Demand channels\nRFS + State programs\nVoluntary fleets]</w:t>
      </w:r>
      <w:r>
        <w:br/>
      </w:r>
      <w:r>
        <w:rPr>
          <w:rStyle w:val="VerbatimChar"/>
        </w:rPr>
        <w:t xml:space="preserve">  D --&gt; F</w:t>
      </w:r>
      <w:r>
        <w:br/>
      </w:r>
      <w:r>
        <w:rPr>
          <w:rStyle w:val="VerbatimChar"/>
        </w:rPr>
        <w:t xml:space="preserve">  E --&gt; F</w:t>
      </w:r>
      <w:r>
        <w:br/>
      </w:r>
      <w:r>
        <w:rPr>
          <w:rStyle w:val="VerbatimChar"/>
        </w:rPr>
        <w:t xml:space="preserve">  F --&gt; G[Credits &amp; taxes\nRINs (D4)\nLCFS/clean fuel credits\n45Z (if eligible)]</w:t>
      </w:r>
    </w:p>
    <w:p w14:paraId="1DAD5C14" w14:textId="77777777" w:rsidR="00396B0A" w:rsidRDefault="00000000">
      <w:pPr>
        <w:pStyle w:val="FirstParagraph"/>
      </w:pPr>
      <w:r>
        <w:t xml:space="preserve">This framing is intentionally “report-first”: each month’s summary should translate new information into updated assumptions about (i) feedstock cost curves, (ii) fuel production and blending volumes, (iii) credit prices and compliance needs, and (iv) near-term operational constraints. </w:t>
      </w:r>
      <w:hyperlink r:id="rId25">
        <w:r>
          <w:rPr>
            <w:rStyle w:val="Hyperlink"/>
          </w:rPr>
          <w:t>[17]</w:t>
        </w:r>
      </w:hyperlink>
    </w:p>
    <w:p w14:paraId="1EB2203E" w14:textId="77777777" w:rsidR="00396B0A" w:rsidRDefault="00000000">
      <w:pPr>
        <w:pStyle w:val="Heading2"/>
      </w:pPr>
      <w:bookmarkStart w:id="8" w:name="feedstock-analysis"/>
      <w:bookmarkEnd w:id="4"/>
      <w:bookmarkEnd w:id="7"/>
      <w:r>
        <w:t>Feedstock analysis</w:t>
      </w:r>
    </w:p>
    <w:p w14:paraId="328BAE1C" w14:textId="77777777" w:rsidR="00396B0A" w:rsidRDefault="00000000">
      <w:pPr>
        <w:pStyle w:val="Heading3"/>
      </w:pPr>
      <w:bookmarkStart w:id="9" w:name="X622644f14bd99f66b509704a7747991bb2efe30"/>
      <w:r>
        <w:t>Cross-feedstock comparison table for April 2026 reporting</w:t>
      </w:r>
    </w:p>
    <w:tbl>
      <w:tblPr>
        <w:tblStyle w:val="Table"/>
        <w:tblW w:w="0" w:type="auto"/>
        <w:tblLook w:val="0020" w:firstRow="1" w:lastRow="0" w:firstColumn="0" w:lastColumn="0" w:noHBand="0" w:noVBand="0"/>
      </w:tblPr>
      <w:tblGrid>
        <w:gridCol w:w="2130"/>
        <w:gridCol w:w="2767"/>
        <w:gridCol w:w="1659"/>
        <w:gridCol w:w="2804"/>
      </w:tblGrid>
      <w:tr w:rsidR="00396B0A" w14:paraId="62876BE3" w14:textId="77777777" w:rsidTr="00396B0A">
        <w:trPr>
          <w:cnfStyle w:val="100000000000" w:firstRow="1" w:lastRow="0" w:firstColumn="0" w:lastColumn="0" w:oddVBand="0" w:evenVBand="0" w:oddHBand="0" w:evenHBand="0" w:firstRowFirstColumn="0" w:firstRowLastColumn="0" w:lastRowFirstColumn="0" w:lastRowLastColumn="0"/>
          <w:tblHeader/>
        </w:trPr>
        <w:tc>
          <w:tcPr>
            <w:tcW w:w="0" w:type="auto"/>
          </w:tcPr>
          <w:p w14:paraId="33A33BDE" w14:textId="77777777" w:rsidR="00396B0A" w:rsidRDefault="00000000">
            <w:pPr>
              <w:pStyle w:val="Compact"/>
            </w:pPr>
            <w:r>
              <w:t>Feedstock</w:t>
            </w:r>
          </w:p>
        </w:tc>
        <w:tc>
          <w:tcPr>
            <w:tcW w:w="0" w:type="auto"/>
          </w:tcPr>
          <w:p w14:paraId="183C895F" w14:textId="77777777" w:rsidR="00396B0A" w:rsidRDefault="00000000">
            <w:pPr>
              <w:pStyle w:val="Compact"/>
            </w:pPr>
            <w:r>
              <w:t>Why it matters to BBD</w:t>
            </w:r>
          </w:p>
        </w:tc>
        <w:tc>
          <w:tcPr>
            <w:tcW w:w="0" w:type="auto"/>
          </w:tcPr>
          <w:p w14:paraId="656EAD31" w14:textId="77777777" w:rsidR="00396B0A" w:rsidRDefault="00000000">
            <w:pPr>
              <w:pStyle w:val="Compact"/>
              <w:jc w:val="right"/>
            </w:pPr>
            <w:r>
              <w:t>Latest indicative market datapoint</w:t>
            </w:r>
          </w:p>
        </w:tc>
        <w:tc>
          <w:tcPr>
            <w:tcW w:w="0" w:type="auto"/>
          </w:tcPr>
          <w:p w14:paraId="61F72D08" w14:textId="77777777" w:rsidR="00396B0A" w:rsidRDefault="00000000">
            <w:pPr>
              <w:pStyle w:val="Compact"/>
            </w:pPr>
            <w:r>
              <w:t>Key near-term drivers (1–3 months)</w:t>
            </w:r>
          </w:p>
        </w:tc>
      </w:tr>
      <w:tr w:rsidR="00396B0A" w14:paraId="5D28C053" w14:textId="77777777">
        <w:tc>
          <w:tcPr>
            <w:tcW w:w="0" w:type="auto"/>
          </w:tcPr>
          <w:p w14:paraId="0042D775" w14:textId="77777777" w:rsidR="00396B0A" w:rsidRDefault="00000000">
            <w:pPr>
              <w:pStyle w:val="Compact"/>
            </w:pPr>
            <w:r>
              <w:t>Soybean oil</w:t>
            </w:r>
          </w:p>
        </w:tc>
        <w:tc>
          <w:tcPr>
            <w:tcW w:w="0" w:type="auto"/>
          </w:tcPr>
          <w:p w14:paraId="1F505DE0" w14:textId="77777777" w:rsidR="00396B0A" w:rsidRDefault="00000000">
            <w:pPr>
              <w:pStyle w:val="Compact"/>
            </w:pPr>
            <w:r>
              <w:t>Primary U.S. vegoil feedstock; most price-sensitive “marginal” gallon</w:t>
            </w:r>
          </w:p>
        </w:tc>
        <w:tc>
          <w:tcPr>
            <w:tcW w:w="0" w:type="auto"/>
          </w:tcPr>
          <w:p w14:paraId="692E20F5" w14:textId="77777777" w:rsidR="00396B0A" w:rsidRPr="00F26943" w:rsidRDefault="00000000">
            <w:pPr>
              <w:pStyle w:val="Compact"/>
              <w:jc w:val="right"/>
              <w:rPr>
                <w:lang w:val="it-IT"/>
              </w:rPr>
            </w:pPr>
            <w:r w:rsidRPr="00F26943">
              <w:rPr>
                <w:lang w:val="it-IT"/>
              </w:rPr>
              <w:t xml:space="preserve">Central IL crude </w:t>
            </w:r>
            <w:proofErr w:type="spellStart"/>
            <w:r w:rsidRPr="00F26943">
              <w:rPr>
                <w:lang w:val="it-IT"/>
              </w:rPr>
              <w:t>soyoil</w:t>
            </w:r>
            <w:proofErr w:type="spellEnd"/>
            <w:r w:rsidRPr="00F26943">
              <w:rPr>
                <w:lang w:val="it-IT"/>
              </w:rPr>
              <w:t xml:space="preserve"> </w:t>
            </w:r>
            <w:r w:rsidRPr="00F26943">
              <w:rPr>
                <w:b/>
                <w:bCs/>
                <w:lang w:val="it-IT"/>
              </w:rPr>
              <w:t>~68¢/lb</w:t>
            </w:r>
            <w:r w:rsidRPr="00F26943">
              <w:rPr>
                <w:lang w:val="it-IT"/>
              </w:rPr>
              <w:t xml:space="preserve"> (W/E </w:t>
            </w:r>
            <w:proofErr w:type="spellStart"/>
            <w:r w:rsidRPr="00F26943">
              <w:rPr>
                <w:lang w:val="it-IT"/>
              </w:rPr>
              <w:t>Apr</w:t>
            </w:r>
            <w:proofErr w:type="spellEnd"/>
            <w:r w:rsidRPr="00F26943">
              <w:rPr>
                <w:lang w:val="it-IT"/>
              </w:rPr>
              <w:t xml:space="preserve"> 3, 2026)</w:t>
            </w:r>
          </w:p>
        </w:tc>
        <w:tc>
          <w:tcPr>
            <w:tcW w:w="0" w:type="auto"/>
          </w:tcPr>
          <w:p w14:paraId="29B34347" w14:textId="77777777" w:rsidR="00396B0A" w:rsidRDefault="00000000">
            <w:pPr>
              <w:pStyle w:val="Compact"/>
            </w:pPr>
            <w:r>
              <w:t xml:space="preserve">Crush pace + product demand; policy </w:t>
            </w:r>
            <w:proofErr w:type="gramStart"/>
            <w:r>
              <w:t>certainty</w:t>
            </w:r>
            <w:proofErr w:type="gramEnd"/>
            <w:r>
              <w:t xml:space="preserve">; vegoil complex co-moves with global oils and energy. </w:t>
            </w:r>
            <w:hyperlink r:id="rId26">
              <w:r>
                <w:rPr>
                  <w:rStyle w:val="Hyperlink"/>
                </w:rPr>
                <w:t>[18]</w:t>
              </w:r>
            </w:hyperlink>
          </w:p>
        </w:tc>
      </w:tr>
      <w:tr w:rsidR="00396B0A" w14:paraId="78B7C71D" w14:textId="77777777">
        <w:tc>
          <w:tcPr>
            <w:tcW w:w="0" w:type="auto"/>
          </w:tcPr>
          <w:p w14:paraId="7F671F91" w14:textId="77777777" w:rsidR="00396B0A" w:rsidRDefault="00000000">
            <w:pPr>
              <w:pStyle w:val="Compact"/>
            </w:pPr>
            <w:r>
              <w:t>Canola/rapeseed oil</w:t>
            </w:r>
          </w:p>
        </w:tc>
        <w:tc>
          <w:tcPr>
            <w:tcW w:w="0" w:type="auto"/>
          </w:tcPr>
          <w:p w14:paraId="323301B3" w14:textId="77777777" w:rsidR="00396B0A" w:rsidRDefault="00000000">
            <w:pPr>
              <w:pStyle w:val="Compact"/>
            </w:pPr>
            <w:r>
              <w:t>Adds optionality; linked to Canadian supply and global rapeseed complex</w:t>
            </w:r>
          </w:p>
        </w:tc>
        <w:tc>
          <w:tcPr>
            <w:tcW w:w="0" w:type="auto"/>
          </w:tcPr>
          <w:p w14:paraId="69D50BF6" w14:textId="77777777" w:rsidR="00396B0A" w:rsidRDefault="00000000">
            <w:pPr>
              <w:pStyle w:val="Compact"/>
              <w:jc w:val="right"/>
            </w:pPr>
            <w:r>
              <w:t xml:space="preserve">Global rapeseed oil </w:t>
            </w:r>
            <w:r>
              <w:rPr>
                <w:b/>
                <w:bCs/>
              </w:rPr>
              <w:t xml:space="preserve">1,273.64 </w:t>
            </w:r>
            <w:r>
              <w:rPr>
                <w:b/>
                <w:bCs/>
              </w:rPr>
              <w:lastRenderedPageBreak/>
              <w:t>US$/MT</w:t>
            </w:r>
            <w:r>
              <w:t xml:space="preserve"> (Feb 2026)</w:t>
            </w:r>
          </w:p>
        </w:tc>
        <w:tc>
          <w:tcPr>
            <w:tcW w:w="0" w:type="auto"/>
          </w:tcPr>
          <w:p w14:paraId="2D38D7B3" w14:textId="77777777" w:rsidR="00396B0A" w:rsidRDefault="00000000">
            <w:pPr>
              <w:pStyle w:val="Compact"/>
            </w:pPr>
            <w:r>
              <w:lastRenderedPageBreak/>
              <w:t xml:space="preserve">Canadian/Black Sea supply; relative value vs soy/palm; NASS shows </w:t>
            </w:r>
            <w:r>
              <w:lastRenderedPageBreak/>
              <w:t xml:space="preserve">U.S. canola crushing and oil production. </w:t>
            </w:r>
            <w:hyperlink r:id="rId27">
              <w:r>
                <w:rPr>
                  <w:rStyle w:val="Hyperlink"/>
                </w:rPr>
                <w:t>[19]</w:t>
              </w:r>
            </w:hyperlink>
          </w:p>
        </w:tc>
      </w:tr>
      <w:tr w:rsidR="00396B0A" w14:paraId="79322834" w14:textId="77777777">
        <w:tc>
          <w:tcPr>
            <w:tcW w:w="0" w:type="auto"/>
          </w:tcPr>
          <w:p w14:paraId="3D5EA29D" w14:textId="77777777" w:rsidR="00396B0A" w:rsidRDefault="00000000">
            <w:pPr>
              <w:pStyle w:val="Compact"/>
            </w:pPr>
            <w:r>
              <w:lastRenderedPageBreak/>
              <w:t>Used cooking oil (UCO) / Yellow grease</w:t>
            </w:r>
          </w:p>
        </w:tc>
        <w:tc>
          <w:tcPr>
            <w:tcW w:w="0" w:type="auto"/>
          </w:tcPr>
          <w:p w14:paraId="72913D45" w14:textId="77777777" w:rsidR="00396B0A" w:rsidRDefault="00000000">
            <w:pPr>
              <w:pStyle w:val="Compact"/>
            </w:pPr>
            <w:r>
              <w:t>Key low-CI feedstock; tight collection/logistics</w:t>
            </w:r>
          </w:p>
        </w:tc>
        <w:tc>
          <w:tcPr>
            <w:tcW w:w="0" w:type="auto"/>
          </w:tcPr>
          <w:p w14:paraId="48E870E9" w14:textId="77777777" w:rsidR="00396B0A" w:rsidRDefault="00000000">
            <w:pPr>
              <w:pStyle w:val="Compact"/>
              <w:jc w:val="right"/>
            </w:pPr>
            <w:r>
              <w:t xml:space="preserve">MN </w:t>
            </w:r>
            <w:r>
              <w:rPr>
                <w:b/>
                <w:bCs/>
              </w:rPr>
              <w:t>44–48¢/lb</w:t>
            </w:r>
            <w:r>
              <w:t xml:space="preserve">; CA </w:t>
            </w:r>
            <w:r>
              <w:rPr>
                <w:b/>
                <w:bCs/>
              </w:rPr>
              <w:t>~50–56¢/lb</w:t>
            </w:r>
            <w:r>
              <w:t xml:space="preserve"> (report period Mar 30–Apr 3, 2026)</w:t>
            </w:r>
          </w:p>
        </w:tc>
        <w:tc>
          <w:tcPr>
            <w:tcW w:w="0" w:type="auto"/>
          </w:tcPr>
          <w:p w14:paraId="18406367" w14:textId="77777777" w:rsidR="00396B0A" w:rsidRDefault="00000000">
            <w:pPr>
              <w:pStyle w:val="Compact"/>
            </w:pPr>
            <w:r>
              <w:t xml:space="preserve">Export pull, rendering/collection throughput, RD demand, regional logistics. </w:t>
            </w:r>
            <w:hyperlink r:id="rId28">
              <w:r>
                <w:rPr>
                  <w:rStyle w:val="Hyperlink"/>
                </w:rPr>
                <w:t>[20]</w:t>
              </w:r>
            </w:hyperlink>
          </w:p>
        </w:tc>
      </w:tr>
      <w:tr w:rsidR="00396B0A" w14:paraId="22005558" w14:textId="77777777">
        <w:tc>
          <w:tcPr>
            <w:tcW w:w="0" w:type="auto"/>
          </w:tcPr>
          <w:p w14:paraId="143D3F2A" w14:textId="77777777" w:rsidR="00396B0A" w:rsidRDefault="00000000">
            <w:pPr>
              <w:pStyle w:val="Compact"/>
            </w:pPr>
            <w:r>
              <w:t>Tallow</w:t>
            </w:r>
          </w:p>
        </w:tc>
        <w:tc>
          <w:tcPr>
            <w:tcW w:w="0" w:type="auto"/>
          </w:tcPr>
          <w:p w14:paraId="0CACF3DF" w14:textId="77777777" w:rsidR="00396B0A" w:rsidRDefault="00000000">
            <w:pPr>
              <w:pStyle w:val="Compact"/>
            </w:pPr>
            <w:r>
              <w:t>Low-CI (relative) animal fat input; competes with oleochemicals/export</w:t>
            </w:r>
          </w:p>
        </w:tc>
        <w:tc>
          <w:tcPr>
            <w:tcW w:w="0" w:type="auto"/>
          </w:tcPr>
          <w:p w14:paraId="62145BAC" w14:textId="77777777" w:rsidR="00396B0A" w:rsidRDefault="00000000">
            <w:pPr>
              <w:pStyle w:val="Compact"/>
              <w:jc w:val="right"/>
            </w:pPr>
            <w:r>
              <w:t xml:space="preserve">Chicago bleachable tallow </w:t>
            </w:r>
            <w:r>
              <w:rPr>
                <w:b/>
                <w:bCs/>
              </w:rPr>
              <w:t>$74–75/cwt</w:t>
            </w:r>
            <w:r>
              <w:t xml:space="preserve">; technical tallow </w:t>
            </w:r>
            <w:r>
              <w:rPr>
                <w:b/>
                <w:bCs/>
              </w:rPr>
              <w:t>$76/cwt</w:t>
            </w:r>
          </w:p>
        </w:tc>
        <w:tc>
          <w:tcPr>
            <w:tcW w:w="0" w:type="auto"/>
          </w:tcPr>
          <w:p w14:paraId="420DAF06" w14:textId="77777777" w:rsidR="00396B0A" w:rsidRDefault="00000000">
            <w:pPr>
              <w:pStyle w:val="Compact"/>
            </w:pPr>
            <w:r>
              <w:t xml:space="preserve">Rendering supply; competing demand; relationship to diesel cracks + credits. </w:t>
            </w:r>
            <w:hyperlink r:id="rId29">
              <w:r>
                <w:rPr>
                  <w:rStyle w:val="Hyperlink"/>
                </w:rPr>
                <w:t>[21]</w:t>
              </w:r>
            </w:hyperlink>
          </w:p>
        </w:tc>
      </w:tr>
      <w:tr w:rsidR="00396B0A" w14:paraId="0EDB0F09" w14:textId="77777777">
        <w:tc>
          <w:tcPr>
            <w:tcW w:w="0" w:type="auto"/>
          </w:tcPr>
          <w:p w14:paraId="01D6D47C" w14:textId="77777777" w:rsidR="00396B0A" w:rsidRDefault="00000000">
            <w:pPr>
              <w:pStyle w:val="Compact"/>
            </w:pPr>
            <w:r>
              <w:t>Corn oil (distillers corn oil)</w:t>
            </w:r>
          </w:p>
        </w:tc>
        <w:tc>
          <w:tcPr>
            <w:tcW w:w="0" w:type="auto"/>
          </w:tcPr>
          <w:p w14:paraId="29A23F69" w14:textId="77777777" w:rsidR="00396B0A" w:rsidRDefault="00000000">
            <w:pPr>
              <w:pStyle w:val="Compact"/>
            </w:pPr>
            <w:r>
              <w:t>“Ethanol co-product” feedstock; supply tied to ethanol grind and extraction</w:t>
            </w:r>
          </w:p>
        </w:tc>
        <w:tc>
          <w:tcPr>
            <w:tcW w:w="0" w:type="auto"/>
          </w:tcPr>
          <w:p w14:paraId="506778FC" w14:textId="77777777" w:rsidR="00396B0A" w:rsidRDefault="00000000">
            <w:pPr>
              <w:pStyle w:val="Compact"/>
              <w:jc w:val="right"/>
            </w:pPr>
            <w:r>
              <w:t xml:space="preserve">Corn distillers oil production </w:t>
            </w:r>
            <w:r>
              <w:rPr>
                <w:b/>
                <w:bCs/>
              </w:rPr>
              <w:t>191,789 tons</w:t>
            </w:r>
            <w:r>
              <w:t xml:space="preserve"> (Jan 2026)</w:t>
            </w:r>
          </w:p>
        </w:tc>
        <w:tc>
          <w:tcPr>
            <w:tcW w:w="0" w:type="auto"/>
          </w:tcPr>
          <w:p w14:paraId="2C994439" w14:textId="77777777" w:rsidR="00396B0A" w:rsidRDefault="00000000">
            <w:pPr>
              <w:pStyle w:val="Compact"/>
            </w:pPr>
            <w:r>
              <w:t xml:space="preserve">Ethanol production rates, oil extraction yields, co-product pricing, rail/logistics. </w:t>
            </w:r>
            <w:hyperlink r:id="rId30">
              <w:r>
                <w:rPr>
                  <w:rStyle w:val="Hyperlink"/>
                </w:rPr>
                <w:t>[22]</w:t>
              </w:r>
            </w:hyperlink>
          </w:p>
        </w:tc>
      </w:tr>
    </w:tbl>
    <w:p w14:paraId="04DC74F6" w14:textId="77777777" w:rsidR="00396B0A" w:rsidRDefault="00000000">
      <w:pPr>
        <w:pStyle w:val="Heading3"/>
      </w:pPr>
      <w:bookmarkStart w:id="10" w:name="soybean-oil"/>
      <w:bookmarkEnd w:id="9"/>
      <w:r>
        <w:t>Soybean oil</w:t>
      </w:r>
    </w:p>
    <w:p w14:paraId="187FA6AF" w14:textId="77777777" w:rsidR="00396B0A" w:rsidRDefault="00000000">
      <w:pPr>
        <w:pStyle w:val="FirstParagraph"/>
      </w:pPr>
      <w:r>
        <w:t xml:space="preserve">The immediate operational signal from USDA’s weekly pricing snapshot is that </w:t>
      </w:r>
      <w:r>
        <w:rPr>
          <w:b/>
          <w:bCs/>
        </w:rPr>
        <w:t>crude soybean oil remains near ~68¢/lb</w:t>
      </w:r>
      <w:r>
        <w:t xml:space="preserve"> in the main quoting regions for the week ending </w:t>
      </w:r>
      <w:r>
        <w:rPr>
          <w:b/>
          <w:bCs/>
        </w:rPr>
        <w:t>Apr 3, 2026</w:t>
      </w:r>
      <w:r>
        <w:t xml:space="preserve">, far above year-ago levels shown in the same report format. This supports a view that soybean oil is still a “high-beta” driver of biomass-based diesel variable cost, particularly for plants with limited multi-feedstock capability. </w:t>
      </w:r>
      <w:hyperlink r:id="rId31">
        <w:r>
          <w:rPr>
            <w:rStyle w:val="Hyperlink"/>
          </w:rPr>
          <w:t>[6]</w:t>
        </w:r>
      </w:hyperlink>
    </w:p>
    <w:p w14:paraId="742A4C95" w14:textId="77777777" w:rsidR="00396B0A" w:rsidRDefault="00000000">
      <w:pPr>
        <w:pStyle w:val="BodyText"/>
      </w:pPr>
      <w:r>
        <w:t>On supply fundamentals, National Agricultural Statistics Service</w:t>
      </w:r>
      <w:hyperlink r:id="rId32">
        <w:r>
          <w:rPr>
            <w:rStyle w:val="Hyperlink"/>
          </w:rPr>
          <w:t>[23]</w:t>
        </w:r>
      </w:hyperlink>
      <w:r>
        <w:t xml:space="preserve"> reports strong oilseed processing: in the latest Fats and Oils release (covering </w:t>
      </w:r>
      <w:r>
        <w:rPr>
          <w:b/>
          <w:bCs/>
        </w:rPr>
        <w:t>January 2026</w:t>
      </w:r>
      <w:r>
        <w:t xml:space="preserve">), soybean crush was </w:t>
      </w:r>
      <w:r>
        <w:rPr>
          <w:b/>
          <w:bCs/>
        </w:rPr>
        <w:t>6.84 million tons (228 million bushels)</w:t>
      </w:r>
      <w:r>
        <w:t xml:space="preserve"> and crude soybean oil production was </w:t>
      </w:r>
      <w:r>
        <w:rPr>
          <w:b/>
          <w:bCs/>
        </w:rPr>
        <w:t>2.63 billion pounds</w:t>
      </w:r>
      <w:r>
        <w:t xml:space="preserve">. These are the kinds of “hard” throughput measures that should anchor monthly narrative around real feedstock availability rather than solely price. </w:t>
      </w:r>
      <w:hyperlink r:id="rId33">
        <w:r>
          <w:rPr>
            <w:rStyle w:val="Hyperlink"/>
          </w:rPr>
          <w:t>[24]</w:t>
        </w:r>
      </w:hyperlink>
    </w:p>
    <w:p w14:paraId="15C8D523" w14:textId="77777777" w:rsidR="00396B0A" w:rsidRDefault="00000000">
      <w:pPr>
        <w:pStyle w:val="BodyText"/>
      </w:pPr>
      <w:r>
        <w:t>For a broader planning horizon context, Economic Research Service</w:t>
      </w:r>
      <w:hyperlink r:id="rId34">
        <w:r>
          <w:rPr>
            <w:rStyle w:val="Hyperlink"/>
          </w:rPr>
          <w:t>[25]</w:t>
        </w:r>
      </w:hyperlink>
      <w:r>
        <w:t xml:space="preserve"> notes record-high U.S. soybean crush forecast levels for MY 2025/26 and discusses how shifts between biofuel use and other soybean oil uses affect the balance. Even when near-term prices are credit-driven, these structural supply forecasts bound how quickly the system can respond without rationing via price. </w:t>
      </w:r>
      <w:hyperlink r:id="rId35">
        <w:r>
          <w:rPr>
            <w:rStyle w:val="Hyperlink"/>
          </w:rPr>
          <w:t>[26]</w:t>
        </w:r>
      </w:hyperlink>
    </w:p>
    <w:p w14:paraId="54A54D7F" w14:textId="77777777" w:rsidR="00396B0A" w:rsidRDefault="00000000">
      <w:pPr>
        <w:pStyle w:val="Heading3"/>
      </w:pPr>
      <w:bookmarkStart w:id="11" w:name="canola-oil"/>
      <w:bookmarkEnd w:id="10"/>
      <w:r>
        <w:lastRenderedPageBreak/>
        <w:t>Canola oil</w:t>
      </w:r>
    </w:p>
    <w:p w14:paraId="649ADA4D" w14:textId="77777777" w:rsidR="00396B0A" w:rsidRDefault="00000000">
      <w:pPr>
        <w:pStyle w:val="FirstParagraph"/>
      </w:pPr>
      <w:r>
        <w:t xml:space="preserve">Canola/rapeseed oil is important as a </w:t>
      </w:r>
      <w:r>
        <w:rPr>
          <w:b/>
          <w:bCs/>
        </w:rPr>
        <w:t>substitution and optionality valve</w:t>
      </w:r>
      <w:r>
        <w:t>—especially for facilities with pretreatment and hydrogenation flexibility—yet it is also exposed to non-U.S. supply dynamics. The global rapeseed oil benchmark (IMF primary commodity prices as distributed via the Federal Reserve Bank of St. Louis</w:t>
      </w:r>
      <w:hyperlink r:id="rId36">
        <w:r>
          <w:rPr>
            <w:rStyle w:val="Hyperlink"/>
          </w:rPr>
          <w:t>[27]</w:t>
        </w:r>
      </w:hyperlink>
      <w:r>
        <w:t xml:space="preserve"> FRED system) was </w:t>
      </w:r>
      <w:r>
        <w:rPr>
          <w:b/>
          <w:bCs/>
        </w:rPr>
        <w:t>~1,273.64 US$/MT in Feb 2026</w:t>
      </w:r>
      <w:r>
        <w:t xml:space="preserve">, near soybean oil’s </w:t>
      </w:r>
      <w:r>
        <w:rPr>
          <w:b/>
          <w:bCs/>
        </w:rPr>
        <w:t>~1,241.44 US$/MT</w:t>
      </w:r>
      <w:r>
        <w:t xml:space="preserve"> in the same month, implying limited relief from a “global oils are tight” regime. </w:t>
      </w:r>
      <w:hyperlink r:id="rId37">
        <w:r>
          <w:rPr>
            <w:rStyle w:val="Hyperlink"/>
          </w:rPr>
          <w:t>[28]</w:t>
        </w:r>
      </w:hyperlink>
    </w:p>
    <w:p w14:paraId="23B59BA8" w14:textId="77777777" w:rsidR="00396B0A" w:rsidRDefault="00000000">
      <w:pPr>
        <w:pStyle w:val="BodyText"/>
      </w:pPr>
      <w:r>
        <w:t xml:space="preserve">Domestically, NASS reports that </w:t>
      </w:r>
      <w:r>
        <w:rPr>
          <w:b/>
          <w:bCs/>
        </w:rPr>
        <w:t>canola seeds crushed for crude oil were 209,452 tons in January 2026</w:t>
      </w:r>
      <w:r>
        <w:t xml:space="preserve">, with </w:t>
      </w:r>
      <w:r>
        <w:rPr>
          <w:b/>
          <w:bCs/>
        </w:rPr>
        <w:t>canola crude oil production of 167 million pounds</w:t>
      </w:r>
      <w:r>
        <w:t xml:space="preserve">. Monthly reporting should treat this as a “capacity and throughput” indicator: canola oil is not just an imported price index—it has an observable U.S. processing footprint. </w:t>
      </w:r>
      <w:hyperlink r:id="rId38">
        <w:r>
          <w:rPr>
            <w:rStyle w:val="Hyperlink"/>
          </w:rPr>
          <w:t>[24]</w:t>
        </w:r>
      </w:hyperlink>
    </w:p>
    <w:p w14:paraId="09215427" w14:textId="77777777" w:rsidR="00396B0A" w:rsidRDefault="00000000">
      <w:pPr>
        <w:pStyle w:val="Heading3"/>
      </w:pPr>
      <w:bookmarkStart w:id="12" w:name="used-cooking-oil-and-yellow-grease"/>
      <w:bookmarkEnd w:id="11"/>
      <w:r>
        <w:t>Used cooking oil and yellow grease</w:t>
      </w:r>
    </w:p>
    <w:p w14:paraId="5EA600A8" w14:textId="77777777" w:rsidR="00396B0A" w:rsidRDefault="00000000">
      <w:pPr>
        <w:pStyle w:val="FirstParagraph"/>
      </w:pPr>
      <w:r>
        <w:t xml:space="preserve">Waste oils and greases are structurally valuable because they tend to score better in low-carbon programs than virgin oils, which makes them pivotal to renewable diesel economics in LCFS-heavy demand regions. USDA’s National Animal By-Product Feedstuff Report shows </w:t>
      </w:r>
      <w:r>
        <w:rPr>
          <w:b/>
          <w:bCs/>
        </w:rPr>
        <w:t>yellow grease</w:t>
      </w:r>
      <w:r>
        <w:t xml:space="preserve"> pricing for the week in early April 2026 with meaningful regional dispersion (e.g., Minnesota and California ranges). This dispersion is itself actionable: it often indicates where logistics constraints and local demand are setting clearing prices. </w:t>
      </w:r>
      <w:hyperlink r:id="rId39">
        <w:r>
          <w:rPr>
            <w:rStyle w:val="Hyperlink"/>
          </w:rPr>
          <w:t>[20]</w:t>
        </w:r>
      </w:hyperlink>
    </w:p>
    <w:p w14:paraId="2174187B" w14:textId="77777777" w:rsidR="00396B0A" w:rsidRDefault="00000000">
      <w:pPr>
        <w:pStyle w:val="BodyText"/>
      </w:pPr>
      <w:r>
        <w:t xml:space="preserve">From a supply perspective, NASS tracks related rendering outputs (e.g., choice white grease production) in its monthly fats and oils statistics, which are useful for distinguishing “price spikes” driven by demand from those driven by actual rendering supply moves. </w:t>
      </w:r>
      <w:hyperlink r:id="rId40">
        <w:r>
          <w:rPr>
            <w:rStyle w:val="Hyperlink"/>
          </w:rPr>
          <w:t>[24]</w:t>
        </w:r>
      </w:hyperlink>
    </w:p>
    <w:p w14:paraId="7DDBEC4A" w14:textId="77777777" w:rsidR="00396B0A" w:rsidRDefault="00000000">
      <w:pPr>
        <w:pStyle w:val="Heading3"/>
      </w:pPr>
      <w:bookmarkStart w:id="13" w:name="tallow"/>
      <w:bookmarkEnd w:id="12"/>
      <w:r>
        <w:t>Tallow</w:t>
      </w:r>
    </w:p>
    <w:p w14:paraId="7904C944" w14:textId="77777777" w:rsidR="00396B0A" w:rsidRDefault="00000000">
      <w:pPr>
        <w:pStyle w:val="FirstParagraph"/>
      </w:pPr>
      <w:r>
        <w:t xml:space="preserve">Animal fats continue to trade as both a fuels input and an industrial/oleochemical input; monthly reporting should explicitly frame this </w:t>
      </w:r>
      <w:r>
        <w:rPr>
          <w:b/>
          <w:bCs/>
        </w:rPr>
        <w:t>as a competition-for-molecules problem</w:t>
      </w:r>
      <w:r>
        <w:t xml:space="preserve">, not only a fuels story. USDA’s weekly report shows </w:t>
      </w:r>
      <w:r>
        <w:rPr>
          <w:b/>
          <w:bCs/>
        </w:rPr>
        <w:t>Chicago bleachable tallow ~$74–75/cwt</w:t>
      </w:r>
      <w:r>
        <w:t xml:space="preserve"> and </w:t>
      </w:r>
      <w:r>
        <w:rPr>
          <w:b/>
          <w:bCs/>
        </w:rPr>
        <w:t>technical tallow ~$76/cwt</w:t>
      </w:r>
      <w:r>
        <w:t xml:space="preserve"> in the latest published period. These values should be carried into a standardized feedstock cost dashboard each month, with a consistent basis (DLVD vs FOB) tag for comparability. </w:t>
      </w:r>
      <w:hyperlink r:id="rId41">
        <w:r>
          <w:rPr>
            <w:rStyle w:val="Hyperlink"/>
          </w:rPr>
          <w:t>[8]</w:t>
        </w:r>
      </w:hyperlink>
    </w:p>
    <w:p w14:paraId="47AA359B" w14:textId="77777777" w:rsidR="00396B0A" w:rsidRDefault="00000000">
      <w:pPr>
        <w:pStyle w:val="BodyText"/>
      </w:pPr>
      <w:r>
        <w:t xml:space="preserve">NASS also provides the physical production backbone: for </w:t>
      </w:r>
      <w:r>
        <w:rPr>
          <w:b/>
          <w:bCs/>
        </w:rPr>
        <w:t>January 2026</w:t>
      </w:r>
      <w:r>
        <w:t xml:space="preserve">, it reports </w:t>
      </w:r>
      <w:r>
        <w:rPr>
          <w:b/>
          <w:bCs/>
        </w:rPr>
        <w:t>edible tallow production 81.1 million pounds</w:t>
      </w:r>
      <w:r>
        <w:t xml:space="preserve">, </w:t>
      </w:r>
      <w:r>
        <w:rPr>
          <w:b/>
          <w:bCs/>
        </w:rPr>
        <w:t>inedible tallow 282 million pounds</w:t>
      </w:r>
      <w:r>
        <w:t xml:space="preserve">, and </w:t>
      </w:r>
      <w:r>
        <w:rPr>
          <w:b/>
          <w:bCs/>
        </w:rPr>
        <w:t>technical tallow 110 million pounds</w:t>
      </w:r>
      <w:r>
        <w:t xml:space="preserve">, plus </w:t>
      </w:r>
      <w:r>
        <w:rPr>
          <w:b/>
          <w:bCs/>
        </w:rPr>
        <w:t>choice white grease production 100 million pounds</w:t>
      </w:r>
      <w:r>
        <w:t xml:space="preserve">. When prices rise, these production measures help evaluate whether the move is supply-driven or primarily policy/margin-driven. </w:t>
      </w:r>
      <w:hyperlink r:id="rId42">
        <w:r>
          <w:rPr>
            <w:rStyle w:val="Hyperlink"/>
          </w:rPr>
          <w:t>[24]</w:t>
        </w:r>
      </w:hyperlink>
    </w:p>
    <w:p w14:paraId="67D7578B" w14:textId="77777777" w:rsidR="00396B0A" w:rsidRDefault="00000000">
      <w:pPr>
        <w:pStyle w:val="Heading3"/>
      </w:pPr>
      <w:bookmarkStart w:id="14" w:name="corn-oil"/>
      <w:bookmarkEnd w:id="13"/>
      <w:r>
        <w:t>Corn oil</w:t>
      </w:r>
    </w:p>
    <w:p w14:paraId="4B466056" w14:textId="77777777" w:rsidR="00396B0A" w:rsidRDefault="00000000">
      <w:pPr>
        <w:pStyle w:val="FirstParagraph"/>
      </w:pPr>
      <w:r>
        <w:t xml:space="preserve">Corn distillers oil (CDO) is a strategic feedstock because it is “embedded” in the ethanol industry’s operating rate. The latest NASS Grain Crushings and Co-Products report shows </w:t>
      </w:r>
      <w:r>
        <w:rPr>
          <w:b/>
          <w:bCs/>
        </w:rPr>
        <w:lastRenderedPageBreak/>
        <w:t>corn oil (corn distillers oil) production of 191,789 tons in January 2026</w:t>
      </w:r>
      <w:r>
        <w:t xml:space="preserve"> (down from </w:t>
      </w:r>
      <w:r>
        <w:rPr>
          <w:b/>
          <w:bCs/>
        </w:rPr>
        <w:t>201,787 tons</w:t>
      </w:r>
      <w:r>
        <w:t xml:space="preserve"> in December 2025). A robust monthly report should translate ethanol operating rates into expected CDO availability and then into a relative-value view versus soybean oil and greases. </w:t>
      </w:r>
      <w:hyperlink r:id="rId43">
        <w:r>
          <w:rPr>
            <w:rStyle w:val="Hyperlink"/>
          </w:rPr>
          <w:t>[22]</w:t>
        </w:r>
      </w:hyperlink>
    </w:p>
    <w:p w14:paraId="65EAB236" w14:textId="77777777" w:rsidR="00396B0A" w:rsidRDefault="00000000">
      <w:pPr>
        <w:pStyle w:val="Heading2"/>
      </w:pPr>
      <w:bookmarkStart w:id="15" w:name="fuel-market-analysis"/>
      <w:bookmarkEnd w:id="8"/>
      <w:bookmarkEnd w:id="14"/>
      <w:r>
        <w:t>Fuel market analysis</w:t>
      </w:r>
    </w:p>
    <w:p w14:paraId="77C39BD4" w14:textId="77777777" w:rsidR="00396B0A" w:rsidRDefault="00000000">
      <w:pPr>
        <w:pStyle w:val="Heading3"/>
      </w:pPr>
      <w:bookmarkStart w:id="16" w:name="X011dfd769580a659268016a8cd1caf111c1c2f5"/>
      <w:r>
        <w:t>Product definitions and why they matter for blending and credits</w:t>
      </w:r>
    </w:p>
    <w:p w14:paraId="263E0888" w14:textId="77777777" w:rsidR="00396B0A" w:rsidRDefault="00000000">
      <w:pPr>
        <w:pStyle w:val="FirstParagraph"/>
      </w:pPr>
      <w:r>
        <w:t xml:space="preserve">The central operational distinction is between </w:t>
      </w:r>
      <w:r>
        <w:rPr>
          <w:b/>
          <w:bCs/>
        </w:rPr>
        <w:t>biodiesel (FAME)</w:t>
      </w:r>
      <w:r>
        <w:t xml:space="preserve"> and </w:t>
      </w:r>
      <w:r>
        <w:rPr>
          <w:b/>
          <w:bCs/>
        </w:rPr>
        <w:t>renewable diesel (HVO/HEFA)</w:t>
      </w:r>
      <w:r>
        <w:t xml:space="preserve">. In EIA framing, renewable diesel is chemically equivalent to petroleum distillate and can be used in any concentration, while biodiesel is typically blended at lower concentrations (often B20 or less) due to chemical differences. This matters because it affects which end-use markets absorb incremental gallons and how quickly blending can scale with credit signals. </w:t>
      </w:r>
      <w:hyperlink r:id="rId44">
        <w:r>
          <w:rPr>
            <w:rStyle w:val="Hyperlink"/>
          </w:rPr>
          <w:t>[29]</w:t>
        </w:r>
      </w:hyperlink>
    </w:p>
    <w:p w14:paraId="34DA0E44" w14:textId="77777777" w:rsidR="00396B0A" w:rsidRDefault="00000000">
      <w:pPr>
        <w:pStyle w:val="Heading3"/>
      </w:pPr>
      <w:bookmarkStart w:id="17" w:name="production-and-capacity"/>
      <w:bookmarkEnd w:id="16"/>
      <w:r>
        <w:t>Production and capacity</w:t>
      </w:r>
    </w:p>
    <w:p w14:paraId="2C621DC5" w14:textId="77777777" w:rsidR="00396B0A" w:rsidRDefault="00000000">
      <w:pPr>
        <w:pStyle w:val="FirstParagraph"/>
      </w:pPr>
      <w:r>
        <w:t xml:space="preserve">The U.S. “installed base” is now renewable-diesel heavy. EIA’s annual capacity reports show </w:t>
      </w:r>
      <w:r>
        <w:rPr>
          <w:b/>
          <w:bCs/>
        </w:rPr>
        <w:t>renewable diesel fuel &amp; other biofuels</w:t>
      </w:r>
      <w:r>
        <w:t xml:space="preserve"> capacity at </w:t>
      </w:r>
      <w:r>
        <w:rPr>
          <w:b/>
          <w:bCs/>
        </w:rPr>
        <w:t>4,719 MMgal/yr (308 kb/d)</w:t>
      </w:r>
      <w:r>
        <w:t xml:space="preserve"> and </w:t>
      </w:r>
      <w:r>
        <w:rPr>
          <w:b/>
          <w:bCs/>
        </w:rPr>
        <w:t>biodiesel</w:t>
      </w:r>
      <w:r>
        <w:t xml:space="preserve"> capacity at </w:t>
      </w:r>
      <w:r>
        <w:rPr>
          <w:b/>
          <w:bCs/>
        </w:rPr>
        <w:t>1,986 MMgal/yr (130 kb/d)</w:t>
      </w:r>
      <w:r>
        <w:t xml:space="preserve"> as of </w:t>
      </w:r>
      <w:r>
        <w:rPr>
          <w:b/>
          <w:bCs/>
        </w:rPr>
        <w:t>Jan 1, 2025</w:t>
      </w:r>
      <w:r>
        <w:t xml:space="preserve">. For decision-making, this implies soybean oil and waste fat competition is more likely to be set by renewable diesel economics than biodiesel alone. </w:t>
      </w:r>
      <w:hyperlink r:id="rId45">
        <w:r>
          <w:rPr>
            <w:rStyle w:val="Hyperlink"/>
          </w:rPr>
          <w:t>[30]</w:t>
        </w:r>
      </w:hyperlink>
    </w:p>
    <w:p w14:paraId="4B1CEAF4" w14:textId="77777777" w:rsidR="00396B0A" w:rsidRDefault="00000000">
      <w:pPr>
        <w:pStyle w:val="BodyText"/>
      </w:pPr>
      <w:r>
        <w:t xml:space="preserve">EIA’s monthly supply/disposition series indicate renewable diesel production in late 2025 was sustained in the high-100s to low-200s kb/d range, while biodiesel production in 2025 (where available) was weaker than 2024. Even acknowledging reporting gaps, the directional message is a market that increasingly swings on renewable diesel utilization and on the supply of LCFS-advantaged molecules rather than on traditional biodiesel cycles alone. </w:t>
      </w:r>
      <w:hyperlink r:id="rId46">
        <w:r>
          <w:rPr>
            <w:rStyle w:val="Hyperlink"/>
          </w:rPr>
          <w:t>[31]</w:t>
        </w:r>
      </w:hyperlink>
    </w:p>
    <w:p w14:paraId="2F6E6B0F" w14:textId="77777777" w:rsidR="00396B0A" w:rsidRDefault="00000000">
      <w:pPr>
        <w:pStyle w:val="Heading3"/>
      </w:pPr>
      <w:bookmarkStart w:id="18" w:name="blending-demand-and-trade-flows"/>
      <w:bookmarkEnd w:id="17"/>
      <w:r>
        <w:t>Blending, demand, and trade flows</w:t>
      </w:r>
    </w:p>
    <w:p w14:paraId="3A0DDED0" w14:textId="77777777" w:rsidR="00396B0A" w:rsidRDefault="00000000">
      <w:pPr>
        <w:pStyle w:val="FirstParagraph"/>
      </w:pPr>
      <w:r>
        <w:t xml:space="preserve">Demand is best proxied by product supplied and inventory draws/builds. EIA’s product supplied series for biodiesel shows monthly volumes through 2025; for U.S. participants, this is a practical way to track whether blending is “keeping up” with production and whether inventories are tightening or loosening. </w:t>
      </w:r>
      <w:hyperlink r:id="rId47">
        <w:r>
          <w:rPr>
            <w:rStyle w:val="Hyperlink"/>
          </w:rPr>
          <w:t>[32]</w:t>
        </w:r>
      </w:hyperlink>
    </w:p>
    <w:p w14:paraId="4129AC87" w14:textId="77777777" w:rsidR="00396B0A" w:rsidRDefault="00000000">
      <w:pPr>
        <w:pStyle w:val="BodyText"/>
      </w:pPr>
      <w:r>
        <w:t xml:space="preserve">On trade, EIA’s monthly import series shows biodiesel imports falling sharply in 2025 compared with 2024, and industry reporting attributes part of this to changes in tax-credit eligibility that disadvantaged imported fuel. For monthly reporting, imports and exports should be shown alongside domestic production because they influence both credit markets and local physical pricing (especially in coastal demand centers). </w:t>
      </w:r>
      <w:hyperlink r:id="rId48">
        <w:r>
          <w:rPr>
            <w:rStyle w:val="Hyperlink"/>
          </w:rPr>
          <w:t>[33]</w:t>
        </w:r>
      </w:hyperlink>
    </w:p>
    <w:p w14:paraId="76CC7E26" w14:textId="77777777" w:rsidR="00396B0A" w:rsidRDefault="00000000">
      <w:pPr>
        <w:pStyle w:val="Heading3"/>
      </w:pPr>
      <w:bookmarkStart w:id="19" w:name="credits"/>
      <w:bookmarkEnd w:id="18"/>
      <w:r>
        <w:lastRenderedPageBreak/>
        <w:t>Credits</w:t>
      </w:r>
    </w:p>
    <w:p w14:paraId="1E10601B" w14:textId="77777777" w:rsidR="00396B0A" w:rsidRDefault="00000000">
      <w:pPr>
        <w:pStyle w:val="FirstParagraph"/>
      </w:pPr>
      <w:r>
        <w:rPr>
          <w:b/>
          <w:bCs/>
        </w:rPr>
        <w:t>RFS (RINs).</w:t>
      </w:r>
      <w:r>
        <w:t xml:space="preserve"> The RFS “Set 2” final rule provides the most important structural demand baseline through 2027, and sets BBD at 9.07/9.20 billion RINs (2026/2027). A well-designed monthly report should explicitly map how updated volumes change expected annual compliance demand and the implied need for banking/borrowing behavior. </w:t>
      </w:r>
      <w:hyperlink r:id="rId49">
        <w:r>
          <w:rPr>
            <w:rStyle w:val="Hyperlink"/>
          </w:rPr>
          <w:t>[34]</w:t>
        </w:r>
      </w:hyperlink>
    </w:p>
    <w:p w14:paraId="7543BFA7" w14:textId="77777777" w:rsidR="00396B0A" w:rsidRDefault="00000000">
      <w:pPr>
        <w:pStyle w:val="BodyText"/>
      </w:pPr>
      <w:r>
        <w:t xml:space="preserve">EPA also publishes public datasets for RFS program activity (including monthly RIN generation CSV files) and makes weekly volume-weighted price and transaction-volume information available via its public data interface. For repeatable reporting, this is the most defensible primary-source foundation for “what is happening in the credit market.” </w:t>
      </w:r>
      <w:hyperlink r:id="rId50">
        <w:r>
          <w:rPr>
            <w:rStyle w:val="Hyperlink"/>
          </w:rPr>
          <w:t>[35]</w:t>
        </w:r>
      </w:hyperlink>
    </w:p>
    <w:p w14:paraId="431C4D53" w14:textId="77777777" w:rsidR="00396B0A" w:rsidRDefault="00000000">
      <w:pPr>
        <w:pStyle w:val="BodyText"/>
      </w:pPr>
      <w:r>
        <w:rPr>
          <w:b/>
          <w:bCs/>
        </w:rPr>
        <w:t>LCFS and other clean fuel programs.</w:t>
      </w:r>
      <w:r>
        <w:t xml:space="preserve"> California’s LCFS remains the key state-program value stream for renewable diesel and waste-based biodiesel; CARB’s weekly transfer reports provide a transparent, transaction-based summary of weekly VWAP, ranges, and volumes. Washington’s program targets tighten materially in 2026–2027, which should be tracked as a non-California incremental source of low-CI fuel pull. </w:t>
      </w:r>
      <w:hyperlink r:id="rId51">
        <w:r>
          <w:rPr>
            <w:rStyle w:val="Hyperlink"/>
          </w:rPr>
          <w:t>[16]</w:t>
        </w:r>
      </w:hyperlink>
    </w:p>
    <w:p w14:paraId="2FCF331C" w14:textId="77777777" w:rsidR="00396B0A" w:rsidRDefault="00000000">
      <w:pPr>
        <w:pStyle w:val="Heading2"/>
      </w:pPr>
      <w:bookmarkStart w:id="20" w:name="short-term-outlook-and-risks"/>
      <w:bookmarkEnd w:id="15"/>
      <w:bookmarkEnd w:id="19"/>
      <w:r>
        <w:t>Short-term outlook and risks</w:t>
      </w:r>
    </w:p>
    <w:p w14:paraId="3AE8775D" w14:textId="77777777" w:rsidR="00396B0A" w:rsidRDefault="00000000">
      <w:pPr>
        <w:pStyle w:val="Heading3"/>
      </w:pPr>
      <w:bookmarkStart w:id="21" w:name="outlook-for-the-next-13-months"/>
      <w:r>
        <w:t>Outlook for the next 1–3 months</w:t>
      </w:r>
    </w:p>
    <w:p w14:paraId="0337FB7D" w14:textId="77777777" w:rsidR="00396B0A" w:rsidRDefault="00000000">
      <w:pPr>
        <w:pStyle w:val="FirstParagraph"/>
      </w:pPr>
      <w:r>
        <w:rPr>
          <w:b/>
          <w:bCs/>
        </w:rPr>
        <w:t>Base case (most likely): higher policy certainty, but continued feedstock volatility.</w:t>
      </w:r>
      <w:r>
        <w:br/>
        <w:t xml:space="preserve">With the 2026–2027 RFS standards finalized, policy uncertainty for RFS volumes is reduced, which typically shifts market focus back toward (i) actual production and blending rates and (ii) feedstock competition. In this environment, soybean oil, UCO, and animal fat prices are likely to remain volatile because they are “first responders” to any perceived changes in credit or diesel economics, as reflected in high current spot indications in USDA’s weekly price reporting. </w:t>
      </w:r>
      <w:hyperlink r:id="rId52">
        <w:r>
          <w:rPr>
            <w:rStyle w:val="Hyperlink"/>
          </w:rPr>
          <w:t>[36]</w:t>
        </w:r>
      </w:hyperlink>
    </w:p>
    <w:p w14:paraId="15B78F94" w14:textId="77777777" w:rsidR="00396B0A" w:rsidRDefault="00000000">
      <w:pPr>
        <w:pStyle w:val="BodyText"/>
      </w:pPr>
      <w:r>
        <w:rPr>
          <w:b/>
          <w:bCs/>
        </w:rPr>
        <w:t>A second-order swing factor is 45Z implementation details.</w:t>
      </w:r>
      <w:r>
        <w:br/>
        <w:t xml:space="preserve">The proposed 45Z regulations improve clarity but also raise the operational bar: registration, emissions documentation, and credit computation rules become gating items for monetization. Near-term, this tends to widen bid/ask spreads in forward contracting (buyers demand verification; sellers price verification burden) until final rules and market conventions settle. </w:t>
      </w:r>
      <w:hyperlink r:id="rId53">
        <w:r>
          <w:rPr>
            <w:rStyle w:val="Hyperlink"/>
          </w:rPr>
          <w:t>[5]</w:t>
        </w:r>
      </w:hyperlink>
    </w:p>
    <w:p w14:paraId="3E0BD7D7" w14:textId="77777777" w:rsidR="00396B0A" w:rsidRDefault="00000000">
      <w:pPr>
        <w:pStyle w:val="Heading3"/>
      </w:pPr>
      <w:bookmarkStart w:id="22" w:name="key-risks-to-monitor"/>
      <w:bookmarkEnd w:id="21"/>
      <w:r>
        <w:t>Key risks to monitor</w:t>
      </w:r>
    </w:p>
    <w:p w14:paraId="676430FD" w14:textId="77777777" w:rsidR="00396B0A" w:rsidRDefault="00000000">
      <w:pPr>
        <w:pStyle w:val="Compact"/>
        <w:numPr>
          <w:ilvl w:val="0"/>
          <w:numId w:val="4"/>
        </w:numPr>
      </w:pPr>
      <w:r>
        <w:rPr>
          <w:b/>
          <w:bCs/>
        </w:rPr>
        <w:t>Feedstock supply shocks and regionally constrained logistics.</w:t>
      </w:r>
      <w:r>
        <w:t xml:space="preserve"> Yellow grease and tallow prices are meaningfully regional; disruptions to collection/rendering or transportation can create local premium spikes not visible in global vegoil indices. </w:t>
      </w:r>
      <w:hyperlink r:id="rId54">
        <w:r>
          <w:rPr>
            <w:rStyle w:val="Hyperlink"/>
          </w:rPr>
          <w:t>[37]</w:t>
        </w:r>
      </w:hyperlink>
    </w:p>
    <w:p w14:paraId="09B84A9B" w14:textId="77777777" w:rsidR="00396B0A" w:rsidRDefault="00000000">
      <w:pPr>
        <w:pStyle w:val="Compact"/>
        <w:numPr>
          <w:ilvl w:val="0"/>
          <w:numId w:val="4"/>
        </w:numPr>
      </w:pPr>
      <w:r>
        <w:rPr>
          <w:b/>
          <w:bCs/>
        </w:rPr>
        <w:t>Credit price volatility and basis risk across programs.</w:t>
      </w:r>
      <w:r>
        <w:t xml:space="preserve"> LCFS prices are observable weekly in transaction logs; RIN price discovery is active and can shift quickly on regulatory headlines and compliance positioning. </w:t>
      </w:r>
      <w:hyperlink r:id="rId55">
        <w:r>
          <w:rPr>
            <w:rStyle w:val="Hyperlink"/>
          </w:rPr>
          <w:t>[38]</w:t>
        </w:r>
      </w:hyperlink>
    </w:p>
    <w:p w14:paraId="7E12D6F9" w14:textId="77777777" w:rsidR="00396B0A" w:rsidRDefault="00000000">
      <w:pPr>
        <w:pStyle w:val="Compact"/>
        <w:numPr>
          <w:ilvl w:val="0"/>
          <w:numId w:val="4"/>
        </w:numPr>
      </w:pPr>
      <w:r>
        <w:rPr>
          <w:b/>
          <w:bCs/>
        </w:rPr>
        <w:lastRenderedPageBreak/>
        <w:t>Utilization whiplash and inventory reversals.</w:t>
      </w:r>
      <w:r>
        <w:t xml:space="preserve"> EIA time series show that biodiesel inventories can move materially over quarters; if margins improve rapidly, inventory draws can amplify price moves in both feedstocks and finished fuels. </w:t>
      </w:r>
      <w:hyperlink r:id="rId56">
        <w:r>
          <w:rPr>
            <w:rStyle w:val="Hyperlink"/>
          </w:rPr>
          <w:t>[39]</w:t>
        </w:r>
      </w:hyperlink>
    </w:p>
    <w:p w14:paraId="33CE1747" w14:textId="77777777" w:rsidR="00396B0A" w:rsidRDefault="00000000">
      <w:pPr>
        <w:pStyle w:val="Compact"/>
        <w:numPr>
          <w:ilvl w:val="0"/>
          <w:numId w:val="4"/>
        </w:numPr>
      </w:pPr>
      <w:r>
        <w:rPr>
          <w:b/>
          <w:bCs/>
        </w:rPr>
        <w:t>Litigation/implementation timing risk.</w:t>
      </w:r>
      <w:r>
        <w:t xml:space="preserve"> Final rules (RFS volumes, 45Z) can face interpretive disputes, administrative delays, or compliance timing shifts; monthly reporting should tie every major scenario to specific regulatory dates. </w:t>
      </w:r>
      <w:hyperlink r:id="rId57">
        <w:r>
          <w:rPr>
            <w:rStyle w:val="Hyperlink"/>
          </w:rPr>
          <w:t>[40]</w:t>
        </w:r>
      </w:hyperlink>
    </w:p>
    <w:p w14:paraId="045FCC59" w14:textId="77777777" w:rsidR="00396B0A" w:rsidRDefault="00000000">
      <w:pPr>
        <w:pStyle w:val="Heading2"/>
      </w:pPr>
      <w:bookmarkStart w:id="23" w:name="X9149512d1cca6c45f7ccc2160ce6c9d8784592c"/>
      <w:bookmarkEnd w:id="20"/>
      <w:bookmarkEnd w:id="22"/>
      <w:r>
        <w:t>Actionable recommendations for market participants</w:t>
      </w:r>
    </w:p>
    <w:p w14:paraId="6A2F25BB" w14:textId="77777777" w:rsidR="00396B0A" w:rsidRDefault="00000000">
      <w:pPr>
        <w:pStyle w:val="Heading3"/>
      </w:pPr>
      <w:bookmarkStart w:id="24" w:name="X0e12f0fac56475999d694c530d960d14637cb71"/>
      <w:r>
        <w:t>For producers of biodiesel, renewable diesel, and SAF intermediates</w:t>
      </w:r>
    </w:p>
    <w:p w14:paraId="2DC76800" w14:textId="77777777" w:rsidR="00396B0A" w:rsidRDefault="00000000">
      <w:pPr>
        <w:pStyle w:val="FirstParagraph"/>
      </w:pPr>
      <w:r>
        <w:t>Treat April–June 2026 as a “contracting and verification” quarter.</w:t>
      </w:r>
      <w:r>
        <w:br/>
        <w:t xml:space="preserve">Because the RFS volumes are now finalized through 2027 while 45Z implementation is still crystallizing, the value of a physical gallon increasingly depends on documentation quality (feedstock origin, pathway CI assumptions, chain-of-custody). Build a contracting playbook that explicitly prices verification costs and timing. </w:t>
      </w:r>
      <w:hyperlink r:id="rId58">
        <w:r>
          <w:rPr>
            <w:rStyle w:val="Hyperlink"/>
          </w:rPr>
          <w:t>[40]</w:t>
        </w:r>
      </w:hyperlink>
    </w:p>
    <w:p w14:paraId="55EDA582" w14:textId="77777777" w:rsidR="00396B0A" w:rsidRDefault="00000000">
      <w:pPr>
        <w:pStyle w:val="BodyText"/>
      </w:pPr>
      <w:r>
        <w:t>Operationalize feedstock optionality as a risk hedge, not a slogan.</w:t>
      </w:r>
      <w:r>
        <w:br/>
        <w:t xml:space="preserve">USDA’s weekly feedstock quotes show that soybean oil, greases, and tallow are all priced at levels where small relative changes can swing margins. Plants with practical ability to switch among soy/UCO/tallow/other fats should benchmark (monthly) a breakeven “feedstock switching value” using observed price spreads and update it as a KPI. </w:t>
      </w:r>
      <w:hyperlink r:id="rId59">
        <w:r>
          <w:rPr>
            <w:rStyle w:val="Hyperlink"/>
          </w:rPr>
          <w:t>[2]</w:t>
        </w:r>
      </w:hyperlink>
    </w:p>
    <w:p w14:paraId="18F36071" w14:textId="77777777" w:rsidR="00396B0A" w:rsidRDefault="00000000">
      <w:pPr>
        <w:pStyle w:val="Heading3"/>
      </w:pPr>
      <w:bookmarkStart w:id="25" w:name="X334d871b7027ba174daebaa591a323c88817d4e"/>
      <w:bookmarkEnd w:id="24"/>
      <w:r>
        <w:t>For blenders, obligated parties, and credit portfolio managers</w:t>
      </w:r>
    </w:p>
    <w:p w14:paraId="4BC79E53" w14:textId="77777777" w:rsidR="00396B0A" w:rsidRDefault="00000000">
      <w:pPr>
        <w:pStyle w:val="FirstParagraph"/>
      </w:pPr>
      <w:r>
        <w:t>Upgrade the monthly report into a compliance-and-exposure dashboard.</w:t>
      </w:r>
      <w:r>
        <w:br/>
        <w:t xml:space="preserve">At minimum, track (i) RFS volume rules and any compliance timing changes, (ii) observable weekly LCFS transfer prices/volumes, and (iii) EIA production/import indicators that foreshadow RIN availability. This improves hedging discipline and reduces the risk of “surprise” compliance costs. </w:t>
      </w:r>
      <w:hyperlink r:id="rId60">
        <w:r>
          <w:rPr>
            <w:rStyle w:val="Hyperlink"/>
          </w:rPr>
          <w:t>[41]</w:t>
        </w:r>
      </w:hyperlink>
    </w:p>
    <w:p w14:paraId="4411B6BC" w14:textId="77777777" w:rsidR="00396B0A" w:rsidRDefault="00000000">
      <w:pPr>
        <w:pStyle w:val="BodyText"/>
      </w:pPr>
      <w:r>
        <w:t>Use inventory and import/export series as early warning.</w:t>
      </w:r>
      <w:r>
        <w:br/>
        <w:t xml:space="preserve">EIA’s bulk terminal stocks and import series are among the most actionable early-warning indicators available publicly; incorporate them explicitly as triggers (e.g., “inventory draw + declining imports + rising LCFS prices” as a tightening signal). </w:t>
      </w:r>
      <w:hyperlink r:id="rId61">
        <w:r>
          <w:rPr>
            <w:rStyle w:val="Hyperlink"/>
          </w:rPr>
          <w:t>[42]</w:t>
        </w:r>
      </w:hyperlink>
    </w:p>
    <w:p w14:paraId="769C294E" w14:textId="77777777" w:rsidR="00396B0A" w:rsidRDefault="00000000">
      <w:pPr>
        <w:pStyle w:val="Heading3"/>
      </w:pPr>
      <w:bookmarkStart w:id="26" w:name="for-feedstock-suppliers-and-aggregators"/>
      <w:bookmarkEnd w:id="25"/>
      <w:r>
        <w:t>For feedstock suppliers and aggregators</w:t>
      </w:r>
    </w:p>
    <w:p w14:paraId="5FE97B76" w14:textId="77777777" w:rsidR="00396B0A" w:rsidRDefault="00000000">
      <w:pPr>
        <w:pStyle w:val="FirstParagraph"/>
      </w:pPr>
      <w:r>
        <w:t>Align supply contracts to the geographic basis where prices clear.</w:t>
      </w:r>
      <w:r>
        <w:br/>
        <w:t xml:space="preserve">The same report week shows different yellow grease levels in Minnesota vs California; ensure contract structures reflect freight, DLVD/FOB terms, and carbon program access (CA demand vs interior demand). </w:t>
      </w:r>
      <w:hyperlink r:id="rId62">
        <w:r>
          <w:rPr>
            <w:rStyle w:val="Hyperlink"/>
          </w:rPr>
          <w:t>[20]</w:t>
        </w:r>
      </w:hyperlink>
    </w:p>
    <w:p w14:paraId="1B324DE3" w14:textId="77777777" w:rsidR="00396B0A" w:rsidRDefault="00000000">
      <w:pPr>
        <w:pStyle w:val="Heading2"/>
      </w:pPr>
      <w:bookmarkStart w:id="27" w:name="data-appendix-with-tables-and-charts"/>
      <w:bookmarkEnd w:id="23"/>
      <w:bookmarkEnd w:id="26"/>
      <w:r>
        <w:lastRenderedPageBreak/>
        <w:t>Data appendix with tables and charts</w:t>
      </w:r>
    </w:p>
    <w:p w14:paraId="73E2C624" w14:textId="77777777" w:rsidR="00396B0A" w:rsidRDefault="00000000">
      <w:pPr>
        <w:pStyle w:val="Heading3"/>
      </w:pPr>
      <w:bookmarkStart w:id="28" w:name="time-series-charts"/>
      <w:r>
        <w:t>Time-series charts</w:t>
      </w:r>
    </w:p>
    <w:p w14:paraId="5DD85A9F" w14:textId="77777777" w:rsidR="00396B0A" w:rsidRDefault="00000000">
      <w:pPr>
        <w:pStyle w:val="FirstParagraph"/>
      </w:pPr>
      <w:r>
        <w:rPr>
          <w:b/>
          <w:bCs/>
        </w:rPr>
        <w:t>Global vegetable oil price benchmarks (IMF primary commodity prices via FRED)</w:t>
      </w:r>
    </w:p>
    <w:p w14:paraId="5019763A" w14:textId="77777777" w:rsidR="00396B0A" w:rsidRDefault="00000000">
      <w:pPr>
        <w:pStyle w:val="BodyText"/>
      </w:pPr>
      <w:r>
        <w:t>Global vegetable oil prices (FRED/IMF)</w:t>
      </w:r>
      <w:r>
        <w:br/>
      </w:r>
    </w:p>
    <w:p w14:paraId="7BD9818F" w14:textId="77777777" w:rsidR="00396B0A" w:rsidRDefault="00000000">
      <w:pPr>
        <w:pStyle w:val="BodyText"/>
      </w:pPr>
      <w:r>
        <w:t xml:space="preserve">Data are monthly through </w:t>
      </w:r>
      <w:r>
        <w:rPr>
          <w:b/>
          <w:bCs/>
        </w:rPr>
        <w:t>Feb 2026</w:t>
      </w:r>
      <w:r>
        <w:t xml:space="preserve">; soybean oil rose sharply into Feb 2026, with rapeseed oil also elevated, supporting a “global oils remain tight” framing rather than a purely local demand story. </w:t>
      </w:r>
      <w:hyperlink r:id="rId63">
        <w:r>
          <w:rPr>
            <w:rStyle w:val="Hyperlink"/>
          </w:rPr>
          <w:t>[43]</w:t>
        </w:r>
      </w:hyperlink>
    </w:p>
    <w:p w14:paraId="624C39C4" w14:textId="77777777" w:rsidR="00396B0A" w:rsidRDefault="00000000">
      <w:pPr>
        <w:pStyle w:val="BodyText"/>
      </w:pPr>
      <w:r>
        <w:rPr>
          <w:b/>
          <w:bCs/>
        </w:rPr>
        <w:t>U.S. biofuels plant net production (EIA, thousand barrels per day)</w:t>
      </w:r>
    </w:p>
    <w:p w14:paraId="215106EC" w14:textId="77777777" w:rsidR="00396B0A" w:rsidRDefault="00000000">
      <w:pPr>
        <w:pStyle w:val="BodyText"/>
      </w:pPr>
      <w:r>
        <w:t>U.S. biodiesel and renewable diesel production (EIA)</w:t>
      </w:r>
      <w:r>
        <w:br/>
      </w:r>
    </w:p>
    <w:p w14:paraId="3C8342BB" w14:textId="77777777" w:rsidR="00396B0A" w:rsidRDefault="00000000">
      <w:pPr>
        <w:pStyle w:val="BodyText"/>
      </w:pPr>
      <w:r>
        <w:t xml:space="preserve">Renewable diesel remains consistently larger than biodiesel in reported monthly net production; biodiesel shows weaker 2025 levels (where available) relative to 2024, consistent with a market that is increasingly RD-led. </w:t>
      </w:r>
      <w:hyperlink r:id="rId64">
        <w:r>
          <w:rPr>
            <w:rStyle w:val="Hyperlink"/>
          </w:rPr>
          <w:t>[31]</w:t>
        </w:r>
      </w:hyperlink>
    </w:p>
    <w:p w14:paraId="12A3E637" w14:textId="77777777" w:rsidR="00396B0A" w:rsidRDefault="00000000">
      <w:pPr>
        <w:pStyle w:val="BodyText"/>
      </w:pPr>
      <w:r>
        <w:rPr>
          <w:b/>
          <w:bCs/>
        </w:rPr>
        <w:t>U.S. biodiesel inventories at bulk terminals (EIA, thousand barrels)</w:t>
      </w:r>
    </w:p>
    <w:p w14:paraId="34C37D22" w14:textId="77777777" w:rsidR="00396B0A" w:rsidRDefault="00000000">
      <w:pPr>
        <w:pStyle w:val="BodyText"/>
      </w:pPr>
      <w:r>
        <w:t>U.S. biodiesel bulk-terminal stocks (EIA)</w:t>
      </w:r>
      <w:r>
        <w:br/>
      </w:r>
    </w:p>
    <w:p w14:paraId="4AA4612F" w14:textId="77777777" w:rsidR="00396B0A" w:rsidRDefault="00000000">
      <w:pPr>
        <w:pStyle w:val="BodyText"/>
      </w:pPr>
      <w:r>
        <w:t xml:space="preserve">Inventories declined from early-2024 highs into mid-2025 and later rebuilt—an important signal for physical tightness and for how quickly blending could respond to changing margins. </w:t>
      </w:r>
      <w:hyperlink r:id="rId65">
        <w:r>
          <w:rPr>
            <w:rStyle w:val="Hyperlink"/>
          </w:rPr>
          <w:t>[12]</w:t>
        </w:r>
      </w:hyperlink>
    </w:p>
    <w:p w14:paraId="1F312E21" w14:textId="77777777" w:rsidR="00396B0A" w:rsidRDefault="00000000">
      <w:pPr>
        <w:pStyle w:val="Heading3"/>
      </w:pPr>
      <w:bookmarkStart w:id="29" w:name="snapshot-tables-you-can-reuse-each-month"/>
      <w:bookmarkEnd w:id="28"/>
      <w:r>
        <w:t>Snapshot tables you can reuse each month</w:t>
      </w:r>
    </w:p>
    <w:p w14:paraId="3CC36A9A" w14:textId="77777777" w:rsidR="00396B0A" w:rsidRDefault="00000000">
      <w:pPr>
        <w:pStyle w:val="FirstParagraph"/>
      </w:pPr>
      <w:r>
        <w:rPr>
          <w:b/>
          <w:bCs/>
        </w:rPr>
        <w:t>Feedstock spot/near-spot pricing (USDA weekly reports, early April 2026)</w:t>
      </w:r>
    </w:p>
    <w:tbl>
      <w:tblPr>
        <w:tblStyle w:val="Table"/>
        <w:tblW w:w="0" w:type="auto"/>
        <w:tblLook w:val="0020" w:firstRow="1" w:lastRow="0" w:firstColumn="0" w:lastColumn="0" w:noHBand="0" w:noVBand="0"/>
      </w:tblPr>
      <w:tblGrid>
        <w:gridCol w:w="2491"/>
        <w:gridCol w:w="2006"/>
        <w:gridCol w:w="2338"/>
        <w:gridCol w:w="2525"/>
      </w:tblGrid>
      <w:tr w:rsidR="00396B0A" w14:paraId="17F5D147" w14:textId="77777777" w:rsidTr="00396B0A">
        <w:trPr>
          <w:cnfStyle w:val="100000000000" w:firstRow="1" w:lastRow="0" w:firstColumn="0" w:lastColumn="0" w:oddVBand="0" w:evenVBand="0" w:oddHBand="0" w:evenHBand="0" w:firstRowFirstColumn="0" w:firstRowLastColumn="0" w:lastRowFirstColumn="0" w:lastRowLastColumn="0"/>
          <w:tblHeader/>
        </w:trPr>
        <w:tc>
          <w:tcPr>
            <w:tcW w:w="0" w:type="auto"/>
          </w:tcPr>
          <w:p w14:paraId="2FDD5BC8" w14:textId="77777777" w:rsidR="00396B0A" w:rsidRDefault="00000000">
            <w:pPr>
              <w:pStyle w:val="Compact"/>
            </w:pPr>
            <w:r>
              <w:t>Feedstock</w:t>
            </w:r>
          </w:p>
        </w:tc>
        <w:tc>
          <w:tcPr>
            <w:tcW w:w="0" w:type="auto"/>
          </w:tcPr>
          <w:p w14:paraId="5A16C638" w14:textId="77777777" w:rsidR="00396B0A" w:rsidRDefault="00000000">
            <w:pPr>
              <w:pStyle w:val="Compact"/>
            </w:pPr>
            <w:r>
              <w:t>Marker</w:t>
            </w:r>
          </w:p>
        </w:tc>
        <w:tc>
          <w:tcPr>
            <w:tcW w:w="0" w:type="auto"/>
          </w:tcPr>
          <w:p w14:paraId="36BF45E2" w14:textId="77777777" w:rsidR="00396B0A" w:rsidRDefault="00000000">
            <w:pPr>
              <w:pStyle w:val="Compact"/>
              <w:jc w:val="right"/>
            </w:pPr>
            <w:r>
              <w:t>Latest observed range/value</w:t>
            </w:r>
          </w:p>
        </w:tc>
        <w:tc>
          <w:tcPr>
            <w:tcW w:w="0" w:type="auto"/>
          </w:tcPr>
          <w:p w14:paraId="62E8CC63" w14:textId="77777777" w:rsidR="00396B0A" w:rsidRDefault="00000000">
            <w:pPr>
              <w:pStyle w:val="Compact"/>
            </w:pPr>
            <w:r>
              <w:t>Date basis</w:t>
            </w:r>
          </w:p>
        </w:tc>
      </w:tr>
      <w:tr w:rsidR="00396B0A" w14:paraId="06C1FEE4" w14:textId="77777777">
        <w:tc>
          <w:tcPr>
            <w:tcW w:w="0" w:type="auto"/>
          </w:tcPr>
          <w:p w14:paraId="4C6A4611" w14:textId="77777777" w:rsidR="00396B0A" w:rsidRDefault="00000000">
            <w:pPr>
              <w:pStyle w:val="Compact"/>
            </w:pPr>
            <w:r>
              <w:t>Crude soybean oil</w:t>
            </w:r>
          </w:p>
        </w:tc>
        <w:tc>
          <w:tcPr>
            <w:tcW w:w="0" w:type="auto"/>
          </w:tcPr>
          <w:p w14:paraId="240ED9A3" w14:textId="77777777" w:rsidR="00396B0A" w:rsidRDefault="00000000">
            <w:pPr>
              <w:pStyle w:val="Compact"/>
            </w:pPr>
            <w:r>
              <w:t>Central IL</w:t>
            </w:r>
          </w:p>
        </w:tc>
        <w:tc>
          <w:tcPr>
            <w:tcW w:w="0" w:type="auto"/>
          </w:tcPr>
          <w:p w14:paraId="68C0056C" w14:textId="77777777" w:rsidR="00396B0A" w:rsidRDefault="00000000">
            <w:pPr>
              <w:pStyle w:val="Compact"/>
              <w:jc w:val="right"/>
            </w:pPr>
            <w:r>
              <w:rPr>
                <w:b/>
                <w:bCs/>
              </w:rPr>
              <w:t>67.94–68.94 ¢/lb</w:t>
            </w:r>
          </w:p>
        </w:tc>
        <w:tc>
          <w:tcPr>
            <w:tcW w:w="0" w:type="auto"/>
          </w:tcPr>
          <w:p w14:paraId="299CFDD1" w14:textId="77777777" w:rsidR="00396B0A" w:rsidRDefault="00000000">
            <w:pPr>
              <w:pStyle w:val="Compact"/>
            </w:pPr>
            <w:r>
              <w:t xml:space="preserve">W/E Apr 3, 2026 </w:t>
            </w:r>
            <w:hyperlink r:id="rId66">
              <w:r>
                <w:rPr>
                  <w:rStyle w:val="Hyperlink"/>
                </w:rPr>
                <w:t>[6]</w:t>
              </w:r>
            </w:hyperlink>
          </w:p>
        </w:tc>
      </w:tr>
      <w:tr w:rsidR="00396B0A" w14:paraId="72DCCDC6" w14:textId="77777777">
        <w:tc>
          <w:tcPr>
            <w:tcW w:w="0" w:type="auto"/>
          </w:tcPr>
          <w:p w14:paraId="5B5C1AA3" w14:textId="77777777" w:rsidR="00396B0A" w:rsidRDefault="00000000">
            <w:pPr>
              <w:pStyle w:val="Compact"/>
            </w:pPr>
            <w:r>
              <w:t>Yellow grease</w:t>
            </w:r>
          </w:p>
        </w:tc>
        <w:tc>
          <w:tcPr>
            <w:tcW w:w="0" w:type="auto"/>
          </w:tcPr>
          <w:p w14:paraId="7776C6B0" w14:textId="77777777" w:rsidR="00396B0A" w:rsidRDefault="00000000">
            <w:pPr>
              <w:pStyle w:val="Compact"/>
            </w:pPr>
            <w:r>
              <w:t>Minnesota</w:t>
            </w:r>
          </w:p>
        </w:tc>
        <w:tc>
          <w:tcPr>
            <w:tcW w:w="0" w:type="auto"/>
          </w:tcPr>
          <w:p w14:paraId="22B14839" w14:textId="77777777" w:rsidR="00396B0A" w:rsidRDefault="00000000">
            <w:pPr>
              <w:pStyle w:val="Compact"/>
              <w:jc w:val="right"/>
            </w:pPr>
            <w:r>
              <w:rPr>
                <w:b/>
                <w:bCs/>
              </w:rPr>
              <w:t>44–48 ¢/lb</w:t>
            </w:r>
          </w:p>
        </w:tc>
        <w:tc>
          <w:tcPr>
            <w:tcW w:w="0" w:type="auto"/>
          </w:tcPr>
          <w:p w14:paraId="062C76F8" w14:textId="77777777" w:rsidR="00396B0A" w:rsidRDefault="00000000">
            <w:pPr>
              <w:pStyle w:val="Compact"/>
            </w:pPr>
            <w:r>
              <w:t xml:space="preserve">Report period Mar 30–Apr 3, 2026 </w:t>
            </w:r>
            <w:hyperlink r:id="rId67">
              <w:r>
                <w:rPr>
                  <w:rStyle w:val="Hyperlink"/>
                </w:rPr>
                <w:t>[7]</w:t>
              </w:r>
            </w:hyperlink>
          </w:p>
        </w:tc>
      </w:tr>
      <w:tr w:rsidR="00396B0A" w14:paraId="190EA5A4" w14:textId="77777777">
        <w:tc>
          <w:tcPr>
            <w:tcW w:w="0" w:type="auto"/>
          </w:tcPr>
          <w:p w14:paraId="1BCF224A" w14:textId="77777777" w:rsidR="00396B0A" w:rsidRDefault="00000000">
            <w:pPr>
              <w:pStyle w:val="Compact"/>
            </w:pPr>
            <w:r>
              <w:t>Yellow grease</w:t>
            </w:r>
          </w:p>
        </w:tc>
        <w:tc>
          <w:tcPr>
            <w:tcW w:w="0" w:type="auto"/>
          </w:tcPr>
          <w:p w14:paraId="74632003" w14:textId="77777777" w:rsidR="00396B0A" w:rsidRDefault="00000000">
            <w:pPr>
              <w:pStyle w:val="Compact"/>
            </w:pPr>
            <w:r>
              <w:t>CA (San Joaquin Valley)</w:t>
            </w:r>
          </w:p>
        </w:tc>
        <w:tc>
          <w:tcPr>
            <w:tcW w:w="0" w:type="auto"/>
          </w:tcPr>
          <w:p w14:paraId="19CFF699" w14:textId="77777777" w:rsidR="00396B0A" w:rsidRDefault="00000000">
            <w:pPr>
              <w:pStyle w:val="Compact"/>
              <w:jc w:val="right"/>
            </w:pPr>
            <w:r>
              <w:rPr>
                <w:b/>
                <w:bCs/>
              </w:rPr>
              <w:t>50–56 ¢/lb</w:t>
            </w:r>
          </w:p>
        </w:tc>
        <w:tc>
          <w:tcPr>
            <w:tcW w:w="0" w:type="auto"/>
          </w:tcPr>
          <w:p w14:paraId="5A340773" w14:textId="77777777" w:rsidR="00396B0A" w:rsidRDefault="00000000">
            <w:pPr>
              <w:pStyle w:val="Compact"/>
            </w:pPr>
            <w:r>
              <w:t xml:space="preserve">Report period Mar 30–Apr 3, 2026 </w:t>
            </w:r>
            <w:hyperlink r:id="rId68">
              <w:r>
                <w:rPr>
                  <w:rStyle w:val="Hyperlink"/>
                </w:rPr>
                <w:t>[7]</w:t>
              </w:r>
            </w:hyperlink>
          </w:p>
        </w:tc>
      </w:tr>
      <w:tr w:rsidR="00396B0A" w14:paraId="0A023203" w14:textId="77777777">
        <w:tc>
          <w:tcPr>
            <w:tcW w:w="0" w:type="auto"/>
          </w:tcPr>
          <w:p w14:paraId="61F53667" w14:textId="77777777" w:rsidR="00396B0A" w:rsidRDefault="00000000">
            <w:pPr>
              <w:pStyle w:val="Compact"/>
            </w:pPr>
            <w:r>
              <w:t>Bleachable tallow (&lt;0.15% FFA)</w:t>
            </w:r>
          </w:p>
        </w:tc>
        <w:tc>
          <w:tcPr>
            <w:tcW w:w="0" w:type="auto"/>
          </w:tcPr>
          <w:p w14:paraId="1735059B" w14:textId="77777777" w:rsidR="00396B0A" w:rsidRDefault="00000000">
            <w:pPr>
              <w:pStyle w:val="Compact"/>
            </w:pPr>
            <w:r>
              <w:t>Chicago</w:t>
            </w:r>
          </w:p>
        </w:tc>
        <w:tc>
          <w:tcPr>
            <w:tcW w:w="0" w:type="auto"/>
          </w:tcPr>
          <w:p w14:paraId="6824CC45" w14:textId="77777777" w:rsidR="00396B0A" w:rsidRDefault="00000000">
            <w:pPr>
              <w:pStyle w:val="Compact"/>
              <w:jc w:val="right"/>
            </w:pPr>
            <w:r>
              <w:rPr>
                <w:b/>
                <w:bCs/>
              </w:rPr>
              <w:t>$74–75/cwt</w:t>
            </w:r>
          </w:p>
        </w:tc>
        <w:tc>
          <w:tcPr>
            <w:tcW w:w="0" w:type="auto"/>
          </w:tcPr>
          <w:p w14:paraId="66BD5F69" w14:textId="77777777" w:rsidR="00396B0A" w:rsidRDefault="00000000">
            <w:pPr>
              <w:pStyle w:val="Compact"/>
            </w:pPr>
            <w:r>
              <w:t xml:space="preserve">Report period Mar 30–Apr 3, 2026 </w:t>
            </w:r>
            <w:hyperlink r:id="rId69">
              <w:r>
                <w:rPr>
                  <w:rStyle w:val="Hyperlink"/>
                </w:rPr>
                <w:t>[8]</w:t>
              </w:r>
            </w:hyperlink>
          </w:p>
        </w:tc>
      </w:tr>
      <w:tr w:rsidR="00396B0A" w14:paraId="1859710E" w14:textId="77777777">
        <w:tc>
          <w:tcPr>
            <w:tcW w:w="0" w:type="auto"/>
          </w:tcPr>
          <w:p w14:paraId="11456207" w14:textId="77777777" w:rsidR="00396B0A" w:rsidRDefault="00000000">
            <w:pPr>
              <w:pStyle w:val="Compact"/>
            </w:pPr>
            <w:r>
              <w:t>Technical tallow</w:t>
            </w:r>
          </w:p>
        </w:tc>
        <w:tc>
          <w:tcPr>
            <w:tcW w:w="0" w:type="auto"/>
          </w:tcPr>
          <w:p w14:paraId="2DCE5E37" w14:textId="77777777" w:rsidR="00396B0A" w:rsidRDefault="00000000">
            <w:pPr>
              <w:pStyle w:val="Compact"/>
            </w:pPr>
            <w:r>
              <w:t>Chicago</w:t>
            </w:r>
          </w:p>
        </w:tc>
        <w:tc>
          <w:tcPr>
            <w:tcW w:w="0" w:type="auto"/>
          </w:tcPr>
          <w:p w14:paraId="61013C3F" w14:textId="77777777" w:rsidR="00396B0A" w:rsidRDefault="00000000">
            <w:pPr>
              <w:pStyle w:val="Compact"/>
              <w:jc w:val="right"/>
            </w:pPr>
            <w:r>
              <w:rPr>
                <w:b/>
                <w:bCs/>
              </w:rPr>
              <w:t>$76/cwt</w:t>
            </w:r>
          </w:p>
        </w:tc>
        <w:tc>
          <w:tcPr>
            <w:tcW w:w="0" w:type="auto"/>
          </w:tcPr>
          <w:p w14:paraId="077115AE" w14:textId="77777777" w:rsidR="00396B0A" w:rsidRDefault="00000000">
            <w:pPr>
              <w:pStyle w:val="Compact"/>
            </w:pPr>
            <w:r>
              <w:t xml:space="preserve">Report period Mar 30–Apr 3, 2026 </w:t>
            </w:r>
            <w:hyperlink r:id="rId70">
              <w:r>
                <w:rPr>
                  <w:rStyle w:val="Hyperlink"/>
                </w:rPr>
                <w:t>[8]</w:t>
              </w:r>
            </w:hyperlink>
          </w:p>
        </w:tc>
      </w:tr>
    </w:tbl>
    <w:p w14:paraId="3A52EC72" w14:textId="77777777" w:rsidR="00396B0A" w:rsidRDefault="00000000">
      <w:pPr>
        <w:pStyle w:val="BodyText"/>
      </w:pPr>
      <w:r>
        <w:rPr>
          <w:b/>
          <w:bCs/>
        </w:rPr>
        <w:lastRenderedPageBreak/>
        <w:t>Physical output indicators (NASS, January 2026 data in March 2026 releases)</w:t>
      </w:r>
    </w:p>
    <w:tbl>
      <w:tblPr>
        <w:tblStyle w:val="Table"/>
        <w:tblW w:w="0" w:type="auto"/>
        <w:tblLook w:val="0020" w:firstRow="1" w:lastRow="0" w:firstColumn="0" w:lastColumn="0" w:noHBand="0" w:noVBand="0"/>
      </w:tblPr>
      <w:tblGrid>
        <w:gridCol w:w="2715"/>
        <w:gridCol w:w="2380"/>
        <w:gridCol w:w="4265"/>
      </w:tblGrid>
      <w:tr w:rsidR="00396B0A" w14:paraId="13D4DE40" w14:textId="77777777" w:rsidTr="00396B0A">
        <w:trPr>
          <w:cnfStyle w:val="100000000000" w:firstRow="1" w:lastRow="0" w:firstColumn="0" w:lastColumn="0" w:oddVBand="0" w:evenVBand="0" w:oddHBand="0" w:evenHBand="0" w:firstRowFirstColumn="0" w:firstRowLastColumn="0" w:lastRowFirstColumn="0" w:lastRowLastColumn="0"/>
          <w:tblHeader/>
        </w:trPr>
        <w:tc>
          <w:tcPr>
            <w:tcW w:w="0" w:type="auto"/>
          </w:tcPr>
          <w:p w14:paraId="1A459A66" w14:textId="77777777" w:rsidR="00396B0A" w:rsidRDefault="00000000">
            <w:pPr>
              <w:pStyle w:val="Compact"/>
            </w:pPr>
            <w:r>
              <w:t>Indicator</w:t>
            </w:r>
          </w:p>
        </w:tc>
        <w:tc>
          <w:tcPr>
            <w:tcW w:w="0" w:type="auto"/>
          </w:tcPr>
          <w:p w14:paraId="7B40EB61" w14:textId="77777777" w:rsidR="00396B0A" w:rsidRDefault="00000000">
            <w:pPr>
              <w:pStyle w:val="Compact"/>
              <w:jc w:val="right"/>
            </w:pPr>
            <w:r>
              <w:t>Value</w:t>
            </w:r>
          </w:p>
        </w:tc>
        <w:tc>
          <w:tcPr>
            <w:tcW w:w="0" w:type="auto"/>
          </w:tcPr>
          <w:p w14:paraId="0492EE84" w14:textId="77777777" w:rsidR="00396B0A" w:rsidRDefault="00000000">
            <w:pPr>
              <w:pStyle w:val="Compact"/>
            </w:pPr>
            <w:r>
              <w:t>Why it belongs in the monthly report</w:t>
            </w:r>
          </w:p>
        </w:tc>
      </w:tr>
      <w:tr w:rsidR="00396B0A" w14:paraId="12394D0B" w14:textId="77777777">
        <w:tc>
          <w:tcPr>
            <w:tcW w:w="0" w:type="auto"/>
          </w:tcPr>
          <w:p w14:paraId="685EFBBD" w14:textId="77777777" w:rsidR="00396B0A" w:rsidRDefault="00000000">
            <w:pPr>
              <w:pStyle w:val="Compact"/>
            </w:pPr>
            <w:r>
              <w:t>Soybeans crushed (Jan 2026)</w:t>
            </w:r>
          </w:p>
        </w:tc>
        <w:tc>
          <w:tcPr>
            <w:tcW w:w="0" w:type="auto"/>
          </w:tcPr>
          <w:p w14:paraId="1EEC6E3C" w14:textId="77777777" w:rsidR="00396B0A" w:rsidRDefault="00000000">
            <w:pPr>
              <w:pStyle w:val="Compact"/>
              <w:jc w:val="right"/>
            </w:pPr>
            <w:r>
              <w:rPr>
                <w:b/>
                <w:bCs/>
              </w:rPr>
              <w:t>6.84 million tons (228 million bu)</w:t>
            </w:r>
          </w:p>
        </w:tc>
        <w:tc>
          <w:tcPr>
            <w:tcW w:w="0" w:type="auto"/>
          </w:tcPr>
          <w:p w14:paraId="6F4DAED6" w14:textId="77777777" w:rsidR="00396B0A" w:rsidRDefault="00000000">
            <w:pPr>
              <w:pStyle w:val="Compact"/>
            </w:pPr>
            <w:r>
              <w:t xml:space="preserve">Near-direct indicator of soybean oil availability. </w:t>
            </w:r>
            <w:hyperlink r:id="rId71">
              <w:r>
                <w:rPr>
                  <w:rStyle w:val="Hyperlink"/>
                </w:rPr>
                <w:t>[24]</w:t>
              </w:r>
            </w:hyperlink>
          </w:p>
        </w:tc>
      </w:tr>
      <w:tr w:rsidR="00396B0A" w14:paraId="7A4FEE8F" w14:textId="77777777">
        <w:tc>
          <w:tcPr>
            <w:tcW w:w="0" w:type="auto"/>
          </w:tcPr>
          <w:p w14:paraId="3B4D57DE" w14:textId="77777777" w:rsidR="00396B0A" w:rsidRDefault="00000000">
            <w:pPr>
              <w:pStyle w:val="Compact"/>
            </w:pPr>
            <w:r>
              <w:t>Crude soybean oil produced (Jan 2026)</w:t>
            </w:r>
          </w:p>
        </w:tc>
        <w:tc>
          <w:tcPr>
            <w:tcW w:w="0" w:type="auto"/>
          </w:tcPr>
          <w:p w14:paraId="2130B452" w14:textId="77777777" w:rsidR="00396B0A" w:rsidRDefault="00000000">
            <w:pPr>
              <w:pStyle w:val="Compact"/>
              <w:jc w:val="right"/>
            </w:pPr>
            <w:r>
              <w:rPr>
                <w:b/>
                <w:bCs/>
              </w:rPr>
              <w:t>2.63 billion lbs</w:t>
            </w:r>
          </w:p>
        </w:tc>
        <w:tc>
          <w:tcPr>
            <w:tcW w:w="0" w:type="auto"/>
          </w:tcPr>
          <w:p w14:paraId="64826B01" w14:textId="77777777" w:rsidR="00396B0A" w:rsidRDefault="00000000">
            <w:pPr>
              <w:pStyle w:val="Compact"/>
            </w:pPr>
            <w:r>
              <w:t xml:space="preserve">Links agricultural processing to biofuel feedstock availability. </w:t>
            </w:r>
            <w:hyperlink r:id="rId72">
              <w:r>
                <w:rPr>
                  <w:rStyle w:val="Hyperlink"/>
                </w:rPr>
                <w:t>[24]</w:t>
              </w:r>
            </w:hyperlink>
          </w:p>
        </w:tc>
      </w:tr>
      <w:tr w:rsidR="00396B0A" w14:paraId="3BEA54B0" w14:textId="77777777">
        <w:tc>
          <w:tcPr>
            <w:tcW w:w="0" w:type="auto"/>
          </w:tcPr>
          <w:p w14:paraId="677FE50C" w14:textId="77777777" w:rsidR="00396B0A" w:rsidRDefault="00000000">
            <w:pPr>
              <w:pStyle w:val="Compact"/>
            </w:pPr>
            <w:r>
              <w:t>Canola crushed (Jan 2026)</w:t>
            </w:r>
          </w:p>
        </w:tc>
        <w:tc>
          <w:tcPr>
            <w:tcW w:w="0" w:type="auto"/>
          </w:tcPr>
          <w:p w14:paraId="3082FC5D" w14:textId="77777777" w:rsidR="00396B0A" w:rsidRDefault="00000000">
            <w:pPr>
              <w:pStyle w:val="Compact"/>
              <w:jc w:val="right"/>
            </w:pPr>
            <w:r>
              <w:rPr>
                <w:b/>
                <w:bCs/>
              </w:rPr>
              <w:t>209,452 tons</w:t>
            </w:r>
          </w:p>
        </w:tc>
        <w:tc>
          <w:tcPr>
            <w:tcW w:w="0" w:type="auto"/>
          </w:tcPr>
          <w:p w14:paraId="2C18510E" w14:textId="77777777" w:rsidR="00396B0A" w:rsidRDefault="00000000">
            <w:pPr>
              <w:pStyle w:val="Compact"/>
            </w:pPr>
            <w:r>
              <w:t xml:space="preserve">Domestic canola/oil footprint for optionality analysis. </w:t>
            </w:r>
            <w:hyperlink r:id="rId73">
              <w:r>
                <w:rPr>
                  <w:rStyle w:val="Hyperlink"/>
                </w:rPr>
                <w:t>[24]</w:t>
              </w:r>
            </w:hyperlink>
          </w:p>
        </w:tc>
      </w:tr>
      <w:tr w:rsidR="00396B0A" w14:paraId="2126C8FD" w14:textId="77777777">
        <w:tc>
          <w:tcPr>
            <w:tcW w:w="0" w:type="auto"/>
          </w:tcPr>
          <w:p w14:paraId="27BFAC2C" w14:textId="77777777" w:rsidR="00396B0A" w:rsidRDefault="00000000">
            <w:pPr>
              <w:pStyle w:val="Compact"/>
            </w:pPr>
            <w:r>
              <w:t>Corn distillers oil produced (Jan 2026)</w:t>
            </w:r>
          </w:p>
        </w:tc>
        <w:tc>
          <w:tcPr>
            <w:tcW w:w="0" w:type="auto"/>
          </w:tcPr>
          <w:p w14:paraId="7F3CCB5A" w14:textId="77777777" w:rsidR="00396B0A" w:rsidRDefault="00000000">
            <w:pPr>
              <w:pStyle w:val="Compact"/>
              <w:jc w:val="right"/>
            </w:pPr>
            <w:r>
              <w:rPr>
                <w:b/>
                <w:bCs/>
              </w:rPr>
              <w:t>191,789 tons</w:t>
            </w:r>
          </w:p>
        </w:tc>
        <w:tc>
          <w:tcPr>
            <w:tcW w:w="0" w:type="auto"/>
          </w:tcPr>
          <w:p w14:paraId="5A5244D0" w14:textId="77777777" w:rsidR="00396B0A" w:rsidRDefault="00000000">
            <w:pPr>
              <w:pStyle w:val="Compact"/>
            </w:pPr>
            <w:r>
              <w:t xml:space="preserve">Ethanol-driven feedstock supply for biodiesel/RD. </w:t>
            </w:r>
            <w:hyperlink r:id="rId74">
              <w:r>
                <w:rPr>
                  <w:rStyle w:val="Hyperlink"/>
                </w:rPr>
                <w:t>[22]</w:t>
              </w:r>
            </w:hyperlink>
          </w:p>
        </w:tc>
      </w:tr>
    </w:tbl>
    <w:p w14:paraId="67F95B30" w14:textId="77777777" w:rsidR="00396B0A" w:rsidRDefault="00000000">
      <w:pPr>
        <w:pStyle w:val="BodyText"/>
      </w:pPr>
      <w:r>
        <w:rPr>
          <w:b/>
          <w:bCs/>
        </w:rPr>
        <w:t>Credits and compliance anchors</w:t>
      </w:r>
    </w:p>
    <w:tbl>
      <w:tblPr>
        <w:tblStyle w:val="Table"/>
        <w:tblW w:w="0" w:type="auto"/>
        <w:tblLook w:val="0020" w:firstRow="1" w:lastRow="0" w:firstColumn="0" w:lastColumn="0" w:noHBand="0" w:noVBand="0"/>
      </w:tblPr>
      <w:tblGrid>
        <w:gridCol w:w="3945"/>
        <w:gridCol w:w="2553"/>
        <w:gridCol w:w="2862"/>
      </w:tblGrid>
      <w:tr w:rsidR="00396B0A" w14:paraId="7C7599E5" w14:textId="77777777" w:rsidTr="00396B0A">
        <w:trPr>
          <w:cnfStyle w:val="100000000000" w:firstRow="1" w:lastRow="0" w:firstColumn="0" w:lastColumn="0" w:oddVBand="0" w:evenVBand="0" w:oddHBand="0" w:evenHBand="0" w:firstRowFirstColumn="0" w:firstRowLastColumn="0" w:lastRowFirstColumn="0" w:lastRowLastColumn="0"/>
          <w:tblHeader/>
        </w:trPr>
        <w:tc>
          <w:tcPr>
            <w:tcW w:w="0" w:type="auto"/>
          </w:tcPr>
          <w:p w14:paraId="642C3300" w14:textId="77777777" w:rsidR="00396B0A" w:rsidRDefault="00000000">
            <w:pPr>
              <w:pStyle w:val="Compact"/>
            </w:pPr>
            <w:r>
              <w:t>Item</w:t>
            </w:r>
          </w:p>
        </w:tc>
        <w:tc>
          <w:tcPr>
            <w:tcW w:w="0" w:type="auto"/>
          </w:tcPr>
          <w:p w14:paraId="0EAD7CCA" w14:textId="77777777" w:rsidR="00396B0A" w:rsidRDefault="00000000">
            <w:pPr>
              <w:pStyle w:val="Compact"/>
            </w:pPr>
            <w:r>
              <w:t>Latest/public reference</w:t>
            </w:r>
          </w:p>
        </w:tc>
        <w:tc>
          <w:tcPr>
            <w:tcW w:w="0" w:type="auto"/>
          </w:tcPr>
          <w:p w14:paraId="3099198A" w14:textId="77777777" w:rsidR="00396B0A" w:rsidRDefault="00000000">
            <w:pPr>
              <w:pStyle w:val="Compact"/>
              <w:jc w:val="right"/>
            </w:pPr>
            <w:r>
              <w:t>Value</w:t>
            </w:r>
          </w:p>
        </w:tc>
      </w:tr>
      <w:tr w:rsidR="00396B0A" w14:paraId="60A590BE" w14:textId="77777777">
        <w:tc>
          <w:tcPr>
            <w:tcW w:w="0" w:type="auto"/>
          </w:tcPr>
          <w:p w14:paraId="469DF36E" w14:textId="77777777" w:rsidR="00396B0A" w:rsidRDefault="00000000">
            <w:pPr>
              <w:pStyle w:val="Compact"/>
            </w:pPr>
            <w:r>
              <w:t>RFS Set 2 BBD total applicable volume</w:t>
            </w:r>
          </w:p>
        </w:tc>
        <w:tc>
          <w:tcPr>
            <w:tcW w:w="0" w:type="auto"/>
          </w:tcPr>
          <w:p w14:paraId="3490ABF0" w14:textId="77777777" w:rsidR="00396B0A" w:rsidRDefault="00000000">
            <w:pPr>
              <w:pStyle w:val="Compact"/>
            </w:pPr>
            <w:r>
              <w:t>2026 / 2027</w:t>
            </w:r>
          </w:p>
        </w:tc>
        <w:tc>
          <w:tcPr>
            <w:tcW w:w="0" w:type="auto"/>
          </w:tcPr>
          <w:p w14:paraId="2D20DC06" w14:textId="77777777" w:rsidR="00396B0A" w:rsidRDefault="00000000">
            <w:pPr>
              <w:pStyle w:val="Compact"/>
              <w:jc w:val="right"/>
            </w:pPr>
            <w:r>
              <w:rPr>
                <w:b/>
                <w:bCs/>
              </w:rPr>
              <w:t>9.07 / 9.20</w:t>
            </w:r>
            <w:r>
              <w:t xml:space="preserve"> billion RINs </w:t>
            </w:r>
            <w:hyperlink r:id="rId75">
              <w:r>
                <w:rPr>
                  <w:rStyle w:val="Hyperlink"/>
                </w:rPr>
                <w:t>[34]</w:t>
              </w:r>
            </w:hyperlink>
          </w:p>
        </w:tc>
      </w:tr>
      <w:tr w:rsidR="00396B0A" w14:paraId="3E398777" w14:textId="77777777">
        <w:tc>
          <w:tcPr>
            <w:tcW w:w="0" w:type="auto"/>
          </w:tcPr>
          <w:p w14:paraId="4AAEBC90" w14:textId="77777777" w:rsidR="00396B0A" w:rsidRDefault="00000000">
            <w:pPr>
              <w:pStyle w:val="Compact"/>
            </w:pPr>
            <w:r>
              <w:t>CA LCFS weekly VWAP</w:t>
            </w:r>
          </w:p>
        </w:tc>
        <w:tc>
          <w:tcPr>
            <w:tcW w:w="0" w:type="auto"/>
          </w:tcPr>
          <w:p w14:paraId="2C84BD9A" w14:textId="77777777" w:rsidR="00396B0A" w:rsidRDefault="00000000">
            <w:pPr>
              <w:pStyle w:val="Compact"/>
            </w:pPr>
            <w:r>
              <w:t>Feb 23–Mar 1, 2026</w:t>
            </w:r>
          </w:p>
        </w:tc>
        <w:tc>
          <w:tcPr>
            <w:tcW w:w="0" w:type="auto"/>
          </w:tcPr>
          <w:p w14:paraId="7B6A75E3" w14:textId="77777777" w:rsidR="00396B0A" w:rsidRDefault="00000000">
            <w:pPr>
              <w:pStyle w:val="Compact"/>
              <w:jc w:val="right"/>
            </w:pPr>
            <w:r>
              <w:rPr>
                <w:b/>
                <w:bCs/>
              </w:rPr>
              <w:t>$68.59/MT</w:t>
            </w:r>
            <w:r>
              <w:t xml:space="preserve"> </w:t>
            </w:r>
            <w:hyperlink r:id="rId76">
              <w:r>
                <w:rPr>
                  <w:rStyle w:val="Hyperlink"/>
                </w:rPr>
                <w:t>[9]</w:t>
              </w:r>
            </w:hyperlink>
          </w:p>
        </w:tc>
      </w:tr>
      <w:tr w:rsidR="00396B0A" w14:paraId="4752BD5D" w14:textId="77777777">
        <w:tc>
          <w:tcPr>
            <w:tcW w:w="0" w:type="auto"/>
          </w:tcPr>
          <w:p w14:paraId="400EBFC4" w14:textId="77777777" w:rsidR="00396B0A" w:rsidRDefault="00000000">
            <w:pPr>
              <w:pStyle w:val="Compact"/>
            </w:pPr>
            <w:r>
              <w:t>D4 RIN market snapshot</w:t>
            </w:r>
          </w:p>
        </w:tc>
        <w:tc>
          <w:tcPr>
            <w:tcW w:w="0" w:type="auto"/>
          </w:tcPr>
          <w:p w14:paraId="10DF8C63" w14:textId="77777777" w:rsidR="00396B0A" w:rsidRDefault="00000000">
            <w:pPr>
              <w:pStyle w:val="Compact"/>
            </w:pPr>
            <w:r>
              <w:t>Mar 13, 2026</w:t>
            </w:r>
          </w:p>
        </w:tc>
        <w:tc>
          <w:tcPr>
            <w:tcW w:w="0" w:type="auto"/>
          </w:tcPr>
          <w:p w14:paraId="6B195EB2" w14:textId="77777777" w:rsidR="00396B0A" w:rsidRDefault="00000000">
            <w:pPr>
              <w:pStyle w:val="Compact"/>
              <w:jc w:val="right"/>
            </w:pPr>
            <w:r>
              <w:rPr>
                <w:b/>
                <w:bCs/>
              </w:rPr>
              <w:t>$1.525</w:t>
            </w:r>
            <w:r>
              <w:t xml:space="preserve"> </w:t>
            </w:r>
            <w:hyperlink r:id="rId77">
              <w:r>
                <w:rPr>
                  <w:rStyle w:val="Hyperlink"/>
                </w:rPr>
                <w:t>[44]</w:t>
              </w:r>
            </w:hyperlink>
          </w:p>
        </w:tc>
      </w:tr>
    </w:tbl>
    <w:p w14:paraId="4C376570" w14:textId="77777777" w:rsidR="00396B0A" w:rsidRDefault="00000000">
      <w:pPr>
        <w:pStyle w:val="Heading3"/>
      </w:pPr>
      <w:bookmarkStart w:id="30" w:name="assumptions-and-data-notes"/>
      <w:bookmarkEnd w:id="29"/>
      <w:r>
        <w:t>Assumptions and data notes</w:t>
      </w:r>
    </w:p>
    <w:p w14:paraId="043B4C90" w14:textId="77777777" w:rsidR="00396B0A" w:rsidRDefault="00000000">
      <w:pPr>
        <w:pStyle w:val="Compact"/>
        <w:numPr>
          <w:ilvl w:val="0"/>
          <w:numId w:val="5"/>
        </w:numPr>
      </w:pPr>
      <w:r>
        <w:rPr>
          <w:b/>
          <w:bCs/>
        </w:rPr>
        <w:t>Timing and “latest available” reality:</w:t>
      </w:r>
      <w:r>
        <w:t xml:space="preserve"> As of </w:t>
      </w:r>
      <w:r>
        <w:rPr>
          <w:b/>
          <w:bCs/>
        </w:rPr>
        <w:t>Apr 8, 2026</w:t>
      </w:r>
      <w:r>
        <w:t xml:space="preserve">, key public series used here have different publication lags (e.g., some NASS releases provide January 2026 data in March 2026; several EIA monthly biofuels series show partial 2025 coverage depending on withholding and release timing). This report uses the latest values visible in the cited series and flags the date basis for each metric. </w:t>
      </w:r>
      <w:hyperlink r:id="rId78">
        <w:r>
          <w:rPr>
            <w:rStyle w:val="Hyperlink"/>
          </w:rPr>
          <w:t>[45]</w:t>
        </w:r>
      </w:hyperlink>
    </w:p>
    <w:p w14:paraId="71F4DFBD" w14:textId="77777777" w:rsidR="00396B0A" w:rsidRDefault="00000000">
      <w:pPr>
        <w:pStyle w:val="Compact"/>
        <w:numPr>
          <w:ilvl w:val="0"/>
          <w:numId w:val="5"/>
        </w:numPr>
      </w:pPr>
      <w:r>
        <w:rPr>
          <w:b/>
          <w:bCs/>
        </w:rPr>
        <w:t>RIN pricing:</w:t>
      </w:r>
      <w:r>
        <w:t xml:space="preserve"> EPA describes the methodology and makes price/volume datasets available via its public interface, but programmatic extraction can require using the site’s export function. For this report’s “current” D4 price snapshot, a market bulletin is used and should be treated as indicative rather than an official EPA VWAP print. </w:t>
      </w:r>
      <w:hyperlink r:id="rId79">
        <w:r>
          <w:rPr>
            <w:rStyle w:val="Hyperlink"/>
          </w:rPr>
          <w:t>[46]</w:t>
        </w:r>
      </w:hyperlink>
    </w:p>
    <w:bookmarkEnd w:id="1"/>
    <w:bookmarkEnd w:id="2"/>
    <w:bookmarkEnd w:id="27"/>
    <w:bookmarkEnd w:id="30"/>
    <w:p w14:paraId="5A385509" w14:textId="77777777" w:rsidR="00396B0A" w:rsidRDefault="00000000">
      <w:r>
        <w:pict w14:anchorId="45551F01">
          <v:rect id="_x0000_i1025" style="width:0;height:1.5pt" o:hralign="center" o:hrstd="t" o:hr="t"/>
        </w:pict>
      </w:r>
    </w:p>
    <w:bookmarkStart w:id="31" w:name="citations"/>
    <w:p w14:paraId="3E233261" w14:textId="77777777" w:rsidR="00396B0A" w:rsidRDefault="00000000">
      <w:pPr>
        <w:pStyle w:val="FirstParagraph"/>
      </w:pPr>
      <w:r>
        <w:fldChar w:fldCharType="begin"/>
      </w:r>
      <w:r>
        <w:instrText>HYPERLINK "https://www.epa.gov/renewable-fuel-standard/final-renewable-fuel-standards-2026-and-2027" \h</w:instrText>
      </w:r>
      <w:r>
        <w:fldChar w:fldCharType="separate"/>
      </w:r>
      <w:r>
        <w:rPr>
          <w:rStyle w:val="Hyperlink"/>
        </w:rPr>
        <w:t>[1]</w:t>
      </w:r>
      <w:r>
        <w:fldChar w:fldCharType="end"/>
      </w:r>
      <w:r>
        <w:t xml:space="preserve"> </w:t>
      </w:r>
      <w:hyperlink r:id="rId80">
        <w:r>
          <w:rPr>
            <w:rStyle w:val="Hyperlink"/>
          </w:rPr>
          <w:t>[17]</w:t>
        </w:r>
      </w:hyperlink>
      <w:r>
        <w:t xml:space="preserve"> </w:t>
      </w:r>
      <w:hyperlink r:id="rId81">
        <w:r>
          <w:rPr>
            <w:rStyle w:val="Hyperlink"/>
          </w:rPr>
          <w:t>[34]</w:t>
        </w:r>
      </w:hyperlink>
      <w:r>
        <w:t xml:space="preserve"> </w:t>
      </w:r>
      <w:hyperlink r:id="rId82">
        <w:r>
          <w:rPr>
            <w:rStyle w:val="Hyperlink"/>
          </w:rPr>
          <w:t>[36]</w:t>
        </w:r>
      </w:hyperlink>
      <w:r>
        <w:t xml:space="preserve"> </w:t>
      </w:r>
      <w:hyperlink r:id="rId83">
        <w:r>
          <w:rPr>
            <w:rStyle w:val="Hyperlink"/>
          </w:rPr>
          <w:t>[40]</w:t>
        </w:r>
      </w:hyperlink>
      <w:r>
        <w:t xml:space="preserve"> </w:t>
      </w:r>
      <w:hyperlink r:id="rId84">
        <w:r>
          <w:rPr>
            <w:rStyle w:val="Hyperlink"/>
          </w:rPr>
          <w:t>[41]</w:t>
        </w:r>
      </w:hyperlink>
      <w:r>
        <w:t xml:space="preserve"> https://www.epa.gov/renewable-fuel-standard/final-renewable-fuel-standards-2026-and-2027</w:t>
      </w:r>
    </w:p>
    <w:p w14:paraId="67509398" w14:textId="77777777" w:rsidR="00396B0A" w:rsidRDefault="00000000">
      <w:pPr>
        <w:pStyle w:val="BodyText"/>
      </w:pPr>
      <w:hyperlink r:id="rId85">
        <w:r>
          <w:rPr>
            <w:rStyle w:val="Hyperlink"/>
          </w:rPr>
          <w:t>https://www.epa.gov/renewable-fuel-standard/final-renewable-fuel-standards-2026-and-2027</w:t>
        </w:r>
      </w:hyperlink>
    </w:p>
    <w:p w14:paraId="193B1EB0" w14:textId="77777777" w:rsidR="00396B0A" w:rsidRDefault="00000000">
      <w:pPr>
        <w:pStyle w:val="BodyText"/>
      </w:pPr>
      <w:hyperlink r:id="rId86">
        <w:r>
          <w:rPr>
            <w:rStyle w:val="Hyperlink"/>
          </w:rPr>
          <w:t>[2]</w:t>
        </w:r>
      </w:hyperlink>
      <w:r>
        <w:t xml:space="preserve"> </w:t>
      </w:r>
      <w:hyperlink r:id="rId87">
        <w:r>
          <w:rPr>
            <w:rStyle w:val="Hyperlink"/>
          </w:rPr>
          <w:t>[6]</w:t>
        </w:r>
      </w:hyperlink>
      <w:r>
        <w:t xml:space="preserve"> </w:t>
      </w:r>
      <w:hyperlink r:id="rId88">
        <w:r>
          <w:rPr>
            <w:rStyle w:val="Hyperlink"/>
          </w:rPr>
          <w:t>[14]</w:t>
        </w:r>
      </w:hyperlink>
      <w:r>
        <w:t xml:space="preserve"> </w:t>
      </w:r>
      <w:hyperlink r:id="rId89">
        <w:r>
          <w:rPr>
            <w:rStyle w:val="Hyperlink"/>
          </w:rPr>
          <w:t>[18]</w:t>
        </w:r>
      </w:hyperlink>
      <w:r>
        <w:t xml:space="preserve"> </w:t>
      </w:r>
      <w:hyperlink r:id="rId90">
        <w:r>
          <w:rPr>
            <w:rStyle w:val="Hyperlink"/>
          </w:rPr>
          <w:t>[23]</w:t>
        </w:r>
      </w:hyperlink>
      <w:r>
        <w:t xml:space="preserve"> https://www.ams.usda.gov/mnreports/lswagenergy.pdf</w:t>
      </w:r>
    </w:p>
    <w:p w14:paraId="0C151211" w14:textId="77777777" w:rsidR="00396B0A" w:rsidRDefault="00000000">
      <w:pPr>
        <w:pStyle w:val="BodyText"/>
      </w:pPr>
      <w:hyperlink r:id="rId91">
        <w:r>
          <w:rPr>
            <w:rStyle w:val="Hyperlink"/>
          </w:rPr>
          <w:t>https://www.ams.usda.gov/mnreports/lswagenergy.pdf</w:t>
        </w:r>
      </w:hyperlink>
    </w:p>
    <w:p w14:paraId="1F62DEA2" w14:textId="77777777" w:rsidR="00396B0A" w:rsidRDefault="00000000">
      <w:pPr>
        <w:pStyle w:val="BodyText"/>
      </w:pPr>
      <w:hyperlink r:id="rId92">
        <w:r>
          <w:rPr>
            <w:rStyle w:val="Hyperlink"/>
          </w:rPr>
          <w:t>[3]</w:t>
        </w:r>
      </w:hyperlink>
      <w:r>
        <w:t xml:space="preserve"> </w:t>
      </w:r>
      <w:hyperlink r:id="rId93">
        <w:r>
          <w:rPr>
            <w:rStyle w:val="Hyperlink"/>
          </w:rPr>
          <w:t>[30]</w:t>
        </w:r>
      </w:hyperlink>
      <w:r>
        <w:t xml:space="preserve"> https://www.eia.gov/biofuels/renewable/capacity/</w:t>
      </w:r>
    </w:p>
    <w:p w14:paraId="2F03B921" w14:textId="77777777" w:rsidR="00396B0A" w:rsidRDefault="00000000">
      <w:pPr>
        <w:pStyle w:val="BodyText"/>
      </w:pPr>
      <w:hyperlink r:id="rId94">
        <w:r>
          <w:rPr>
            <w:rStyle w:val="Hyperlink"/>
          </w:rPr>
          <w:t>https://www.eia.gov/biofuels/renewable/capacity/</w:t>
        </w:r>
      </w:hyperlink>
    </w:p>
    <w:p w14:paraId="3CE1FD62" w14:textId="77777777" w:rsidR="00396B0A" w:rsidRDefault="00000000">
      <w:pPr>
        <w:pStyle w:val="BodyText"/>
      </w:pPr>
      <w:hyperlink r:id="rId95">
        <w:r>
          <w:rPr>
            <w:rStyle w:val="Hyperlink"/>
          </w:rPr>
          <w:t>[4]</w:t>
        </w:r>
      </w:hyperlink>
      <w:r>
        <w:t xml:space="preserve"> https://www.eia.gov/dnav/pet/hist/LeafHandler.ashx?f=m&amp;n=pet&amp;s=m_epoordb_ynp_nus_mbbld</w:t>
      </w:r>
    </w:p>
    <w:p w14:paraId="44C25CA3" w14:textId="77777777" w:rsidR="00396B0A" w:rsidRDefault="00000000">
      <w:pPr>
        <w:pStyle w:val="BodyText"/>
      </w:pPr>
      <w:hyperlink r:id="rId96">
        <w:r>
          <w:rPr>
            <w:rStyle w:val="Hyperlink"/>
          </w:rPr>
          <w:t>https://www.eia.gov/dnav/pet/hist/LeafHandler.ashx?f=m&amp;n=pet&amp;s=m_epoordb_ynp_nus_mbbld</w:t>
        </w:r>
      </w:hyperlink>
    </w:p>
    <w:p w14:paraId="6F68B05B" w14:textId="77777777" w:rsidR="00396B0A" w:rsidRDefault="00000000">
      <w:pPr>
        <w:pStyle w:val="BodyText"/>
      </w:pPr>
      <w:hyperlink r:id="rId97">
        <w:r>
          <w:rPr>
            <w:rStyle w:val="Hyperlink"/>
          </w:rPr>
          <w:t>[5]</w:t>
        </w:r>
      </w:hyperlink>
      <w:r>
        <w:t xml:space="preserve"> https://www.irs.gov/newsroom/treasury-irs-issue-proposed-regulations-on-the-clean-fuel-production-credit-under-the-one-big-beautiful-bill</w:t>
      </w:r>
    </w:p>
    <w:p w14:paraId="1E42766A" w14:textId="77777777" w:rsidR="00396B0A" w:rsidRDefault="00000000">
      <w:pPr>
        <w:pStyle w:val="BodyText"/>
      </w:pPr>
      <w:hyperlink r:id="rId98">
        <w:r>
          <w:rPr>
            <w:rStyle w:val="Hyperlink"/>
          </w:rPr>
          <w:t>https://www.irs.gov/newsroom/treasury-irs-issue-proposed-regulations-on-the-clean-fuel-production-credit-under-the-one-big-beautiful-bill</w:t>
        </w:r>
      </w:hyperlink>
    </w:p>
    <w:p w14:paraId="76C594F3" w14:textId="77777777" w:rsidR="00396B0A" w:rsidRDefault="00000000">
      <w:pPr>
        <w:pStyle w:val="BodyText"/>
      </w:pPr>
      <w:hyperlink r:id="rId99">
        <w:r>
          <w:rPr>
            <w:rStyle w:val="Hyperlink"/>
          </w:rPr>
          <w:t>[7]</w:t>
        </w:r>
      </w:hyperlink>
      <w:r>
        <w:t xml:space="preserve"> </w:t>
      </w:r>
      <w:hyperlink r:id="rId100">
        <w:r>
          <w:rPr>
            <w:rStyle w:val="Hyperlink"/>
          </w:rPr>
          <w:t>[20]</w:t>
        </w:r>
      </w:hyperlink>
      <w:r>
        <w:t xml:space="preserve"> </w:t>
      </w:r>
      <w:hyperlink r:id="rId101">
        <w:r>
          <w:rPr>
            <w:rStyle w:val="Hyperlink"/>
          </w:rPr>
          <w:t>[25]</w:t>
        </w:r>
      </w:hyperlink>
      <w:r>
        <w:t xml:space="preserve"> </w:t>
      </w:r>
      <w:hyperlink r:id="rId102">
        <w:r>
          <w:rPr>
            <w:rStyle w:val="Hyperlink"/>
          </w:rPr>
          <w:t>[37]</w:t>
        </w:r>
      </w:hyperlink>
      <w:r>
        <w:t xml:space="preserve"> https://www.ams.usda.gov/mnreports/ams_3510.pdf</w:t>
      </w:r>
    </w:p>
    <w:p w14:paraId="14F02351" w14:textId="77777777" w:rsidR="00396B0A" w:rsidRDefault="00000000">
      <w:pPr>
        <w:pStyle w:val="BodyText"/>
      </w:pPr>
      <w:hyperlink r:id="rId103">
        <w:r>
          <w:rPr>
            <w:rStyle w:val="Hyperlink"/>
          </w:rPr>
          <w:t>https://www.ams.usda.gov/mnreports/ams_3510.pdf</w:t>
        </w:r>
      </w:hyperlink>
    </w:p>
    <w:p w14:paraId="5B87A9C6" w14:textId="77777777" w:rsidR="00396B0A" w:rsidRDefault="00000000">
      <w:pPr>
        <w:pStyle w:val="BodyText"/>
      </w:pPr>
      <w:hyperlink r:id="rId104">
        <w:r>
          <w:rPr>
            <w:rStyle w:val="Hyperlink"/>
          </w:rPr>
          <w:t>[8]</w:t>
        </w:r>
      </w:hyperlink>
      <w:r>
        <w:t xml:space="preserve"> </w:t>
      </w:r>
      <w:hyperlink r:id="rId105">
        <w:r>
          <w:rPr>
            <w:rStyle w:val="Hyperlink"/>
          </w:rPr>
          <w:t>[21]</w:t>
        </w:r>
      </w:hyperlink>
      <w:r>
        <w:t xml:space="preserve"> https://www.ams.usda.gov/mnreports/ams_2839.pdf</w:t>
      </w:r>
    </w:p>
    <w:p w14:paraId="7E88F87A" w14:textId="77777777" w:rsidR="00396B0A" w:rsidRDefault="00000000">
      <w:pPr>
        <w:pStyle w:val="BodyText"/>
      </w:pPr>
      <w:hyperlink r:id="rId106">
        <w:r>
          <w:rPr>
            <w:rStyle w:val="Hyperlink"/>
          </w:rPr>
          <w:t>https://www.ams.usda.gov/mnreports/ams_2839.pdf</w:t>
        </w:r>
      </w:hyperlink>
    </w:p>
    <w:p w14:paraId="67B16192" w14:textId="77777777" w:rsidR="00396B0A" w:rsidRDefault="00000000">
      <w:pPr>
        <w:pStyle w:val="BodyText"/>
      </w:pPr>
      <w:hyperlink r:id="rId107">
        <w:r>
          <w:rPr>
            <w:rStyle w:val="Hyperlink"/>
          </w:rPr>
          <w:t>[9]</w:t>
        </w:r>
      </w:hyperlink>
      <w:r>
        <w:t xml:space="preserve"> </w:t>
      </w:r>
      <w:hyperlink r:id="rId108">
        <w:r>
          <w:rPr>
            <w:rStyle w:val="Hyperlink"/>
          </w:rPr>
          <w:t>[15]</w:t>
        </w:r>
      </w:hyperlink>
      <w:r>
        <w:t xml:space="preserve"> </w:t>
      </w:r>
      <w:hyperlink r:id="rId109">
        <w:r>
          <w:rPr>
            <w:rStyle w:val="Hyperlink"/>
          </w:rPr>
          <w:t>[16]</w:t>
        </w:r>
      </w:hyperlink>
      <w:r>
        <w:t xml:space="preserve"> </w:t>
      </w:r>
      <w:hyperlink r:id="rId110">
        <w:r>
          <w:rPr>
            <w:rStyle w:val="Hyperlink"/>
          </w:rPr>
          <w:t>[38]</w:t>
        </w:r>
      </w:hyperlink>
      <w:r>
        <w:t xml:space="preserve"> https://ww2.arb.ca.gov/resources/documents/weekly-lcfs-credit-transfer-activity-reports</w:t>
      </w:r>
    </w:p>
    <w:p w14:paraId="1AF9049E" w14:textId="77777777" w:rsidR="00396B0A" w:rsidRDefault="00000000">
      <w:pPr>
        <w:pStyle w:val="BodyText"/>
      </w:pPr>
      <w:hyperlink r:id="rId111">
        <w:r>
          <w:rPr>
            <w:rStyle w:val="Hyperlink"/>
          </w:rPr>
          <w:t>https://ww2.arb.ca.gov/resources/documents/weekly-lcfs-credit-transfer-activity-reports</w:t>
        </w:r>
      </w:hyperlink>
    </w:p>
    <w:p w14:paraId="5E32EE6C" w14:textId="77777777" w:rsidR="00396B0A" w:rsidRDefault="00000000">
      <w:pPr>
        <w:pStyle w:val="BodyText"/>
      </w:pPr>
      <w:hyperlink r:id="rId112">
        <w:r>
          <w:rPr>
            <w:rStyle w:val="Hyperlink"/>
          </w:rPr>
          <w:t>[10]</w:t>
        </w:r>
      </w:hyperlink>
      <w:r>
        <w:t xml:space="preserve"> </w:t>
      </w:r>
      <w:hyperlink r:id="rId113">
        <w:r>
          <w:rPr>
            <w:rStyle w:val="Hyperlink"/>
          </w:rPr>
          <w:t>[44]</w:t>
        </w:r>
      </w:hyperlink>
      <w:r>
        <w:t xml:space="preserve"> https://aegis-hedging.com/insights/lcfs-rin-pricing-report-through-march-13th-2026</w:t>
      </w:r>
    </w:p>
    <w:p w14:paraId="62F19AF2" w14:textId="77777777" w:rsidR="00396B0A" w:rsidRDefault="00000000">
      <w:pPr>
        <w:pStyle w:val="BodyText"/>
      </w:pPr>
      <w:hyperlink r:id="rId114">
        <w:r>
          <w:rPr>
            <w:rStyle w:val="Hyperlink"/>
          </w:rPr>
          <w:t>https://aegis-hedging.com/insights/lcfs-rin-pricing-report-through-march-13th-2026</w:t>
        </w:r>
      </w:hyperlink>
    </w:p>
    <w:p w14:paraId="69D21D76" w14:textId="77777777" w:rsidR="00396B0A" w:rsidRDefault="00000000">
      <w:pPr>
        <w:pStyle w:val="BodyText"/>
      </w:pPr>
      <w:hyperlink r:id="rId115">
        <w:r>
          <w:rPr>
            <w:rStyle w:val="Hyperlink"/>
          </w:rPr>
          <w:t>[11]</w:t>
        </w:r>
      </w:hyperlink>
      <w:r>
        <w:t xml:space="preserve"> https://www.eia.gov/biofuels/biodiesel/capacity/</w:t>
      </w:r>
    </w:p>
    <w:p w14:paraId="3CC1391E" w14:textId="77777777" w:rsidR="00396B0A" w:rsidRDefault="00000000">
      <w:pPr>
        <w:pStyle w:val="BodyText"/>
      </w:pPr>
      <w:hyperlink r:id="rId116">
        <w:r>
          <w:rPr>
            <w:rStyle w:val="Hyperlink"/>
          </w:rPr>
          <w:t>https://www.eia.gov/biofuels/biodiesel/capacity/</w:t>
        </w:r>
      </w:hyperlink>
    </w:p>
    <w:p w14:paraId="5BB91A66" w14:textId="77777777" w:rsidR="00396B0A" w:rsidRDefault="00000000">
      <w:pPr>
        <w:pStyle w:val="BodyText"/>
      </w:pPr>
      <w:hyperlink r:id="rId117">
        <w:r>
          <w:rPr>
            <w:rStyle w:val="Hyperlink"/>
          </w:rPr>
          <w:t>[12]</w:t>
        </w:r>
      </w:hyperlink>
      <w:r>
        <w:t xml:space="preserve"> </w:t>
      </w:r>
      <w:hyperlink r:id="rId118">
        <w:r>
          <w:rPr>
            <w:rStyle w:val="Hyperlink"/>
          </w:rPr>
          <w:t>[39]</w:t>
        </w:r>
      </w:hyperlink>
      <w:r>
        <w:t xml:space="preserve"> </w:t>
      </w:r>
      <w:hyperlink r:id="rId119">
        <w:r>
          <w:rPr>
            <w:rStyle w:val="Hyperlink"/>
          </w:rPr>
          <w:t>[42]</w:t>
        </w:r>
      </w:hyperlink>
      <w:r>
        <w:t xml:space="preserve"> https://www.eia.gov/dnav/pet/hist/LeafHandler.ashx?f=M&amp;n=PET&amp;s=M_EPOORDB_SKB_NUS_MBBL</w:t>
      </w:r>
    </w:p>
    <w:p w14:paraId="6736A779" w14:textId="77777777" w:rsidR="00396B0A" w:rsidRDefault="00000000">
      <w:pPr>
        <w:pStyle w:val="BodyText"/>
      </w:pPr>
      <w:hyperlink r:id="rId120">
        <w:r>
          <w:rPr>
            <w:rStyle w:val="Hyperlink"/>
          </w:rPr>
          <w:t>https://www.eia.gov/dnav/pet/hist/LeafHandler.ashx?f=M&amp;n=PET&amp;s=M_EPOORDB_SKB_NUS_MBBL</w:t>
        </w:r>
      </w:hyperlink>
    </w:p>
    <w:p w14:paraId="36C3C6CB" w14:textId="77777777" w:rsidR="00396B0A" w:rsidRDefault="00000000">
      <w:pPr>
        <w:pStyle w:val="BodyText"/>
      </w:pPr>
      <w:hyperlink r:id="rId121">
        <w:r>
          <w:rPr>
            <w:rStyle w:val="Hyperlink"/>
          </w:rPr>
          <w:t>[13]</w:t>
        </w:r>
      </w:hyperlink>
      <w:r>
        <w:t xml:space="preserve"> </w:t>
      </w:r>
      <w:hyperlink r:id="rId122">
        <w:r>
          <w:rPr>
            <w:rStyle w:val="Hyperlink"/>
          </w:rPr>
          <w:t>[33]</w:t>
        </w:r>
      </w:hyperlink>
      <w:r>
        <w:t xml:space="preserve"> https://www.eia.gov/dnav/pet/hist/LeafHandler.ashx?f=M&amp;n=PET&amp;s=M_EPOORDB_IM0_NUS-Z00_MBBLD</w:t>
      </w:r>
    </w:p>
    <w:p w14:paraId="0FAE1A90" w14:textId="77777777" w:rsidR="00396B0A" w:rsidRDefault="00000000">
      <w:pPr>
        <w:pStyle w:val="BodyText"/>
      </w:pPr>
      <w:hyperlink r:id="rId123">
        <w:r>
          <w:rPr>
            <w:rStyle w:val="Hyperlink"/>
          </w:rPr>
          <w:t>https://www.eia.gov/dnav/pet/hist/LeafHandler.ashx?f=M&amp;n=PET&amp;s=M_EPOORDB_IM0_NUS-Z00_MBBLD</w:t>
        </w:r>
      </w:hyperlink>
    </w:p>
    <w:p w14:paraId="253DBE5C" w14:textId="77777777" w:rsidR="00396B0A" w:rsidRDefault="00000000">
      <w:pPr>
        <w:pStyle w:val="BodyText"/>
      </w:pPr>
      <w:hyperlink r:id="rId124">
        <w:r>
          <w:rPr>
            <w:rStyle w:val="Hyperlink"/>
          </w:rPr>
          <w:t>[19]</w:t>
        </w:r>
      </w:hyperlink>
      <w:r>
        <w:t xml:space="preserve"> </w:t>
      </w:r>
      <w:hyperlink r:id="rId125">
        <w:r>
          <w:rPr>
            <w:rStyle w:val="Hyperlink"/>
          </w:rPr>
          <w:t>[28]</w:t>
        </w:r>
      </w:hyperlink>
      <w:r>
        <w:t xml:space="preserve"> https://fred.stlouisfed.org/data/PROILUSDM.txt</w:t>
      </w:r>
    </w:p>
    <w:p w14:paraId="4CBCA42A" w14:textId="77777777" w:rsidR="00396B0A" w:rsidRDefault="00000000">
      <w:pPr>
        <w:pStyle w:val="BodyText"/>
      </w:pPr>
      <w:hyperlink r:id="rId126">
        <w:r>
          <w:rPr>
            <w:rStyle w:val="Hyperlink"/>
          </w:rPr>
          <w:t>https://fred.stlouisfed.org/data/PROILUSDM.txt</w:t>
        </w:r>
      </w:hyperlink>
    </w:p>
    <w:p w14:paraId="7BF2C9CD" w14:textId="77777777" w:rsidR="00396B0A" w:rsidRDefault="00000000">
      <w:pPr>
        <w:pStyle w:val="BodyText"/>
      </w:pPr>
      <w:hyperlink r:id="rId127">
        <w:r>
          <w:rPr>
            <w:rStyle w:val="Hyperlink"/>
          </w:rPr>
          <w:t>[22]</w:t>
        </w:r>
      </w:hyperlink>
      <w:r>
        <w:t xml:space="preserve"> https://esmis.nal.usda.gov/sites/default/release-files/795803/cagc0326.pdf</w:t>
      </w:r>
    </w:p>
    <w:p w14:paraId="2C34C8EA" w14:textId="77777777" w:rsidR="00396B0A" w:rsidRDefault="00000000">
      <w:pPr>
        <w:pStyle w:val="BodyText"/>
      </w:pPr>
      <w:hyperlink r:id="rId128">
        <w:r>
          <w:rPr>
            <w:rStyle w:val="Hyperlink"/>
          </w:rPr>
          <w:t>https://esmis.nal.usda.gov/sites/default/release-files/795803/cagc0326.pdf</w:t>
        </w:r>
      </w:hyperlink>
    </w:p>
    <w:p w14:paraId="000C9433" w14:textId="77777777" w:rsidR="00396B0A" w:rsidRDefault="00000000">
      <w:pPr>
        <w:pStyle w:val="BodyText"/>
      </w:pPr>
      <w:hyperlink r:id="rId129">
        <w:r>
          <w:rPr>
            <w:rStyle w:val="Hyperlink"/>
          </w:rPr>
          <w:t>[24]</w:t>
        </w:r>
      </w:hyperlink>
      <w:r>
        <w:t xml:space="preserve"> </w:t>
      </w:r>
      <w:hyperlink r:id="rId130">
        <w:r>
          <w:rPr>
            <w:rStyle w:val="Hyperlink"/>
          </w:rPr>
          <w:t>[45]</w:t>
        </w:r>
      </w:hyperlink>
      <w:r>
        <w:t xml:space="preserve"> https://esmis.nal.usda.gov/sites/default/release-files/795799/cafo0326.pdf</w:t>
      </w:r>
    </w:p>
    <w:p w14:paraId="7D9E1E2C" w14:textId="77777777" w:rsidR="00396B0A" w:rsidRDefault="00000000">
      <w:pPr>
        <w:pStyle w:val="BodyText"/>
      </w:pPr>
      <w:hyperlink r:id="rId131">
        <w:r>
          <w:rPr>
            <w:rStyle w:val="Hyperlink"/>
          </w:rPr>
          <w:t>https://esmis.nal.usda.gov/sites/default/release-files/795799/cafo0326.pdf</w:t>
        </w:r>
      </w:hyperlink>
    </w:p>
    <w:p w14:paraId="35F88049" w14:textId="77777777" w:rsidR="00396B0A" w:rsidRDefault="00000000">
      <w:pPr>
        <w:pStyle w:val="BodyText"/>
      </w:pPr>
      <w:hyperlink r:id="rId132">
        <w:r>
          <w:rPr>
            <w:rStyle w:val="Hyperlink"/>
          </w:rPr>
          <w:t>[26]</w:t>
        </w:r>
      </w:hyperlink>
      <w:r>
        <w:t xml:space="preserve"> https://www.ers.usda.gov/topics/crops/soybeans-and-oil-crops/market-outlook</w:t>
      </w:r>
    </w:p>
    <w:p w14:paraId="195E5334" w14:textId="77777777" w:rsidR="00396B0A" w:rsidRDefault="00000000">
      <w:pPr>
        <w:pStyle w:val="BodyText"/>
      </w:pPr>
      <w:hyperlink r:id="rId133">
        <w:r>
          <w:rPr>
            <w:rStyle w:val="Hyperlink"/>
          </w:rPr>
          <w:t>https://www.ers.usda.gov/topics/crops/soybeans-and-oil-crops/market-outlook</w:t>
        </w:r>
      </w:hyperlink>
    </w:p>
    <w:p w14:paraId="52AAADD5" w14:textId="77777777" w:rsidR="00396B0A" w:rsidRDefault="00000000">
      <w:pPr>
        <w:pStyle w:val="BodyText"/>
      </w:pPr>
      <w:hyperlink r:id="rId134">
        <w:r>
          <w:rPr>
            <w:rStyle w:val="Hyperlink"/>
          </w:rPr>
          <w:t>[27]</w:t>
        </w:r>
      </w:hyperlink>
      <w:r>
        <w:t xml:space="preserve"> </w:t>
      </w:r>
      <w:hyperlink r:id="rId135">
        <w:r>
          <w:rPr>
            <w:rStyle w:val="Hyperlink"/>
          </w:rPr>
          <w:t>[29]</w:t>
        </w:r>
      </w:hyperlink>
      <w:r>
        <w:t xml:space="preserve"> https://www.eia.gov/todayinenergy/detail.php?id=65424</w:t>
      </w:r>
    </w:p>
    <w:p w14:paraId="78DBAA34" w14:textId="77777777" w:rsidR="00396B0A" w:rsidRDefault="00000000">
      <w:pPr>
        <w:pStyle w:val="BodyText"/>
      </w:pPr>
      <w:hyperlink r:id="rId136">
        <w:r>
          <w:rPr>
            <w:rStyle w:val="Hyperlink"/>
          </w:rPr>
          <w:t>https://www.eia.gov/todayinenergy/detail.php?id=65424</w:t>
        </w:r>
      </w:hyperlink>
    </w:p>
    <w:p w14:paraId="1E1D8753" w14:textId="77777777" w:rsidR="00396B0A" w:rsidRDefault="00000000">
      <w:pPr>
        <w:pStyle w:val="BodyText"/>
      </w:pPr>
      <w:hyperlink r:id="rId137">
        <w:r>
          <w:rPr>
            <w:rStyle w:val="Hyperlink"/>
          </w:rPr>
          <w:t>[31]</w:t>
        </w:r>
      </w:hyperlink>
      <w:r>
        <w:t xml:space="preserve"> https://www.eia.gov/dnav/pet/hist/LeafHandler.ashx?f=M&amp;n=PET&amp;s=M_EPOORDO_YNP_NUS_MBBLD</w:t>
      </w:r>
    </w:p>
    <w:p w14:paraId="6DDD4D7F" w14:textId="77777777" w:rsidR="00396B0A" w:rsidRDefault="00000000">
      <w:pPr>
        <w:pStyle w:val="BodyText"/>
      </w:pPr>
      <w:hyperlink r:id="rId138">
        <w:r>
          <w:rPr>
            <w:rStyle w:val="Hyperlink"/>
          </w:rPr>
          <w:t>https://www.eia.gov/dnav/pet/hist/LeafHandler.ashx?f=M&amp;n=PET&amp;s=M_EPOORDO_YNP_NUS_MBBLD</w:t>
        </w:r>
      </w:hyperlink>
    </w:p>
    <w:p w14:paraId="5DF2F2E0" w14:textId="77777777" w:rsidR="00396B0A" w:rsidRDefault="00000000">
      <w:pPr>
        <w:pStyle w:val="BodyText"/>
      </w:pPr>
      <w:hyperlink r:id="rId139">
        <w:r>
          <w:rPr>
            <w:rStyle w:val="Hyperlink"/>
          </w:rPr>
          <w:t>[32]</w:t>
        </w:r>
      </w:hyperlink>
      <w:r>
        <w:t xml:space="preserve"> https://www.eia.gov/dnav/pet/hist/LeafHandler.ashx?f=M&amp;n=PET&amp;s=M_EPOORDB_VPP_NUS_MBBL</w:t>
      </w:r>
    </w:p>
    <w:p w14:paraId="4C5C7163" w14:textId="77777777" w:rsidR="00396B0A" w:rsidRDefault="00000000">
      <w:pPr>
        <w:pStyle w:val="BodyText"/>
      </w:pPr>
      <w:hyperlink r:id="rId140">
        <w:r>
          <w:rPr>
            <w:rStyle w:val="Hyperlink"/>
          </w:rPr>
          <w:t>https://www.eia.gov/dnav/pet/hist/LeafHandler.ashx?f=M&amp;n=PET&amp;s=M_EPOORDB_VPP_NUS_MBBL</w:t>
        </w:r>
      </w:hyperlink>
    </w:p>
    <w:p w14:paraId="1176C007" w14:textId="77777777" w:rsidR="00396B0A" w:rsidRDefault="00000000">
      <w:pPr>
        <w:pStyle w:val="BodyText"/>
      </w:pPr>
      <w:hyperlink r:id="rId141">
        <w:r>
          <w:rPr>
            <w:rStyle w:val="Hyperlink"/>
          </w:rPr>
          <w:t>[35]</w:t>
        </w:r>
      </w:hyperlink>
      <w:r>
        <w:t xml:space="preserve"> https://www.epa.gov/fuels-registration-reporting-and-compliance-help/public-data-renewable-fuel-standard</w:t>
      </w:r>
    </w:p>
    <w:p w14:paraId="13B196F3" w14:textId="77777777" w:rsidR="00396B0A" w:rsidRDefault="00000000">
      <w:pPr>
        <w:pStyle w:val="BodyText"/>
      </w:pPr>
      <w:hyperlink r:id="rId142">
        <w:r>
          <w:rPr>
            <w:rStyle w:val="Hyperlink"/>
          </w:rPr>
          <w:t>https://www.epa.gov/fuels-registration-reporting-and-compliance-help/public-data-renewable-fuel-standard</w:t>
        </w:r>
      </w:hyperlink>
    </w:p>
    <w:p w14:paraId="1EF8A9EB" w14:textId="77777777" w:rsidR="00396B0A" w:rsidRDefault="00000000">
      <w:pPr>
        <w:pStyle w:val="BodyText"/>
      </w:pPr>
      <w:hyperlink r:id="rId143">
        <w:r>
          <w:rPr>
            <w:rStyle w:val="Hyperlink"/>
          </w:rPr>
          <w:t>[43]</w:t>
        </w:r>
      </w:hyperlink>
      <w:r>
        <w:t xml:space="preserve"> https://fred.stlouisfed.org/data/PSOILUSDM</w:t>
      </w:r>
    </w:p>
    <w:p w14:paraId="449B5458" w14:textId="77777777" w:rsidR="00396B0A" w:rsidRDefault="00000000">
      <w:pPr>
        <w:pStyle w:val="BodyText"/>
      </w:pPr>
      <w:hyperlink r:id="rId144">
        <w:r>
          <w:rPr>
            <w:rStyle w:val="Hyperlink"/>
          </w:rPr>
          <w:t>https://fred.stlouisfed.org/data/PSOILUSDM</w:t>
        </w:r>
      </w:hyperlink>
    </w:p>
    <w:p w14:paraId="15FF81BF" w14:textId="77777777" w:rsidR="00396B0A" w:rsidRDefault="00000000">
      <w:pPr>
        <w:pStyle w:val="BodyText"/>
      </w:pPr>
      <w:hyperlink r:id="rId145">
        <w:r>
          <w:rPr>
            <w:rStyle w:val="Hyperlink"/>
          </w:rPr>
          <w:t>[46]</w:t>
        </w:r>
      </w:hyperlink>
      <w:r>
        <w:t xml:space="preserve"> https://www.epa.gov/fuels-registration-reporting-and-compliance-help/rin-trades-and-price-information</w:t>
      </w:r>
    </w:p>
    <w:p w14:paraId="062144B2" w14:textId="77777777" w:rsidR="00396B0A" w:rsidRDefault="00000000">
      <w:pPr>
        <w:pStyle w:val="BodyText"/>
      </w:pPr>
      <w:hyperlink r:id="rId146">
        <w:r>
          <w:rPr>
            <w:rStyle w:val="Hyperlink"/>
          </w:rPr>
          <w:t>https://www.epa.gov/fuels-registration-reporting-and-compliance-help/rin-trades-and-price-information</w:t>
        </w:r>
      </w:hyperlink>
      <w:bookmarkEnd w:id="31"/>
    </w:p>
    <w:sectPr w:rsidR="00396B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6065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4057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74793527">
    <w:abstractNumId w:val="0"/>
  </w:num>
  <w:num w:numId="2" w16cid:durableId="1332833074">
    <w:abstractNumId w:val="1"/>
  </w:num>
  <w:num w:numId="3" w16cid:durableId="1306272892">
    <w:abstractNumId w:val="1"/>
  </w:num>
  <w:num w:numId="4" w16cid:durableId="291252693">
    <w:abstractNumId w:val="1"/>
  </w:num>
  <w:num w:numId="5" w16cid:durableId="840773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0A"/>
    <w:rsid w:val="00396B0A"/>
    <w:rsid w:val="008F07F8"/>
    <w:rsid w:val="009C2EBB"/>
    <w:rsid w:val="00F26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F856"/>
  <w15:docId w15:val="{0190C041-903C-4D05-A350-C32B3106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ia.gov/dnav/pet/hist/LeafHandler.ashx?f=M&amp;n=PET&amp;s=M_EPOORDB_SKB_NUS_MBBL" TargetMode="External"/><Relationship Id="rId21" Type="http://schemas.openxmlformats.org/officeDocument/2006/relationships/hyperlink" Target="https://www.ams.usda.gov/mnreports/lswagenergy.pdf" TargetMode="External"/><Relationship Id="rId42" Type="http://schemas.openxmlformats.org/officeDocument/2006/relationships/hyperlink" Target="https://esmis.nal.usda.gov/sites/default/release-files/795799/cafo0326.pdf" TargetMode="External"/><Relationship Id="rId63" Type="http://schemas.openxmlformats.org/officeDocument/2006/relationships/hyperlink" Target="https://fred.stlouisfed.org/data/PSOILUSDM" TargetMode="External"/><Relationship Id="rId84" Type="http://schemas.openxmlformats.org/officeDocument/2006/relationships/hyperlink" Target="https://www.epa.gov/renewable-fuel-standard/final-renewable-fuel-standards-2026-and-2027" TargetMode="External"/><Relationship Id="rId138" Type="http://schemas.openxmlformats.org/officeDocument/2006/relationships/hyperlink" Target="https://www.eia.gov/dnav/pet/hist/LeafHandler.ashx?f=M&amp;n=PET&amp;s=M_EPOORDO_YNP_NUS_MBBLD" TargetMode="External"/><Relationship Id="rId107" Type="http://schemas.openxmlformats.org/officeDocument/2006/relationships/hyperlink" Target="https://ww2.arb.ca.gov/resources/documents/weekly-lcfs-credit-transfer-activity-reports" TargetMode="External"/><Relationship Id="rId11" Type="http://schemas.openxmlformats.org/officeDocument/2006/relationships/hyperlink" Target="https://www.ams.usda.gov/mnreports/ams_3510.pdf" TargetMode="External"/><Relationship Id="rId32" Type="http://schemas.openxmlformats.org/officeDocument/2006/relationships/hyperlink" Target="https://www.ams.usda.gov/mnreports/lswagenergy.pdf" TargetMode="External"/><Relationship Id="rId53" Type="http://schemas.openxmlformats.org/officeDocument/2006/relationships/hyperlink" Target="https://www.irs.gov/newsroom/treasury-irs-issue-proposed-regulations-on-the-clean-fuel-production-credit-under-the-one-big-beautiful-bill" TargetMode="External"/><Relationship Id="rId74" Type="http://schemas.openxmlformats.org/officeDocument/2006/relationships/hyperlink" Target="https://esmis.nal.usda.gov/sites/default/release-files/795803/cagc0326.pdf" TargetMode="External"/><Relationship Id="rId128" Type="http://schemas.openxmlformats.org/officeDocument/2006/relationships/hyperlink" Target="https://esmis.nal.usda.gov/sites/default/release-files/795803/cagc0326.pdf" TargetMode="External"/><Relationship Id="rId5" Type="http://schemas.openxmlformats.org/officeDocument/2006/relationships/hyperlink" Target="https://www.epa.gov/renewable-fuel-standard/final-renewable-fuel-standards-2026-and-2027" TargetMode="External"/><Relationship Id="rId90" Type="http://schemas.openxmlformats.org/officeDocument/2006/relationships/hyperlink" Target="https://www.ams.usda.gov/mnreports/lswagenergy.pdf" TargetMode="External"/><Relationship Id="rId95" Type="http://schemas.openxmlformats.org/officeDocument/2006/relationships/hyperlink" Target="https://www.eia.gov/dnav/pet/hist/LeafHandler.ashx?f=m&amp;n=pet&amp;s=m_epoordb_ynp_nus_mbbld" TargetMode="External"/><Relationship Id="rId22" Type="http://schemas.openxmlformats.org/officeDocument/2006/relationships/hyperlink" Target="https://www.irs.gov/newsroom/treasury-irs-issue-proposed-regulations-on-the-clean-fuel-production-credit-under-the-one-big-beautiful-bill" TargetMode="External"/><Relationship Id="rId27" Type="http://schemas.openxmlformats.org/officeDocument/2006/relationships/hyperlink" Target="https://fred.stlouisfed.org/data/PROILUSDM.txt" TargetMode="External"/><Relationship Id="rId43" Type="http://schemas.openxmlformats.org/officeDocument/2006/relationships/hyperlink" Target="https://esmis.nal.usda.gov/sites/default/release-files/795803/cagc0326.pdf" TargetMode="External"/><Relationship Id="rId48" Type="http://schemas.openxmlformats.org/officeDocument/2006/relationships/hyperlink" Target="https://www.eia.gov/dnav/pet/hist/LeafHandler.ashx?f=M&amp;n=PET&amp;s=M_EPOORDB_IM0_NUS-Z00_MBBLD" TargetMode="External"/><Relationship Id="rId64" Type="http://schemas.openxmlformats.org/officeDocument/2006/relationships/hyperlink" Target="https://www.eia.gov/dnav/pet/hist/LeafHandler.ashx?f=M&amp;n=PET&amp;s=M_EPOORDO_YNP_NUS_MBBLD" TargetMode="External"/><Relationship Id="rId69" Type="http://schemas.openxmlformats.org/officeDocument/2006/relationships/hyperlink" Target="https://www.ams.usda.gov/mnreports/ams_2839.pdf" TargetMode="External"/><Relationship Id="rId113" Type="http://schemas.openxmlformats.org/officeDocument/2006/relationships/hyperlink" Target="https://aegis-hedging.com/insights/lcfs-rin-pricing-report-through-march-13th-2026" TargetMode="External"/><Relationship Id="rId118" Type="http://schemas.openxmlformats.org/officeDocument/2006/relationships/hyperlink" Target="https://www.eia.gov/dnav/pet/hist/LeafHandler.ashx?f=M&amp;n=PET&amp;s=M_EPOORDB_SKB_NUS_MBBL" TargetMode="External"/><Relationship Id="rId134" Type="http://schemas.openxmlformats.org/officeDocument/2006/relationships/hyperlink" Target="https://www.eia.gov/todayinenergy/detail.php?id=65424" TargetMode="External"/><Relationship Id="rId139" Type="http://schemas.openxmlformats.org/officeDocument/2006/relationships/hyperlink" Target="https://www.eia.gov/dnav/pet/hist/LeafHandler.ashx?f=M&amp;n=PET&amp;s=M_EPOORDB_VPP_NUS_MBBL" TargetMode="External"/><Relationship Id="rId80" Type="http://schemas.openxmlformats.org/officeDocument/2006/relationships/hyperlink" Target="https://www.epa.gov/renewable-fuel-standard/final-renewable-fuel-standards-2026-and-2027" TargetMode="External"/><Relationship Id="rId85" Type="http://schemas.openxmlformats.org/officeDocument/2006/relationships/hyperlink" Target="https://www.epa.gov/renewable-fuel-standard/final-renewable-fuel-standards-2026-and-2027" TargetMode="External"/><Relationship Id="rId12" Type="http://schemas.openxmlformats.org/officeDocument/2006/relationships/hyperlink" Target="https://www.ams.usda.gov/mnreports/ams_3510.pdf" TargetMode="External"/><Relationship Id="rId17" Type="http://schemas.openxmlformats.org/officeDocument/2006/relationships/hyperlink" Target="https://www.eia.gov/biofuels/biodiesel/capacity/" TargetMode="External"/><Relationship Id="rId33" Type="http://schemas.openxmlformats.org/officeDocument/2006/relationships/hyperlink" Target="https://esmis.nal.usda.gov/sites/default/release-files/795799/cafo0326.pdf" TargetMode="External"/><Relationship Id="rId38" Type="http://schemas.openxmlformats.org/officeDocument/2006/relationships/hyperlink" Target="https://esmis.nal.usda.gov/sites/default/release-files/795799/cafo0326.pdf" TargetMode="External"/><Relationship Id="rId59" Type="http://schemas.openxmlformats.org/officeDocument/2006/relationships/hyperlink" Target="https://www.ams.usda.gov/mnreports/lswagenergy.pdf" TargetMode="External"/><Relationship Id="rId103" Type="http://schemas.openxmlformats.org/officeDocument/2006/relationships/hyperlink" Target="https://www.ams.usda.gov/mnreports/ams_3510.pdf" TargetMode="External"/><Relationship Id="rId108" Type="http://schemas.openxmlformats.org/officeDocument/2006/relationships/hyperlink" Target="https://ww2.arb.ca.gov/resources/documents/weekly-lcfs-credit-transfer-activity-reports" TargetMode="External"/><Relationship Id="rId124" Type="http://schemas.openxmlformats.org/officeDocument/2006/relationships/hyperlink" Target="https://fred.stlouisfed.org/data/PROILUSDM.txt" TargetMode="External"/><Relationship Id="rId129" Type="http://schemas.openxmlformats.org/officeDocument/2006/relationships/hyperlink" Target="https://esmis.nal.usda.gov/sites/default/release-files/795799/cafo0326.pdf" TargetMode="External"/><Relationship Id="rId54" Type="http://schemas.openxmlformats.org/officeDocument/2006/relationships/hyperlink" Target="https://www.ams.usda.gov/mnreports/ams_3510.pdf" TargetMode="External"/><Relationship Id="rId70" Type="http://schemas.openxmlformats.org/officeDocument/2006/relationships/hyperlink" Target="https://www.ams.usda.gov/mnreports/ams_2839.pdf" TargetMode="External"/><Relationship Id="rId75" Type="http://schemas.openxmlformats.org/officeDocument/2006/relationships/hyperlink" Target="https://www.epa.gov/renewable-fuel-standard/final-renewable-fuel-standards-2026-and-2027" TargetMode="External"/><Relationship Id="rId91" Type="http://schemas.openxmlformats.org/officeDocument/2006/relationships/hyperlink" Target="https://www.ams.usda.gov/mnreports/lswagenergy.pdf" TargetMode="External"/><Relationship Id="rId96" Type="http://schemas.openxmlformats.org/officeDocument/2006/relationships/hyperlink" Target="https://www.eia.gov/dnav/pet/hist/LeafHandler.ashx?f=m&amp;n=pet&amp;s=m_epoordb_ynp_nus_mbbld" TargetMode="External"/><Relationship Id="rId140" Type="http://schemas.openxmlformats.org/officeDocument/2006/relationships/hyperlink" Target="https://www.eia.gov/dnav/pet/hist/LeafHandler.ashx?f=M&amp;n=PET&amp;s=M_EPOORDB_VPP_NUS_MBBL" TargetMode="External"/><Relationship Id="rId145" Type="http://schemas.openxmlformats.org/officeDocument/2006/relationships/hyperlink" Target="https://www.epa.gov/fuels-registration-reporting-and-compliance-help/rin-trades-and-price-information" TargetMode="External"/><Relationship Id="rId1" Type="http://schemas.openxmlformats.org/officeDocument/2006/relationships/numbering" Target="numbering.xml"/><Relationship Id="rId6" Type="http://schemas.openxmlformats.org/officeDocument/2006/relationships/hyperlink" Target="https://www.ams.usda.gov/mnreports/lswagenergy.pdf" TargetMode="External"/><Relationship Id="rId23" Type="http://schemas.openxmlformats.org/officeDocument/2006/relationships/hyperlink" Target="https://ww2.arb.ca.gov/resources/documents/weekly-lcfs-credit-transfer-activity-reports" TargetMode="External"/><Relationship Id="rId28" Type="http://schemas.openxmlformats.org/officeDocument/2006/relationships/hyperlink" Target="https://www.ams.usda.gov/mnreports/ams_3510.pdf" TargetMode="External"/><Relationship Id="rId49" Type="http://schemas.openxmlformats.org/officeDocument/2006/relationships/hyperlink" Target="https://www.epa.gov/renewable-fuel-standard/final-renewable-fuel-standards-2026-and-2027" TargetMode="External"/><Relationship Id="rId114" Type="http://schemas.openxmlformats.org/officeDocument/2006/relationships/hyperlink" Target="https://aegis-hedging.com/insights/lcfs-rin-pricing-report-through-march-13th-2026" TargetMode="External"/><Relationship Id="rId119" Type="http://schemas.openxmlformats.org/officeDocument/2006/relationships/hyperlink" Target="https://www.eia.gov/dnav/pet/hist/LeafHandler.ashx?f=M&amp;n=PET&amp;s=M_EPOORDB_SKB_NUS_MBBL" TargetMode="External"/><Relationship Id="rId44" Type="http://schemas.openxmlformats.org/officeDocument/2006/relationships/hyperlink" Target="https://www.eia.gov/todayinenergy/detail.php?id=65424" TargetMode="External"/><Relationship Id="rId60" Type="http://schemas.openxmlformats.org/officeDocument/2006/relationships/hyperlink" Target="https://www.epa.gov/renewable-fuel-standard/final-renewable-fuel-standards-2026-and-2027" TargetMode="External"/><Relationship Id="rId65" Type="http://schemas.openxmlformats.org/officeDocument/2006/relationships/hyperlink" Target="https://www.eia.gov/dnav/pet/hist/LeafHandler.ashx?f=M&amp;n=PET&amp;s=M_EPOORDB_SKB_NUS_MBBL" TargetMode="External"/><Relationship Id="rId81" Type="http://schemas.openxmlformats.org/officeDocument/2006/relationships/hyperlink" Target="https://www.epa.gov/renewable-fuel-standard/final-renewable-fuel-standards-2026-and-2027" TargetMode="External"/><Relationship Id="rId86" Type="http://schemas.openxmlformats.org/officeDocument/2006/relationships/hyperlink" Target="https://www.ams.usda.gov/mnreports/lswagenergy.pdf" TargetMode="External"/><Relationship Id="rId130" Type="http://schemas.openxmlformats.org/officeDocument/2006/relationships/hyperlink" Target="https://esmis.nal.usda.gov/sites/default/release-files/795799/cafo0326.pdf" TargetMode="External"/><Relationship Id="rId135" Type="http://schemas.openxmlformats.org/officeDocument/2006/relationships/hyperlink" Target="https://www.eia.gov/todayinenergy/detail.php?id=65424" TargetMode="External"/><Relationship Id="rId13" Type="http://schemas.openxmlformats.org/officeDocument/2006/relationships/hyperlink" Target="https://www.ams.usda.gov/mnreports/ams_2839.pdf" TargetMode="External"/><Relationship Id="rId18" Type="http://schemas.openxmlformats.org/officeDocument/2006/relationships/hyperlink" Target="https://www.eia.gov/dnav/pet/hist/LeafHandler.ashx?f=M&amp;n=PET&amp;s=M_EPOORDB_SKB_NUS_MBBL" TargetMode="External"/><Relationship Id="rId39" Type="http://schemas.openxmlformats.org/officeDocument/2006/relationships/hyperlink" Target="https://www.ams.usda.gov/mnreports/ams_3510.pdf" TargetMode="External"/><Relationship Id="rId109" Type="http://schemas.openxmlformats.org/officeDocument/2006/relationships/hyperlink" Target="https://ww2.arb.ca.gov/resources/documents/weekly-lcfs-credit-transfer-activity-reports" TargetMode="External"/><Relationship Id="rId34" Type="http://schemas.openxmlformats.org/officeDocument/2006/relationships/hyperlink" Target="https://www.ams.usda.gov/mnreports/ams_3510.pdf" TargetMode="External"/><Relationship Id="rId50" Type="http://schemas.openxmlformats.org/officeDocument/2006/relationships/hyperlink" Target="https://www.epa.gov/fuels-registration-reporting-and-compliance-help/public-data-renewable-fuel-standard" TargetMode="External"/><Relationship Id="rId55" Type="http://schemas.openxmlformats.org/officeDocument/2006/relationships/hyperlink" Target="https://ww2.arb.ca.gov/resources/documents/weekly-lcfs-credit-transfer-activity-reports" TargetMode="External"/><Relationship Id="rId76" Type="http://schemas.openxmlformats.org/officeDocument/2006/relationships/hyperlink" Target="https://ww2.arb.ca.gov/resources/documents/weekly-lcfs-credit-transfer-activity-reports" TargetMode="External"/><Relationship Id="rId97" Type="http://schemas.openxmlformats.org/officeDocument/2006/relationships/hyperlink" Target="https://www.irs.gov/newsroom/treasury-irs-issue-proposed-regulations-on-the-clean-fuel-production-credit-under-the-one-big-beautiful-bill" TargetMode="External"/><Relationship Id="rId104" Type="http://schemas.openxmlformats.org/officeDocument/2006/relationships/hyperlink" Target="https://www.ams.usda.gov/mnreports/ams_2839.pdf" TargetMode="External"/><Relationship Id="rId120" Type="http://schemas.openxmlformats.org/officeDocument/2006/relationships/hyperlink" Target="https://www.eia.gov/dnav/pet/hist/LeafHandler.ashx?f=M&amp;n=PET&amp;s=M_EPOORDB_SKB_NUS_MBBL" TargetMode="External"/><Relationship Id="rId125" Type="http://schemas.openxmlformats.org/officeDocument/2006/relationships/hyperlink" Target="https://fred.stlouisfed.org/data/PROILUSDM.txt" TargetMode="External"/><Relationship Id="rId141" Type="http://schemas.openxmlformats.org/officeDocument/2006/relationships/hyperlink" Target="https://www.epa.gov/fuels-registration-reporting-and-compliance-help/public-data-renewable-fuel-standard" TargetMode="External"/><Relationship Id="rId146" Type="http://schemas.openxmlformats.org/officeDocument/2006/relationships/hyperlink" Target="https://www.epa.gov/fuels-registration-reporting-and-compliance-help/rin-trades-and-price-information" TargetMode="External"/><Relationship Id="rId7" Type="http://schemas.openxmlformats.org/officeDocument/2006/relationships/hyperlink" Target="https://www.eia.gov/biofuels/renewable/capacity/" TargetMode="External"/><Relationship Id="rId71" Type="http://schemas.openxmlformats.org/officeDocument/2006/relationships/hyperlink" Target="https://esmis.nal.usda.gov/sites/default/release-files/795799/cafo0326.pdf" TargetMode="External"/><Relationship Id="rId92" Type="http://schemas.openxmlformats.org/officeDocument/2006/relationships/hyperlink" Target="https://www.eia.gov/biofuels/renewable/capacity/" TargetMode="External"/><Relationship Id="rId2" Type="http://schemas.openxmlformats.org/officeDocument/2006/relationships/styles" Target="styles.xml"/><Relationship Id="rId29" Type="http://schemas.openxmlformats.org/officeDocument/2006/relationships/hyperlink" Target="https://www.ams.usda.gov/mnreports/ams_2839.pdf" TargetMode="External"/><Relationship Id="rId24" Type="http://schemas.openxmlformats.org/officeDocument/2006/relationships/hyperlink" Target="https://ww2.arb.ca.gov/resources/documents/weekly-lcfs-credit-transfer-activity-reports" TargetMode="External"/><Relationship Id="rId40" Type="http://schemas.openxmlformats.org/officeDocument/2006/relationships/hyperlink" Target="https://esmis.nal.usda.gov/sites/default/release-files/795799/cafo0326.pdf" TargetMode="External"/><Relationship Id="rId45" Type="http://schemas.openxmlformats.org/officeDocument/2006/relationships/hyperlink" Target="https://www.eia.gov/biofuels/renewable/capacity/" TargetMode="External"/><Relationship Id="rId66" Type="http://schemas.openxmlformats.org/officeDocument/2006/relationships/hyperlink" Target="https://www.ams.usda.gov/mnreports/lswagenergy.pdf" TargetMode="External"/><Relationship Id="rId87" Type="http://schemas.openxmlformats.org/officeDocument/2006/relationships/hyperlink" Target="https://www.ams.usda.gov/mnreports/lswagenergy.pdf" TargetMode="External"/><Relationship Id="rId110" Type="http://schemas.openxmlformats.org/officeDocument/2006/relationships/hyperlink" Target="https://ww2.arb.ca.gov/resources/documents/weekly-lcfs-credit-transfer-activity-reports" TargetMode="External"/><Relationship Id="rId115" Type="http://schemas.openxmlformats.org/officeDocument/2006/relationships/hyperlink" Target="https://www.eia.gov/biofuels/biodiesel/capacity/" TargetMode="External"/><Relationship Id="rId131" Type="http://schemas.openxmlformats.org/officeDocument/2006/relationships/hyperlink" Target="https://esmis.nal.usda.gov/sites/default/release-files/795799/cafo0326.pdf" TargetMode="External"/><Relationship Id="rId136" Type="http://schemas.openxmlformats.org/officeDocument/2006/relationships/hyperlink" Target="https://www.eia.gov/todayinenergy/detail.php?id=65424" TargetMode="External"/><Relationship Id="rId61" Type="http://schemas.openxmlformats.org/officeDocument/2006/relationships/hyperlink" Target="https://www.eia.gov/dnav/pet/hist/LeafHandler.ashx?f=M&amp;n=PET&amp;s=M_EPOORDB_SKB_NUS_MBBL" TargetMode="External"/><Relationship Id="rId82" Type="http://schemas.openxmlformats.org/officeDocument/2006/relationships/hyperlink" Target="https://www.epa.gov/renewable-fuel-standard/final-renewable-fuel-standards-2026-and-2027" TargetMode="External"/><Relationship Id="rId19" Type="http://schemas.openxmlformats.org/officeDocument/2006/relationships/hyperlink" Target="https://www.eia.gov/dnav/pet/hist/LeafHandler.ashx?f=M&amp;n=PET&amp;s=M_EPOORDB_IM0_NUS-Z00_MBBLD" TargetMode="External"/><Relationship Id="rId14" Type="http://schemas.openxmlformats.org/officeDocument/2006/relationships/hyperlink" Target="https://www.ams.usda.gov/mnreports/ams_2839.pdf" TargetMode="External"/><Relationship Id="rId30" Type="http://schemas.openxmlformats.org/officeDocument/2006/relationships/hyperlink" Target="https://esmis.nal.usda.gov/sites/default/release-files/795803/cagc0326.pdf" TargetMode="External"/><Relationship Id="rId35" Type="http://schemas.openxmlformats.org/officeDocument/2006/relationships/hyperlink" Target="https://www.ers.usda.gov/topics/crops/soybeans-and-oil-crops/market-outlook" TargetMode="External"/><Relationship Id="rId56" Type="http://schemas.openxmlformats.org/officeDocument/2006/relationships/hyperlink" Target="https://www.eia.gov/dnav/pet/hist/LeafHandler.ashx?f=M&amp;n=PET&amp;s=M_EPOORDB_SKB_NUS_MBBL" TargetMode="External"/><Relationship Id="rId77" Type="http://schemas.openxmlformats.org/officeDocument/2006/relationships/hyperlink" Target="https://aegis-hedging.com/insights/lcfs-rin-pricing-report-through-march-13th-2026" TargetMode="External"/><Relationship Id="rId100" Type="http://schemas.openxmlformats.org/officeDocument/2006/relationships/hyperlink" Target="https://www.ams.usda.gov/mnreports/ams_3510.pdf" TargetMode="External"/><Relationship Id="rId105" Type="http://schemas.openxmlformats.org/officeDocument/2006/relationships/hyperlink" Target="https://www.ams.usda.gov/mnreports/ams_2839.pdf" TargetMode="External"/><Relationship Id="rId126" Type="http://schemas.openxmlformats.org/officeDocument/2006/relationships/hyperlink" Target="https://fred.stlouisfed.org/data/PROILUSDM.txt" TargetMode="External"/><Relationship Id="rId147" Type="http://schemas.openxmlformats.org/officeDocument/2006/relationships/fontTable" Target="fontTable.xml"/><Relationship Id="rId8" Type="http://schemas.openxmlformats.org/officeDocument/2006/relationships/hyperlink" Target="https://www.eia.gov/dnav/pet/hist/LeafHandler.ashx?f=m&amp;n=pet&amp;s=m_epoordb_ynp_nus_mbbld" TargetMode="External"/><Relationship Id="rId51" Type="http://schemas.openxmlformats.org/officeDocument/2006/relationships/hyperlink" Target="https://ww2.arb.ca.gov/resources/documents/weekly-lcfs-credit-transfer-activity-reports" TargetMode="External"/><Relationship Id="rId72" Type="http://schemas.openxmlformats.org/officeDocument/2006/relationships/hyperlink" Target="https://esmis.nal.usda.gov/sites/default/release-files/795799/cafo0326.pdf" TargetMode="External"/><Relationship Id="rId93" Type="http://schemas.openxmlformats.org/officeDocument/2006/relationships/hyperlink" Target="https://www.eia.gov/biofuels/renewable/capacity/" TargetMode="External"/><Relationship Id="rId98" Type="http://schemas.openxmlformats.org/officeDocument/2006/relationships/hyperlink" Target="https://www.irs.gov/newsroom/treasury-irs-issue-proposed-regulations-on-the-clean-fuel-production-credit-under-the-one-big-beautiful-bill" TargetMode="External"/><Relationship Id="rId121" Type="http://schemas.openxmlformats.org/officeDocument/2006/relationships/hyperlink" Target="https://www.eia.gov/dnav/pet/hist/LeafHandler.ashx?f=M&amp;n=PET&amp;s=M_EPOORDB_IM0_NUS-Z00_MBBLD" TargetMode="External"/><Relationship Id="rId142" Type="http://schemas.openxmlformats.org/officeDocument/2006/relationships/hyperlink" Target="https://www.epa.gov/fuels-registration-reporting-and-compliance-help/public-data-renewable-fuel-standard" TargetMode="External"/><Relationship Id="rId3" Type="http://schemas.openxmlformats.org/officeDocument/2006/relationships/settings" Target="settings.xml"/><Relationship Id="rId25" Type="http://schemas.openxmlformats.org/officeDocument/2006/relationships/hyperlink" Target="https://www.epa.gov/renewable-fuel-standard/final-renewable-fuel-standards-2026-and-2027" TargetMode="External"/><Relationship Id="rId46" Type="http://schemas.openxmlformats.org/officeDocument/2006/relationships/hyperlink" Target="https://www.eia.gov/dnav/pet/hist/LeafHandler.ashx?f=M&amp;n=PET&amp;s=M_EPOORDO_YNP_NUS_MBBLD" TargetMode="External"/><Relationship Id="rId67" Type="http://schemas.openxmlformats.org/officeDocument/2006/relationships/hyperlink" Target="https://www.ams.usda.gov/mnreports/ams_3510.pdf" TargetMode="External"/><Relationship Id="rId116" Type="http://schemas.openxmlformats.org/officeDocument/2006/relationships/hyperlink" Target="https://www.eia.gov/biofuels/biodiesel/capacity/" TargetMode="External"/><Relationship Id="rId137" Type="http://schemas.openxmlformats.org/officeDocument/2006/relationships/hyperlink" Target="https://www.eia.gov/dnav/pet/hist/LeafHandler.ashx?f=M&amp;n=PET&amp;s=M_EPOORDO_YNP_NUS_MBBLD" TargetMode="External"/><Relationship Id="rId20" Type="http://schemas.openxmlformats.org/officeDocument/2006/relationships/hyperlink" Target="https://www.epa.gov/renewable-fuel-standard/final-renewable-fuel-standards-2026-and-2027" TargetMode="External"/><Relationship Id="rId41" Type="http://schemas.openxmlformats.org/officeDocument/2006/relationships/hyperlink" Target="https://www.ams.usda.gov/mnreports/ams_2839.pdf" TargetMode="External"/><Relationship Id="rId62" Type="http://schemas.openxmlformats.org/officeDocument/2006/relationships/hyperlink" Target="https://www.ams.usda.gov/mnreports/ams_3510.pdf" TargetMode="External"/><Relationship Id="rId83" Type="http://schemas.openxmlformats.org/officeDocument/2006/relationships/hyperlink" Target="https://www.epa.gov/renewable-fuel-standard/final-renewable-fuel-standards-2026-and-2027" TargetMode="External"/><Relationship Id="rId88" Type="http://schemas.openxmlformats.org/officeDocument/2006/relationships/hyperlink" Target="https://www.ams.usda.gov/mnreports/lswagenergy.pdf" TargetMode="External"/><Relationship Id="rId111" Type="http://schemas.openxmlformats.org/officeDocument/2006/relationships/hyperlink" Target="https://ww2.arb.ca.gov/resources/documents/weekly-lcfs-credit-transfer-activity-reports" TargetMode="External"/><Relationship Id="rId132" Type="http://schemas.openxmlformats.org/officeDocument/2006/relationships/hyperlink" Target="https://www.ers.usda.gov/topics/crops/soybeans-and-oil-crops/market-outlook" TargetMode="External"/><Relationship Id="rId15" Type="http://schemas.openxmlformats.org/officeDocument/2006/relationships/hyperlink" Target="https://ww2.arb.ca.gov/resources/documents/weekly-lcfs-credit-transfer-activity-reports" TargetMode="External"/><Relationship Id="rId36" Type="http://schemas.openxmlformats.org/officeDocument/2006/relationships/hyperlink" Target="https://www.eia.gov/todayinenergy/detail.php?id=65424" TargetMode="External"/><Relationship Id="rId57" Type="http://schemas.openxmlformats.org/officeDocument/2006/relationships/hyperlink" Target="https://www.epa.gov/renewable-fuel-standard/final-renewable-fuel-standards-2026-and-2027" TargetMode="External"/><Relationship Id="rId106" Type="http://schemas.openxmlformats.org/officeDocument/2006/relationships/hyperlink" Target="https://www.ams.usda.gov/mnreports/ams_2839.pdf" TargetMode="External"/><Relationship Id="rId127" Type="http://schemas.openxmlformats.org/officeDocument/2006/relationships/hyperlink" Target="https://esmis.nal.usda.gov/sites/default/release-files/795803/cagc0326.pdf" TargetMode="External"/><Relationship Id="rId10" Type="http://schemas.openxmlformats.org/officeDocument/2006/relationships/hyperlink" Target="https://www.ams.usda.gov/mnreports/lswagenergy.pdf" TargetMode="External"/><Relationship Id="rId31" Type="http://schemas.openxmlformats.org/officeDocument/2006/relationships/hyperlink" Target="https://www.ams.usda.gov/mnreports/lswagenergy.pdf" TargetMode="External"/><Relationship Id="rId52" Type="http://schemas.openxmlformats.org/officeDocument/2006/relationships/hyperlink" Target="https://www.epa.gov/renewable-fuel-standard/final-renewable-fuel-standards-2026-and-2027" TargetMode="External"/><Relationship Id="rId73" Type="http://schemas.openxmlformats.org/officeDocument/2006/relationships/hyperlink" Target="https://esmis.nal.usda.gov/sites/default/release-files/795799/cafo0326.pdf" TargetMode="External"/><Relationship Id="rId78" Type="http://schemas.openxmlformats.org/officeDocument/2006/relationships/hyperlink" Target="https://esmis.nal.usda.gov/sites/default/release-files/795799/cafo0326.pdf" TargetMode="External"/><Relationship Id="rId94" Type="http://schemas.openxmlformats.org/officeDocument/2006/relationships/hyperlink" Target="https://www.eia.gov/biofuels/renewable/capacity/" TargetMode="External"/><Relationship Id="rId99" Type="http://schemas.openxmlformats.org/officeDocument/2006/relationships/hyperlink" Target="https://www.ams.usda.gov/mnreports/ams_3510.pdf" TargetMode="External"/><Relationship Id="rId101" Type="http://schemas.openxmlformats.org/officeDocument/2006/relationships/hyperlink" Target="https://www.ams.usda.gov/mnreports/ams_3510.pdf" TargetMode="External"/><Relationship Id="rId122" Type="http://schemas.openxmlformats.org/officeDocument/2006/relationships/hyperlink" Target="https://www.eia.gov/dnav/pet/hist/LeafHandler.ashx?f=M&amp;n=PET&amp;s=M_EPOORDB_IM0_NUS-Z00_MBBLD" TargetMode="External"/><Relationship Id="rId143" Type="http://schemas.openxmlformats.org/officeDocument/2006/relationships/hyperlink" Target="https://fred.stlouisfed.org/data/PSOILUSDM"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rs.gov/newsroom/treasury-irs-issue-proposed-regulations-on-the-clean-fuel-production-credit-under-the-one-big-beautiful-bill" TargetMode="External"/><Relationship Id="rId26" Type="http://schemas.openxmlformats.org/officeDocument/2006/relationships/hyperlink" Target="https://www.ams.usda.gov/mnreports/lswagenergy.pdf" TargetMode="External"/><Relationship Id="rId47" Type="http://schemas.openxmlformats.org/officeDocument/2006/relationships/hyperlink" Target="https://www.eia.gov/dnav/pet/hist/LeafHandler.ashx?f=M&amp;n=PET&amp;s=M_EPOORDB_VPP_NUS_MBBL" TargetMode="External"/><Relationship Id="rId68" Type="http://schemas.openxmlformats.org/officeDocument/2006/relationships/hyperlink" Target="https://www.ams.usda.gov/mnreports/ams_3510.pdf" TargetMode="External"/><Relationship Id="rId89" Type="http://schemas.openxmlformats.org/officeDocument/2006/relationships/hyperlink" Target="https://www.ams.usda.gov/mnreports/lswagenergy.pdf" TargetMode="External"/><Relationship Id="rId112" Type="http://schemas.openxmlformats.org/officeDocument/2006/relationships/hyperlink" Target="https://aegis-hedging.com/insights/lcfs-rin-pricing-report-through-march-13th-2026" TargetMode="External"/><Relationship Id="rId133" Type="http://schemas.openxmlformats.org/officeDocument/2006/relationships/hyperlink" Target="https://www.ers.usda.gov/topics/crops/soybeans-and-oil-crops/market-outlook" TargetMode="External"/><Relationship Id="rId16" Type="http://schemas.openxmlformats.org/officeDocument/2006/relationships/hyperlink" Target="https://aegis-hedging.com/insights/lcfs-rin-pricing-report-through-march-13th-2026" TargetMode="External"/><Relationship Id="rId37" Type="http://schemas.openxmlformats.org/officeDocument/2006/relationships/hyperlink" Target="https://fred.stlouisfed.org/data/PROILUSDM.txt" TargetMode="External"/><Relationship Id="rId58" Type="http://schemas.openxmlformats.org/officeDocument/2006/relationships/hyperlink" Target="https://www.epa.gov/renewable-fuel-standard/final-renewable-fuel-standards-2026-and-2027" TargetMode="External"/><Relationship Id="rId79" Type="http://schemas.openxmlformats.org/officeDocument/2006/relationships/hyperlink" Target="https://www.epa.gov/fuels-registration-reporting-and-compliance-help/rin-trades-and-price-information" TargetMode="External"/><Relationship Id="rId102" Type="http://schemas.openxmlformats.org/officeDocument/2006/relationships/hyperlink" Target="https://www.ams.usda.gov/mnreports/ams_3510.pdf" TargetMode="External"/><Relationship Id="rId123" Type="http://schemas.openxmlformats.org/officeDocument/2006/relationships/hyperlink" Target="https://www.eia.gov/dnav/pet/hist/LeafHandler.ashx?f=M&amp;n=PET&amp;s=M_EPOORDB_IM0_NUS-Z00_MBBLD" TargetMode="External"/><Relationship Id="rId144" Type="http://schemas.openxmlformats.org/officeDocument/2006/relationships/hyperlink" Target="https://fred.stlouisfed.org/data/PSOILUS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5662</Words>
  <Characters>32841</Characters>
  <Application>Microsoft Office Word</Application>
  <DocSecurity>0</DocSecurity>
  <Lines>821</Lines>
  <Paragraphs>631</Paragraphs>
  <ScaleCrop>false</ScaleCrop>
  <Company/>
  <LinksUpToDate>false</LinksUpToDate>
  <CharactersWithSpaces>37872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2026-04-10T09:11:00Z</dcterms:created>
  <dcterms:modified xsi:type="dcterms:W3CDTF">2026-04-10T09:11:00Z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