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42F01" w14:textId="77777777" w:rsidR="00B12AEE" w:rsidRDefault="00B12AEE">
      <w:pPr>
        <w:spacing w:before="2400"/>
      </w:pPr>
    </w:p>
    <w:p w14:paraId="10FC25CA" w14:textId="77777777" w:rsidR="00B12AEE" w:rsidRDefault="00B12AEE">
      <w:pPr>
        <w:pBdr>
          <w:bottom w:val="single" w:sz="8" w:space="1" w:color="C8A951"/>
        </w:pBdr>
        <w:spacing w:after="360"/>
      </w:pPr>
    </w:p>
    <w:p w14:paraId="34426391" w14:textId="77777777" w:rsidR="00B12AEE" w:rsidRDefault="00000000">
      <w:pPr>
        <w:spacing w:before="240" w:after="60"/>
      </w:pPr>
      <w:r>
        <w:rPr>
          <w:color w:val="C8A951"/>
          <w:spacing w:val="160"/>
          <w:sz w:val="24"/>
          <w:szCs w:val="24"/>
        </w:rPr>
        <w:t>THE</w:t>
      </w:r>
    </w:p>
    <w:p w14:paraId="71F27974" w14:textId="77777777" w:rsidR="00B12AEE" w:rsidRDefault="00000000">
      <w:pPr>
        <w:spacing w:after="40"/>
      </w:pPr>
      <w:r>
        <w:rPr>
          <w:b/>
          <w:bCs/>
          <w:spacing w:val="120"/>
          <w:sz w:val="64"/>
          <w:szCs w:val="64"/>
        </w:rPr>
        <w:t>FEEDSTOCK</w:t>
      </w:r>
    </w:p>
    <w:p w14:paraId="7E2A57CA" w14:textId="77777777" w:rsidR="00B12AEE" w:rsidRDefault="00000000">
      <w:pPr>
        <w:spacing w:after="200"/>
      </w:pPr>
      <w:r>
        <w:rPr>
          <w:b/>
          <w:bCs/>
          <w:spacing w:val="120"/>
          <w:sz w:val="64"/>
          <w:szCs w:val="64"/>
        </w:rPr>
        <w:t>REPORT</w:t>
      </w:r>
    </w:p>
    <w:p w14:paraId="3976DBF1" w14:textId="77777777" w:rsidR="00B12AEE" w:rsidRDefault="00000000">
      <w:pPr>
        <w:spacing w:after="120"/>
      </w:pPr>
      <w:r>
        <w:rPr>
          <w:i/>
          <w:iCs/>
          <w:color w:val="2D4470"/>
          <w:sz w:val="22"/>
          <w:szCs w:val="22"/>
        </w:rPr>
        <w:t>Weekly Biomass-Based Diesel &amp; Feedstock Market Intelligence</w:t>
      </w:r>
    </w:p>
    <w:p w14:paraId="1FE07442" w14:textId="77777777" w:rsidR="00B12AEE" w:rsidRDefault="00B12AEE">
      <w:pPr>
        <w:pBdr>
          <w:bottom w:val="single" w:sz="8" w:space="1" w:color="C8A951"/>
        </w:pBdr>
        <w:spacing w:before="200" w:after="360"/>
      </w:pPr>
    </w:p>
    <w:p w14:paraId="00D8DB4D" w14:textId="77777777" w:rsidR="00B12AEE" w:rsidRDefault="00000000">
      <w:pPr>
        <w:spacing w:before="240" w:after="40"/>
      </w:pPr>
      <w:r>
        <w:rPr>
          <w:sz w:val="24"/>
          <w:szCs w:val="24"/>
        </w:rPr>
        <w:t>Week of April 7, 2026</w:t>
      </w:r>
    </w:p>
    <w:p w14:paraId="1A61CBDA" w14:textId="77777777" w:rsidR="00B12AEE" w:rsidRDefault="00000000">
      <w:pPr>
        <w:spacing w:after="40"/>
      </w:pPr>
      <w:r>
        <w:rPr>
          <w:color w:val="9B9588"/>
          <w:sz w:val="20"/>
          <w:szCs w:val="20"/>
        </w:rPr>
        <w:t xml:space="preserve">Volume </w:t>
      </w:r>
      <w:proofErr w:type="gramStart"/>
      <w:r>
        <w:rPr>
          <w:color w:val="9B9588"/>
          <w:sz w:val="20"/>
          <w:szCs w:val="20"/>
        </w:rPr>
        <w:t>1  |</w:t>
      </w:r>
      <w:proofErr w:type="gramEnd"/>
      <w:r>
        <w:rPr>
          <w:color w:val="9B9588"/>
          <w:sz w:val="20"/>
          <w:szCs w:val="20"/>
        </w:rPr>
        <w:t xml:space="preserve">  Issue 1</w:t>
      </w:r>
    </w:p>
    <w:p w14:paraId="34D62A7C" w14:textId="77777777" w:rsidR="00B12AEE" w:rsidRDefault="00B12AEE">
      <w:pPr>
        <w:spacing w:before="1800"/>
      </w:pPr>
    </w:p>
    <w:p w14:paraId="1728B68C" w14:textId="77777777" w:rsidR="00B12AEE" w:rsidRDefault="00000000">
      <w:pPr>
        <w:spacing w:after="40"/>
      </w:pPr>
      <w:proofErr w:type="gramStart"/>
      <w:r>
        <w:rPr>
          <w:b/>
          <w:bCs/>
          <w:spacing w:val="100"/>
          <w:sz w:val="20"/>
          <w:szCs w:val="20"/>
        </w:rPr>
        <w:t>ROUND LAKES</w:t>
      </w:r>
      <w:proofErr w:type="gramEnd"/>
      <w:r>
        <w:rPr>
          <w:b/>
          <w:bCs/>
          <w:spacing w:val="100"/>
          <w:sz w:val="20"/>
          <w:szCs w:val="20"/>
        </w:rPr>
        <w:t xml:space="preserve"> COMPANIES</w:t>
      </w:r>
    </w:p>
    <w:p w14:paraId="0FEFCC60" w14:textId="31810550" w:rsidR="00B12AEE" w:rsidRDefault="00000000">
      <w:pPr>
        <w:spacing w:after="20"/>
      </w:pPr>
      <w:r>
        <w:rPr>
          <w:color w:val="9B9588"/>
          <w:sz w:val="18"/>
          <w:szCs w:val="18"/>
        </w:rPr>
        <w:t xml:space="preserve">RLC </w:t>
      </w:r>
      <w:proofErr w:type="gramStart"/>
      <w:r>
        <w:rPr>
          <w:color w:val="9B9588"/>
          <w:sz w:val="18"/>
          <w:szCs w:val="18"/>
        </w:rPr>
        <w:t>Co</w:t>
      </w:r>
      <w:r w:rsidR="00BB4890">
        <w:rPr>
          <w:color w:val="9B9588"/>
          <w:sz w:val="18"/>
          <w:szCs w:val="18"/>
        </w:rPr>
        <w:t>mmodities</w:t>
      </w:r>
      <w:r>
        <w:rPr>
          <w:color w:val="9B9588"/>
          <w:sz w:val="18"/>
          <w:szCs w:val="18"/>
        </w:rPr>
        <w:t xml:space="preserve">  |</w:t>
      </w:r>
      <w:proofErr w:type="gramEnd"/>
      <w:r>
        <w:rPr>
          <w:color w:val="9B9588"/>
          <w:sz w:val="18"/>
          <w:szCs w:val="18"/>
        </w:rPr>
        <w:t xml:space="preserve">  Commodity Market Intelligence</w:t>
      </w:r>
    </w:p>
    <w:p w14:paraId="7D8040D9" w14:textId="77777777" w:rsidR="00B12AEE" w:rsidRDefault="00000000">
      <w:pPr>
        <w:spacing w:after="20"/>
      </w:pPr>
      <w:r>
        <w:rPr>
          <w:color w:val="C8A951"/>
          <w:sz w:val="18"/>
          <w:szCs w:val="18"/>
        </w:rPr>
        <w:t>roundlakescommodities.com</w:t>
      </w:r>
    </w:p>
    <w:p w14:paraId="3C44AF58" w14:textId="77777777" w:rsidR="00B12AEE" w:rsidRDefault="00B12AEE">
      <w:pPr>
        <w:sectPr w:rsidR="00B12AEE">
          <w:pgSz w:w="12240" w:h="15840"/>
          <w:pgMar w:top="1440" w:right="1440" w:bottom="1440" w:left="1440" w:header="708" w:footer="708" w:gutter="0"/>
          <w:cols w:space="720"/>
          <w:docGrid w:linePitch="360"/>
        </w:sectPr>
      </w:pPr>
    </w:p>
    <w:p w14:paraId="3207916B" w14:textId="77777777" w:rsidR="00B12AEE" w:rsidRDefault="00000000">
      <w:pPr>
        <w:spacing w:before="120" w:after="60"/>
      </w:pPr>
      <w:proofErr w:type="gramStart"/>
      <w:r>
        <w:rPr>
          <w:b/>
          <w:bCs/>
          <w:color w:val="C8A951"/>
          <w:sz w:val="36"/>
          <w:szCs w:val="36"/>
        </w:rPr>
        <w:lastRenderedPageBreak/>
        <w:t>1</w:t>
      </w:r>
      <w:r>
        <w:rPr>
          <w:sz w:val="36"/>
          <w:szCs w:val="36"/>
        </w:rPr>
        <w:t xml:space="preserve">  </w:t>
      </w:r>
      <w:r>
        <w:rPr>
          <w:b/>
          <w:bCs/>
          <w:spacing w:val="80"/>
          <w:sz w:val="28"/>
          <w:szCs w:val="28"/>
        </w:rPr>
        <w:t>THE</w:t>
      </w:r>
      <w:proofErr w:type="gramEnd"/>
      <w:r>
        <w:rPr>
          <w:b/>
          <w:bCs/>
          <w:spacing w:val="80"/>
          <w:sz w:val="28"/>
          <w:szCs w:val="28"/>
        </w:rPr>
        <w:t xml:space="preserve"> WEEK IN FOCUS</w:t>
      </w:r>
    </w:p>
    <w:p w14:paraId="67629687" w14:textId="77777777" w:rsidR="00B12AEE" w:rsidRDefault="00000000">
      <w:pPr>
        <w:spacing w:before="40" w:after="200"/>
        <w:ind w:left="120"/>
      </w:pPr>
      <w:r>
        <w:rPr>
          <w:i/>
          <w:iCs/>
          <w:color w:val="2D4470"/>
        </w:rPr>
        <w:t>[One-sentence analytical conclusion capturing the dominant market theme this week]</w:t>
      </w:r>
    </w:p>
    <w:p w14:paraId="4C359F05" w14:textId="77777777" w:rsidR="00B12AEE" w:rsidRDefault="00000000">
      <w:pPr>
        <w:spacing w:before="80" w:after="120" w:line="276" w:lineRule="auto"/>
      </w:pPr>
      <w:r>
        <w:rPr>
          <w:i/>
          <w:iCs/>
          <w:color w:val="9B9588"/>
        </w:rPr>
        <w:t>Executive summary: 2–3 paragraphs synthesizing the week’s most important development and what it means for positioning. This is where the RLC analytical voice lives most prominently—the section a portfolio manager reads on their phone at 6 AM. Not a recap of everything that happened, but the one or two things that matter most and why.</w:t>
      </w:r>
    </w:p>
    <w:p w14:paraId="402264D3" w14:textId="77777777" w:rsidR="00B12AEE" w:rsidRDefault="00B12AEE">
      <w:pPr>
        <w:pBdr>
          <w:bottom w:val="single" w:sz="4" w:space="1" w:color="C8A951"/>
        </w:pBdr>
        <w:spacing w:before="360" w:after="240"/>
      </w:pPr>
    </w:p>
    <w:p w14:paraId="0282BC9C" w14:textId="77777777" w:rsidR="00B12AEE" w:rsidRDefault="00000000">
      <w:pPr>
        <w:spacing w:before="120" w:after="60"/>
      </w:pPr>
      <w:proofErr w:type="gramStart"/>
      <w:r>
        <w:rPr>
          <w:b/>
          <w:bCs/>
          <w:color w:val="C8A951"/>
          <w:sz w:val="36"/>
          <w:szCs w:val="36"/>
        </w:rPr>
        <w:t>2</w:t>
      </w:r>
      <w:r>
        <w:rPr>
          <w:sz w:val="36"/>
          <w:szCs w:val="36"/>
        </w:rPr>
        <w:t xml:space="preserve">  </w:t>
      </w:r>
      <w:r>
        <w:rPr>
          <w:b/>
          <w:bCs/>
          <w:spacing w:val="80"/>
          <w:sz w:val="28"/>
          <w:szCs w:val="28"/>
        </w:rPr>
        <w:t>POLICY</w:t>
      </w:r>
      <w:proofErr w:type="gramEnd"/>
      <w:r>
        <w:rPr>
          <w:b/>
          <w:bCs/>
          <w:spacing w:val="80"/>
          <w:sz w:val="28"/>
          <w:szCs w:val="28"/>
        </w:rPr>
        <w:t xml:space="preserve"> &amp; REGULATORY</w:t>
      </w:r>
    </w:p>
    <w:p w14:paraId="6C8A6ADC" w14:textId="77777777" w:rsidR="00B12AEE" w:rsidRDefault="00000000">
      <w:pPr>
        <w:spacing w:before="40" w:after="200"/>
        <w:ind w:left="120"/>
      </w:pPr>
      <w:r>
        <w:rPr>
          <w:i/>
          <w:iCs/>
          <w:color w:val="2D4470"/>
        </w:rPr>
        <w:t>[e.g., “45Z comment period closes with 1,200+ submissions; final rule timeline now points to Q4”]</w:t>
      </w:r>
    </w:p>
    <w:p w14:paraId="153270FD" w14:textId="77777777" w:rsidR="00B12AEE" w:rsidRDefault="00000000">
      <w:pPr>
        <w:spacing w:before="200" w:after="60"/>
      </w:pPr>
      <w:r>
        <w:rPr>
          <w:b/>
          <w:bCs/>
          <w:color w:val="2D4470"/>
          <w:sz w:val="22"/>
          <w:szCs w:val="22"/>
        </w:rPr>
        <w:t>RFS Developments</w:t>
      </w:r>
    </w:p>
    <w:p w14:paraId="4B255614" w14:textId="77777777" w:rsidR="00B12AEE" w:rsidRDefault="00000000">
      <w:pPr>
        <w:spacing w:before="80" w:after="120" w:line="276" w:lineRule="auto"/>
      </w:pPr>
      <w:r>
        <w:rPr>
          <w:i/>
          <w:iCs/>
          <w:color w:val="9B9588"/>
        </w:rPr>
        <w:t>EPA actions, SRE petitions (37 pending as of March 2026), litigation updates, EMTS compliance data.</w:t>
      </w:r>
    </w:p>
    <w:p w14:paraId="726411A2" w14:textId="77777777" w:rsidR="00B12AEE" w:rsidRDefault="00000000">
      <w:pPr>
        <w:spacing w:before="200" w:after="60"/>
      </w:pPr>
      <w:r>
        <w:rPr>
          <w:b/>
          <w:bCs/>
          <w:color w:val="2D4470"/>
          <w:sz w:val="22"/>
          <w:szCs w:val="22"/>
        </w:rPr>
        <w:t>45Z Clean Fuel Production Credit</w:t>
      </w:r>
    </w:p>
    <w:p w14:paraId="040561ED" w14:textId="77777777" w:rsidR="00B12AEE" w:rsidRDefault="00000000">
      <w:pPr>
        <w:spacing w:before="80" w:after="120" w:line="276" w:lineRule="auto"/>
      </w:pPr>
      <w:r>
        <w:rPr>
          <w:i/>
          <w:iCs/>
          <w:color w:val="9B9588"/>
        </w:rPr>
        <w:t>Rulemaking progress, CI scoring methodology updates, transfer market pricing, Congressional activity.</w:t>
      </w:r>
    </w:p>
    <w:p w14:paraId="5D8A6E21" w14:textId="77777777" w:rsidR="00B12AEE" w:rsidRDefault="00000000">
      <w:pPr>
        <w:spacing w:before="200" w:after="60"/>
      </w:pPr>
      <w:r>
        <w:rPr>
          <w:b/>
          <w:bCs/>
          <w:color w:val="2D4470"/>
          <w:sz w:val="22"/>
          <w:szCs w:val="22"/>
        </w:rPr>
        <w:t>State Clean Fuel Programs</w:t>
      </w:r>
    </w:p>
    <w:p w14:paraId="22AFC833" w14:textId="77777777" w:rsidR="00B12AEE" w:rsidRDefault="00000000">
      <w:pPr>
        <w:spacing w:before="80" w:after="120" w:line="276" w:lineRule="auto"/>
      </w:pPr>
      <w:r>
        <w:rPr>
          <w:i/>
          <w:iCs/>
          <w:color w:val="9B9588"/>
        </w:rPr>
        <w:t>California LCFS program updates and credit bank trajectory, Oregon CFP, Washington CFS, New Mexico launch (July 1, 2026), other state legislative activity.</w:t>
      </w:r>
    </w:p>
    <w:p w14:paraId="4CA008B2" w14:textId="77777777" w:rsidR="00B12AEE" w:rsidRDefault="00000000">
      <w:pPr>
        <w:spacing w:before="200" w:after="60"/>
      </w:pPr>
      <w:r>
        <w:rPr>
          <w:b/>
          <w:bCs/>
          <w:color w:val="2D4470"/>
          <w:sz w:val="22"/>
          <w:szCs w:val="22"/>
        </w:rPr>
        <w:t>Trade Policy</w:t>
      </w:r>
    </w:p>
    <w:p w14:paraId="327A6909" w14:textId="77777777" w:rsidR="00B12AEE" w:rsidRDefault="00000000">
      <w:pPr>
        <w:spacing w:before="80" w:after="120" w:line="276" w:lineRule="auto"/>
      </w:pPr>
      <w:r>
        <w:rPr>
          <w:i/>
          <w:iCs/>
          <w:color w:val="9B9588"/>
        </w:rPr>
        <w:t>Tariff developments affecting feedstock imports, anti-dumping duties, USMCA implications for Canadian canola.</w:t>
      </w:r>
    </w:p>
    <w:p w14:paraId="1D1C45FA" w14:textId="77777777" w:rsidR="00B12AEE" w:rsidRDefault="00000000">
      <w:pPr>
        <w:spacing w:before="200" w:after="60"/>
      </w:pPr>
      <w:r>
        <w:rPr>
          <w:b/>
          <w:bCs/>
          <w:color w:val="2D4470"/>
          <w:sz w:val="22"/>
          <w:szCs w:val="22"/>
        </w:rPr>
        <w:t>What to Watch Next Week</w:t>
      </w:r>
    </w:p>
    <w:p w14:paraId="60B55B24" w14:textId="77777777" w:rsidR="00B12AEE" w:rsidRDefault="00000000">
      <w:pPr>
        <w:spacing w:before="80" w:after="120" w:line="276" w:lineRule="auto"/>
      </w:pPr>
      <w:r>
        <w:rPr>
          <w:i/>
          <w:iCs/>
          <w:color w:val="9B9588"/>
        </w:rPr>
        <w:t>Upcoming deadlines, hearings, expected data releases, and regulatory milestones.</w:t>
      </w:r>
    </w:p>
    <w:p w14:paraId="28764D52" w14:textId="77777777" w:rsidR="00B12AEE" w:rsidRDefault="00B12AEE">
      <w:pPr>
        <w:pBdr>
          <w:bottom w:val="single" w:sz="4" w:space="1" w:color="C8A951"/>
        </w:pBdr>
        <w:spacing w:before="360" w:after="240"/>
      </w:pPr>
    </w:p>
    <w:p w14:paraId="5D810313" w14:textId="77777777" w:rsidR="00B12AEE" w:rsidRDefault="00000000">
      <w:pPr>
        <w:spacing w:before="120" w:after="60"/>
      </w:pPr>
      <w:proofErr w:type="gramStart"/>
      <w:r>
        <w:rPr>
          <w:b/>
          <w:bCs/>
          <w:color w:val="C8A951"/>
          <w:sz w:val="36"/>
          <w:szCs w:val="36"/>
        </w:rPr>
        <w:t>3</w:t>
      </w:r>
      <w:r>
        <w:rPr>
          <w:sz w:val="36"/>
          <w:szCs w:val="36"/>
        </w:rPr>
        <w:t xml:space="preserve">  </w:t>
      </w:r>
      <w:r>
        <w:rPr>
          <w:b/>
          <w:bCs/>
          <w:spacing w:val="80"/>
          <w:sz w:val="28"/>
          <w:szCs w:val="28"/>
        </w:rPr>
        <w:t>PRODUCTION</w:t>
      </w:r>
      <w:proofErr w:type="gramEnd"/>
      <w:r>
        <w:rPr>
          <w:b/>
          <w:bCs/>
          <w:spacing w:val="80"/>
          <w:sz w:val="28"/>
          <w:szCs w:val="28"/>
        </w:rPr>
        <w:t xml:space="preserve"> &amp; SUPPLY</w:t>
      </w:r>
    </w:p>
    <w:p w14:paraId="395FEA43" w14:textId="77777777" w:rsidR="00B12AEE" w:rsidRDefault="00000000">
      <w:pPr>
        <w:spacing w:before="40" w:after="200"/>
        <w:ind w:left="120"/>
      </w:pPr>
      <w:r>
        <w:rPr>
          <w:i/>
          <w:iCs/>
          <w:color w:val="2D4470"/>
        </w:rPr>
        <w:t>[e.g., “EIA weekly data shows RD output recovering to 195k b/d; Iowa biodiesel restarts accelerating”]</w:t>
      </w:r>
    </w:p>
    <w:p w14:paraId="2FAAD792" w14:textId="77777777" w:rsidR="00B12AEE" w:rsidRDefault="00000000">
      <w:pPr>
        <w:spacing w:before="200" w:after="160"/>
      </w:pPr>
      <w:r>
        <w:rPr>
          <w:b/>
          <w:bCs/>
          <w:color w:val="C8A951"/>
          <w:spacing w:val="100"/>
          <w:sz w:val="18"/>
          <w:szCs w:val="18"/>
        </w:rPr>
        <w:t>PRODUCTION TRACKER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32"/>
        <w:gridCol w:w="1432"/>
        <w:gridCol w:w="1432"/>
        <w:gridCol w:w="1432"/>
        <w:gridCol w:w="1432"/>
      </w:tblGrid>
      <w:tr w:rsidR="00B12AEE" w14:paraId="480F691F" w14:textId="77777777">
        <w:tblPrEx>
          <w:tblCellMar>
            <w:top w:w="0" w:type="dxa"/>
            <w:bottom w:w="0" w:type="dxa"/>
          </w:tblCellMar>
        </w:tblPrEx>
        <w:tc>
          <w:tcPr>
            <w:tcW w:w="2200"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tcPr>
          <w:p w14:paraId="481CBD9A" w14:textId="77777777" w:rsidR="00B12AEE" w:rsidRDefault="00000000">
            <w:r>
              <w:rPr>
                <w:b/>
                <w:bCs/>
                <w:color w:val="FFFFFF"/>
                <w:sz w:val="16"/>
                <w:szCs w:val="16"/>
              </w:rPr>
              <w:t>Category</w:t>
            </w:r>
          </w:p>
        </w:tc>
        <w:tc>
          <w:tcPr>
            <w:tcW w:w="1432"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tcPr>
          <w:p w14:paraId="11A29451" w14:textId="77777777" w:rsidR="00B12AEE" w:rsidRDefault="00000000">
            <w:pPr>
              <w:jc w:val="center"/>
            </w:pPr>
            <w:r>
              <w:rPr>
                <w:b/>
                <w:bCs/>
                <w:color w:val="FFFFFF"/>
                <w:sz w:val="16"/>
                <w:szCs w:val="16"/>
              </w:rPr>
              <w:t xml:space="preserve">Latest </w:t>
            </w:r>
            <w:proofErr w:type="spellStart"/>
            <w:r>
              <w:rPr>
                <w:b/>
                <w:bCs/>
                <w:color w:val="FFFFFF"/>
                <w:sz w:val="16"/>
                <w:szCs w:val="16"/>
              </w:rPr>
              <w:t>Wk</w:t>
            </w:r>
            <w:proofErr w:type="spellEnd"/>
          </w:p>
        </w:tc>
        <w:tc>
          <w:tcPr>
            <w:tcW w:w="1432"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tcPr>
          <w:p w14:paraId="252092F6" w14:textId="77777777" w:rsidR="00B12AEE" w:rsidRDefault="00000000">
            <w:pPr>
              <w:jc w:val="center"/>
            </w:pPr>
            <w:r>
              <w:rPr>
                <w:b/>
                <w:bCs/>
                <w:color w:val="FFFFFF"/>
                <w:sz w:val="16"/>
                <w:szCs w:val="16"/>
              </w:rPr>
              <w:t xml:space="preserve">Prior </w:t>
            </w:r>
            <w:proofErr w:type="spellStart"/>
            <w:r>
              <w:rPr>
                <w:b/>
                <w:bCs/>
                <w:color w:val="FFFFFF"/>
                <w:sz w:val="16"/>
                <w:szCs w:val="16"/>
              </w:rPr>
              <w:t>Wk</w:t>
            </w:r>
            <w:proofErr w:type="spellEnd"/>
          </w:p>
        </w:tc>
        <w:tc>
          <w:tcPr>
            <w:tcW w:w="1432"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tcPr>
          <w:p w14:paraId="6DB2AF4C" w14:textId="77777777" w:rsidR="00B12AEE" w:rsidRDefault="00000000">
            <w:pPr>
              <w:jc w:val="center"/>
            </w:pPr>
            <w:r>
              <w:rPr>
                <w:b/>
                <w:bCs/>
                <w:color w:val="FFFFFF"/>
                <w:sz w:val="16"/>
                <w:szCs w:val="16"/>
              </w:rPr>
              <w:t>4-Wk Avg</w:t>
            </w:r>
          </w:p>
        </w:tc>
        <w:tc>
          <w:tcPr>
            <w:tcW w:w="1432"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tcPr>
          <w:p w14:paraId="7AFBDED5" w14:textId="77777777" w:rsidR="00B12AEE" w:rsidRDefault="00000000">
            <w:pPr>
              <w:jc w:val="center"/>
            </w:pPr>
            <w:r>
              <w:rPr>
                <w:b/>
                <w:bCs/>
                <w:color w:val="FFFFFF"/>
                <w:sz w:val="16"/>
                <w:szCs w:val="16"/>
              </w:rPr>
              <w:t>Ann. Rate</w:t>
            </w:r>
          </w:p>
        </w:tc>
        <w:tc>
          <w:tcPr>
            <w:tcW w:w="1432"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tcPr>
          <w:p w14:paraId="2BA084B2" w14:textId="77777777" w:rsidR="00B12AEE" w:rsidRDefault="00000000">
            <w:pPr>
              <w:jc w:val="center"/>
            </w:pPr>
            <w:r>
              <w:rPr>
                <w:b/>
                <w:bCs/>
                <w:color w:val="FFFFFF"/>
                <w:sz w:val="16"/>
                <w:szCs w:val="16"/>
              </w:rPr>
              <w:t>RFS Target</w:t>
            </w:r>
          </w:p>
        </w:tc>
      </w:tr>
      <w:tr w:rsidR="00B12AEE" w14:paraId="6D4E52D3" w14:textId="77777777">
        <w:tblPrEx>
          <w:tblCellMar>
            <w:top w:w="0" w:type="dxa"/>
            <w:bottom w:w="0" w:type="dxa"/>
          </w:tblCellMar>
        </w:tblPrEx>
        <w:tc>
          <w:tcPr>
            <w:tcW w:w="220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1240968B" w14:textId="77777777" w:rsidR="00B12AEE" w:rsidRDefault="00000000">
            <w:r>
              <w:rPr>
                <w:b/>
                <w:bCs/>
                <w:sz w:val="16"/>
                <w:szCs w:val="16"/>
              </w:rPr>
              <w:t>Renewable Diesel (b/d)</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52DC0286" w14:textId="77777777" w:rsidR="00B12AE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5D59B914" w14:textId="77777777" w:rsidR="00B12AE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561E0B68" w14:textId="77777777" w:rsidR="00B12AE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59A87823" w14:textId="77777777" w:rsidR="00B12AE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2F15AB03" w14:textId="77777777" w:rsidR="00B12AEE" w:rsidRDefault="00000000">
            <w:pPr>
              <w:jc w:val="center"/>
            </w:pPr>
            <w:r>
              <w:rPr>
                <w:color w:val="2D4470"/>
                <w:sz w:val="16"/>
                <w:szCs w:val="16"/>
              </w:rPr>
              <w:t>—</w:t>
            </w:r>
          </w:p>
        </w:tc>
      </w:tr>
      <w:tr w:rsidR="00B12AEE" w14:paraId="32835AE9" w14:textId="77777777">
        <w:tblPrEx>
          <w:tblCellMar>
            <w:top w:w="0" w:type="dxa"/>
            <w:bottom w:w="0" w:type="dxa"/>
          </w:tblCellMar>
        </w:tblPrEx>
        <w:tc>
          <w:tcPr>
            <w:tcW w:w="220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70CC6674" w14:textId="77777777" w:rsidR="00B12AEE" w:rsidRDefault="00000000">
            <w:r>
              <w:rPr>
                <w:b/>
                <w:bCs/>
                <w:sz w:val="16"/>
                <w:szCs w:val="16"/>
              </w:rPr>
              <w:t>Biodiesel (b/d)</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6C836F71" w14:textId="77777777" w:rsidR="00B12AE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09573345" w14:textId="77777777" w:rsidR="00B12AE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7156A339" w14:textId="77777777" w:rsidR="00B12AE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23C0B4A6" w14:textId="77777777" w:rsidR="00B12AE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32DF105C" w14:textId="77777777" w:rsidR="00B12AEE" w:rsidRDefault="00000000">
            <w:pPr>
              <w:jc w:val="center"/>
            </w:pPr>
            <w:r>
              <w:rPr>
                <w:color w:val="2D4470"/>
                <w:sz w:val="16"/>
                <w:szCs w:val="16"/>
              </w:rPr>
              <w:t>—</w:t>
            </w:r>
          </w:p>
        </w:tc>
      </w:tr>
      <w:tr w:rsidR="00B12AEE" w14:paraId="7D709AAC" w14:textId="77777777">
        <w:tblPrEx>
          <w:tblCellMar>
            <w:top w:w="0" w:type="dxa"/>
            <w:bottom w:w="0" w:type="dxa"/>
          </w:tblCellMar>
        </w:tblPrEx>
        <w:tc>
          <w:tcPr>
            <w:tcW w:w="220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74436D0A" w14:textId="77777777" w:rsidR="00B12AEE" w:rsidRDefault="00000000">
            <w:r>
              <w:rPr>
                <w:b/>
                <w:bCs/>
                <w:sz w:val="16"/>
                <w:szCs w:val="16"/>
              </w:rPr>
              <w:t>SAF &amp; Other (b/d)</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59BB1503" w14:textId="77777777" w:rsidR="00B12AE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79220202" w14:textId="77777777" w:rsidR="00B12AE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28B3F27A" w14:textId="77777777" w:rsidR="00B12AE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1A69ED97" w14:textId="77777777" w:rsidR="00B12AE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6CCC8754" w14:textId="77777777" w:rsidR="00B12AEE" w:rsidRDefault="00000000">
            <w:pPr>
              <w:jc w:val="center"/>
            </w:pPr>
            <w:r>
              <w:rPr>
                <w:color w:val="2D4470"/>
                <w:sz w:val="16"/>
                <w:szCs w:val="16"/>
              </w:rPr>
              <w:t>—</w:t>
            </w:r>
          </w:p>
        </w:tc>
      </w:tr>
      <w:tr w:rsidR="00B12AEE" w14:paraId="6DCEBDC9" w14:textId="77777777">
        <w:tblPrEx>
          <w:tblCellMar>
            <w:top w:w="0" w:type="dxa"/>
            <w:bottom w:w="0" w:type="dxa"/>
          </w:tblCellMar>
        </w:tblPrEx>
        <w:tc>
          <w:tcPr>
            <w:tcW w:w="220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63EAADBF" w14:textId="77777777" w:rsidR="00B12AEE" w:rsidRDefault="00000000">
            <w:r>
              <w:rPr>
                <w:b/>
                <w:bCs/>
                <w:sz w:val="16"/>
                <w:szCs w:val="16"/>
              </w:rPr>
              <w:t>Total BBD (b/d)</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3D185C91" w14:textId="77777777" w:rsidR="00B12AE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6AA3FAE5" w14:textId="77777777" w:rsidR="00B12AE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2FDD0353" w14:textId="77777777" w:rsidR="00B12AE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4CD562B7" w14:textId="77777777" w:rsidR="00B12AE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3138DEF9" w14:textId="77777777" w:rsidR="00B12AEE" w:rsidRDefault="00000000">
            <w:pPr>
              <w:jc w:val="center"/>
            </w:pPr>
            <w:r>
              <w:rPr>
                <w:color w:val="2D4470"/>
                <w:sz w:val="16"/>
                <w:szCs w:val="16"/>
              </w:rPr>
              <w:t>—</w:t>
            </w:r>
          </w:p>
        </w:tc>
      </w:tr>
      <w:tr w:rsidR="00B12AEE" w14:paraId="5C75229D" w14:textId="77777777">
        <w:tblPrEx>
          <w:tblCellMar>
            <w:top w:w="0" w:type="dxa"/>
            <w:bottom w:w="0" w:type="dxa"/>
          </w:tblCellMar>
        </w:tblPrEx>
        <w:tc>
          <w:tcPr>
            <w:tcW w:w="220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2F53C53A" w14:textId="77777777" w:rsidR="00B12AEE" w:rsidRDefault="00000000">
            <w:r>
              <w:rPr>
                <w:b/>
                <w:bCs/>
                <w:sz w:val="16"/>
                <w:szCs w:val="16"/>
              </w:rPr>
              <w:t>Total BBD (mm gal/yr)</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3BC209A1" w14:textId="77777777" w:rsidR="00B12AE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1DF82AE0" w14:textId="77777777" w:rsidR="00B12AE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54918E7E" w14:textId="77777777" w:rsidR="00B12AE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6F145DAC" w14:textId="77777777" w:rsidR="00B12AE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7B5A90E2" w14:textId="77777777" w:rsidR="00B12AEE" w:rsidRDefault="00000000">
            <w:pPr>
              <w:jc w:val="center"/>
            </w:pPr>
            <w:r>
              <w:rPr>
                <w:color w:val="2D4470"/>
                <w:sz w:val="16"/>
                <w:szCs w:val="16"/>
              </w:rPr>
              <w:t>9,070</w:t>
            </w:r>
          </w:p>
        </w:tc>
      </w:tr>
    </w:tbl>
    <w:p w14:paraId="14BDCC43" w14:textId="77777777" w:rsidR="00B12AEE" w:rsidRDefault="00B12AEE">
      <w:pPr>
        <w:spacing w:before="240"/>
      </w:pPr>
    </w:p>
    <w:p w14:paraId="5051D70B" w14:textId="77777777" w:rsidR="00B12AEE" w:rsidRDefault="00000000">
      <w:pPr>
        <w:spacing w:before="200" w:after="60"/>
      </w:pPr>
      <w:r>
        <w:rPr>
          <w:b/>
          <w:bCs/>
          <w:color w:val="2D4470"/>
          <w:sz w:val="22"/>
          <w:szCs w:val="22"/>
        </w:rPr>
        <w:t>Weekly EIA Data</w:t>
      </w:r>
    </w:p>
    <w:p w14:paraId="6EB39D61" w14:textId="77777777" w:rsidR="00B12AEE" w:rsidRDefault="00000000">
      <w:pPr>
        <w:spacing w:before="80" w:after="120" w:line="276" w:lineRule="auto"/>
      </w:pPr>
      <w:r>
        <w:rPr>
          <w:i/>
          <w:iCs/>
          <w:color w:val="9B9588"/>
        </w:rPr>
        <w:t>Renewable diesel, biodiesel, and SAF production volumes. Week-over-week and year-over-year changes. Running comparison of annualized production rate vs. 2026 RFS mandate of 9.07 billion D4 RINs.</w:t>
      </w:r>
    </w:p>
    <w:p w14:paraId="7BA99103" w14:textId="77777777" w:rsidR="00B12AEE" w:rsidRDefault="00000000">
      <w:pPr>
        <w:spacing w:before="200" w:after="60"/>
      </w:pPr>
      <w:r>
        <w:rPr>
          <w:b/>
          <w:bCs/>
          <w:color w:val="2D4470"/>
          <w:sz w:val="22"/>
          <w:szCs w:val="22"/>
        </w:rPr>
        <w:t>Plant-Level Developments</w:t>
      </w:r>
    </w:p>
    <w:p w14:paraId="332D2D2E" w14:textId="77777777" w:rsidR="00B12AEE" w:rsidRDefault="00000000">
      <w:pPr>
        <w:spacing w:before="80" w:after="120" w:line="276" w:lineRule="auto"/>
      </w:pPr>
      <w:r>
        <w:rPr>
          <w:i/>
          <w:iCs/>
          <w:color w:val="9B9588"/>
        </w:rPr>
        <w:t xml:space="preserve">Restarts, </w:t>
      </w:r>
      <w:proofErr w:type="spellStart"/>
      <w:r>
        <w:rPr>
          <w:i/>
          <w:iCs/>
          <w:color w:val="9B9588"/>
        </w:rPr>
        <w:t>idlings</w:t>
      </w:r>
      <w:proofErr w:type="spellEnd"/>
      <w:r>
        <w:rPr>
          <w:i/>
          <w:iCs/>
          <w:color w:val="9B9588"/>
        </w:rPr>
        <w:t>, turnarounds, expansion milestones. Track the physical ramp against mandated volumes.</w:t>
      </w:r>
    </w:p>
    <w:p w14:paraId="672B18BF" w14:textId="77777777" w:rsidR="00B12AEE" w:rsidRDefault="00000000">
      <w:pPr>
        <w:spacing w:before="200" w:after="60"/>
      </w:pPr>
      <w:r>
        <w:rPr>
          <w:b/>
          <w:bCs/>
          <w:color w:val="2D4470"/>
          <w:sz w:val="22"/>
          <w:szCs w:val="22"/>
        </w:rPr>
        <w:t>Imports &amp; Exports</w:t>
      </w:r>
    </w:p>
    <w:p w14:paraId="7B614BD2" w14:textId="77777777" w:rsidR="00B12AEE" w:rsidRDefault="00000000">
      <w:pPr>
        <w:spacing w:before="80" w:after="120" w:line="276" w:lineRule="auto"/>
      </w:pPr>
      <w:r>
        <w:rPr>
          <w:i/>
          <w:iCs/>
          <w:color w:val="9B9588"/>
        </w:rPr>
        <w:t>Renewable diesel and biodiesel import volumes (Neste Singapore, European flows). Export activity.</w:t>
      </w:r>
    </w:p>
    <w:p w14:paraId="5EA6C1D4" w14:textId="77777777" w:rsidR="00B12AEE" w:rsidRDefault="00B12AEE">
      <w:pPr>
        <w:pBdr>
          <w:bottom w:val="single" w:sz="4" w:space="1" w:color="C8A951"/>
        </w:pBdr>
        <w:spacing w:before="360" w:after="240"/>
      </w:pPr>
    </w:p>
    <w:p w14:paraId="3E66DCAC" w14:textId="77777777" w:rsidR="00B12AEE" w:rsidRDefault="00000000">
      <w:pPr>
        <w:spacing w:before="120" w:after="60"/>
      </w:pPr>
      <w:proofErr w:type="gramStart"/>
      <w:r>
        <w:rPr>
          <w:b/>
          <w:bCs/>
          <w:color w:val="C8A951"/>
          <w:sz w:val="36"/>
          <w:szCs w:val="36"/>
        </w:rPr>
        <w:t>4</w:t>
      </w:r>
      <w:r>
        <w:rPr>
          <w:sz w:val="36"/>
          <w:szCs w:val="36"/>
        </w:rPr>
        <w:t xml:space="preserve">  </w:t>
      </w:r>
      <w:r>
        <w:rPr>
          <w:b/>
          <w:bCs/>
          <w:spacing w:val="80"/>
          <w:sz w:val="28"/>
          <w:szCs w:val="28"/>
        </w:rPr>
        <w:t>FEEDSTOCK</w:t>
      </w:r>
      <w:proofErr w:type="gramEnd"/>
      <w:r>
        <w:rPr>
          <w:b/>
          <w:bCs/>
          <w:spacing w:val="80"/>
          <w:sz w:val="28"/>
          <w:szCs w:val="28"/>
        </w:rPr>
        <w:t xml:space="preserve"> MARKETS</w:t>
      </w:r>
    </w:p>
    <w:p w14:paraId="0B2C9997" w14:textId="77777777" w:rsidR="00B12AEE" w:rsidRDefault="00000000">
      <w:pPr>
        <w:spacing w:before="40" w:after="200"/>
        <w:ind w:left="120"/>
      </w:pPr>
      <w:r>
        <w:rPr>
          <w:i/>
          <w:iCs/>
          <w:color w:val="2D4470"/>
        </w:rPr>
        <w:t>[e.g., “Corn oil surpasses SBO in three regions as CI-driven premiums reshape the basis structure”]</w:t>
      </w:r>
    </w:p>
    <w:p w14:paraId="490CE6EF" w14:textId="77777777" w:rsidR="00B12AEE" w:rsidRDefault="00000000">
      <w:pPr>
        <w:spacing w:before="200" w:after="60"/>
      </w:pPr>
      <w:r>
        <w:rPr>
          <w:b/>
          <w:bCs/>
          <w:color w:val="2D4470"/>
          <w:sz w:val="22"/>
          <w:szCs w:val="22"/>
        </w:rPr>
        <w:t>Soybean Oil</w:t>
      </w:r>
    </w:p>
    <w:p w14:paraId="0F0437B1" w14:textId="77777777" w:rsidR="00B12AEE" w:rsidRDefault="00000000">
      <w:pPr>
        <w:spacing w:before="80" w:after="120" w:line="276" w:lineRule="auto"/>
      </w:pPr>
      <w:r>
        <w:rPr>
          <w:i/>
          <w:iCs/>
          <w:color w:val="9B9588"/>
        </w:rPr>
        <w:t>CBOT futures price action, cash basis by region (Iowa/MN, IN/OH, Gulf), crush pace implications, biofuel vs. food/feed allocation.</w:t>
      </w:r>
    </w:p>
    <w:p w14:paraId="2FD9451D" w14:textId="77777777" w:rsidR="00B12AEE" w:rsidRDefault="00000000">
      <w:pPr>
        <w:spacing w:before="200" w:after="60"/>
      </w:pPr>
      <w:r>
        <w:rPr>
          <w:b/>
          <w:bCs/>
          <w:color w:val="2D4470"/>
          <w:sz w:val="22"/>
          <w:szCs w:val="22"/>
        </w:rPr>
        <w:t>Used Cooking Oil</w:t>
      </w:r>
    </w:p>
    <w:p w14:paraId="3D3D2BC6" w14:textId="77777777" w:rsidR="00B12AEE" w:rsidRDefault="00000000">
      <w:pPr>
        <w:spacing w:before="80" w:after="120" w:line="276" w:lineRule="auto"/>
      </w:pPr>
      <w:r>
        <w:rPr>
          <w:i/>
          <w:iCs/>
          <w:color w:val="9B9588"/>
        </w:rPr>
        <w:t>Domestic collection trends, import flows (China policy impact, 45Z North American requirement), Gulf delivery pricing, CI advantages.</w:t>
      </w:r>
    </w:p>
    <w:p w14:paraId="6EC51448" w14:textId="77777777" w:rsidR="00B12AEE" w:rsidRDefault="00000000">
      <w:pPr>
        <w:spacing w:before="200" w:after="60"/>
      </w:pPr>
      <w:r>
        <w:rPr>
          <w:b/>
          <w:bCs/>
          <w:color w:val="2D4470"/>
          <w:sz w:val="22"/>
          <w:szCs w:val="22"/>
        </w:rPr>
        <w:t>Animal Fats &amp; Tallow</w:t>
      </w:r>
    </w:p>
    <w:p w14:paraId="19A807B1" w14:textId="77777777" w:rsidR="00B12AEE" w:rsidRDefault="00000000">
      <w:pPr>
        <w:spacing w:before="80" w:after="120" w:line="276" w:lineRule="auto"/>
      </w:pPr>
      <w:r>
        <w:rPr>
          <w:i/>
          <w:iCs/>
          <w:color w:val="9B9588"/>
        </w:rPr>
        <w:t>USDA weekly rendering report data. Grade differentials: fancy bleachable tallow, choice white grease, A tallow, poultry fat. Rendering industry dynamics.</w:t>
      </w:r>
    </w:p>
    <w:p w14:paraId="5E3BDCC1" w14:textId="77777777" w:rsidR="00B12AEE" w:rsidRDefault="00000000">
      <w:pPr>
        <w:spacing w:before="200" w:after="60"/>
      </w:pPr>
      <w:r>
        <w:rPr>
          <w:b/>
          <w:bCs/>
          <w:color w:val="2D4470"/>
          <w:sz w:val="22"/>
          <w:szCs w:val="22"/>
        </w:rPr>
        <w:t>Distillers Corn Oil</w:t>
      </w:r>
    </w:p>
    <w:p w14:paraId="3990AE95" w14:textId="77777777" w:rsidR="00B12AEE" w:rsidRDefault="00000000">
      <w:pPr>
        <w:spacing w:before="80" w:after="120" w:line="276" w:lineRule="auto"/>
      </w:pPr>
      <w:r>
        <w:rPr>
          <w:i/>
          <w:iCs/>
          <w:color w:val="9B9588"/>
        </w:rPr>
        <w:t>Ethanol plant extraction rates, regional pricing (currently 68–71¢/</w:t>
      </w:r>
      <w:proofErr w:type="spellStart"/>
      <w:r>
        <w:rPr>
          <w:i/>
          <w:iCs/>
          <w:color w:val="9B9588"/>
        </w:rPr>
        <w:t>lb</w:t>
      </w:r>
      <w:proofErr w:type="spellEnd"/>
      <w:r>
        <w:rPr>
          <w:i/>
          <w:iCs/>
          <w:color w:val="9B9588"/>
        </w:rPr>
        <w:t>), supply growth trajectory, CI-driven premium analysis.</w:t>
      </w:r>
    </w:p>
    <w:p w14:paraId="7E865521" w14:textId="77777777" w:rsidR="00B12AEE" w:rsidRDefault="00000000">
      <w:pPr>
        <w:spacing w:before="200" w:after="60"/>
      </w:pPr>
      <w:r>
        <w:rPr>
          <w:b/>
          <w:bCs/>
          <w:color w:val="2D4470"/>
          <w:sz w:val="22"/>
          <w:szCs w:val="22"/>
        </w:rPr>
        <w:t>Canola Oil</w:t>
      </w:r>
    </w:p>
    <w:p w14:paraId="027CCC60" w14:textId="77777777" w:rsidR="00B12AEE" w:rsidRDefault="00000000">
      <w:pPr>
        <w:spacing w:before="80" w:after="120" w:line="276" w:lineRule="auto"/>
      </w:pPr>
      <w:r>
        <w:rPr>
          <w:i/>
          <w:iCs/>
          <w:color w:val="9B9588"/>
        </w:rPr>
        <w:t>Canadian supply and trade flows, USMCA/tariff exposure, PNW pricing, crush capacity trends.</w:t>
      </w:r>
    </w:p>
    <w:p w14:paraId="08B93C3F" w14:textId="77777777" w:rsidR="00B12AEE" w:rsidRDefault="00000000">
      <w:pPr>
        <w:spacing w:before="200" w:after="60"/>
      </w:pPr>
      <w:r>
        <w:rPr>
          <w:b/>
          <w:bCs/>
          <w:color w:val="2D4470"/>
          <w:sz w:val="22"/>
          <w:szCs w:val="22"/>
        </w:rPr>
        <w:t>Palm Oil</w:t>
      </w:r>
    </w:p>
    <w:p w14:paraId="4548E74C" w14:textId="77777777" w:rsidR="00B12AEE" w:rsidRDefault="00000000">
      <w:pPr>
        <w:spacing w:before="80" w:after="120" w:line="276" w:lineRule="auto"/>
      </w:pPr>
      <w:r>
        <w:rPr>
          <w:i/>
          <w:iCs/>
          <w:color w:val="9B9588"/>
        </w:rPr>
        <w:t>MPOB data, Indonesian B50 mandate impact, Malaysian export policy, global price context and SBO spread.</w:t>
      </w:r>
    </w:p>
    <w:p w14:paraId="18DE381A" w14:textId="77777777" w:rsidR="00B12AEE" w:rsidRDefault="00000000">
      <w:pPr>
        <w:spacing w:before="200" w:after="60"/>
      </w:pPr>
      <w:r>
        <w:rPr>
          <w:b/>
          <w:bCs/>
          <w:color w:val="2D4470"/>
          <w:sz w:val="22"/>
          <w:szCs w:val="22"/>
        </w:rPr>
        <w:t>Novel Feedstocks</w:t>
      </w:r>
    </w:p>
    <w:p w14:paraId="201AFE69" w14:textId="77777777" w:rsidR="00B12AEE" w:rsidRDefault="00000000">
      <w:pPr>
        <w:spacing w:before="80" w:after="120" w:line="276" w:lineRule="auto"/>
      </w:pPr>
      <w:r>
        <w:rPr>
          <w:i/>
          <w:iCs/>
          <w:color w:val="9B9588"/>
        </w:rPr>
        <w:t>Camelina (Sustainable Oils/Vitol), pennycress (</w:t>
      </w:r>
      <w:proofErr w:type="spellStart"/>
      <w:r>
        <w:rPr>
          <w:i/>
          <w:iCs/>
          <w:color w:val="9B9588"/>
        </w:rPr>
        <w:t>CoverCress</w:t>
      </w:r>
      <w:proofErr w:type="spellEnd"/>
      <w:r>
        <w:rPr>
          <w:i/>
          <w:iCs/>
          <w:color w:val="9B9588"/>
        </w:rPr>
        <w:t>/Bayer), other cover crop developments. Pre-scale but worth tracking.</w:t>
      </w:r>
    </w:p>
    <w:p w14:paraId="469EC821" w14:textId="77777777" w:rsidR="00B12AEE" w:rsidRDefault="00000000">
      <w:pPr>
        <w:spacing w:before="200" w:after="60"/>
      </w:pPr>
      <w:r>
        <w:rPr>
          <w:b/>
          <w:bCs/>
          <w:color w:val="2D4470"/>
          <w:sz w:val="22"/>
          <w:szCs w:val="22"/>
        </w:rPr>
        <w:t>Implied Feedstock Value Analysis</w:t>
      </w:r>
    </w:p>
    <w:p w14:paraId="5470667D" w14:textId="77777777" w:rsidR="00B12AEE" w:rsidRDefault="00000000">
      <w:pPr>
        <w:spacing w:before="80" w:after="120" w:line="276" w:lineRule="auto"/>
      </w:pPr>
      <w:r>
        <w:rPr>
          <w:i/>
          <w:iCs/>
          <w:color w:val="9B9588"/>
        </w:rPr>
        <w:lastRenderedPageBreak/>
        <w:t>What can producers afford to pay for each major feedstock given the full credit stack? This is the signature RLC analytical product—backing into maximum feedstock bid prices from the credit stack by destination.</w:t>
      </w:r>
    </w:p>
    <w:p w14:paraId="7718B4B4" w14:textId="77777777" w:rsidR="00B12AEE" w:rsidRDefault="00000000">
      <w:r>
        <w:br w:type="page"/>
      </w:r>
    </w:p>
    <w:p w14:paraId="09D961CB" w14:textId="77777777" w:rsidR="00B12AEE" w:rsidRDefault="00000000">
      <w:pPr>
        <w:spacing w:before="120" w:after="60"/>
      </w:pPr>
      <w:proofErr w:type="gramStart"/>
      <w:r>
        <w:rPr>
          <w:b/>
          <w:bCs/>
          <w:color w:val="C8A951"/>
          <w:sz w:val="36"/>
          <w:szCs w:val="36"/>
        </w:rPr>
        <w:lastRenderedPageBreak/>
        <w:t>5</w:t>
      </w:r>
      <w:r>
        <w:rPr>
          <w:sz w:val="36"/>
          <w:szCs w:val="36"/>
        </w:rPr>
        <w:t xml:space="preserve">  </w:t>
      </w:r>
      <w:r>
        <w:rPr>
          <w:b/>
          <w:bCs/>
          <w:spacing w:val="80"/>
          <w:sz w:val="28"/>
          <w:szCs w:val="28"/>
        </w:rPr>
        <w:t>CREDIT</w:t>
      </w:r>
      <w:proofErr w:type="gramEnd"/>
      <w:r>
        <w:rPr>
          <w:b/>
          <w:bCs/>
          <w:spacing w:val="80"/>
          <w:sz w:val="28"/>
          <w:szCs w:val="28"/>
        </w:rPr>
        <w:t xml:space="preserve"> &amp; INCENTIVE MARKETS</w:t>
      </w:r>
    </w:p>
    <w:p w14:paraId="73895AB8" w14:textId="77777777" w:rsidR="00B12AEE" w:rsidRDefault="00000000">
      <w:pPr>
        <w:spacing w:before="40" w:after="200"/>
        <w:ind w:left="120"/>
      </w:pPr>
      <w:r>
        <w:rPr>
          <w:i/>
          <w:iCs/>
          <w:color w:val="2D4470"/>
        </w:rPr>
        <w:t>[e.g., “D4 RINs firm past $1.20 on Set 2 confirmation; LCFS credit bank draws down for third consecutive quarter”]</w:t>
      </w:r>
    </w:p>
    <w:p w14:paraId="776A4AF6" w14:textId="77777777" w:rsidR="00B12AEE" w:rsidRDefault="00000000">
      <w:pPr>
        <w:spacing w:before="200" w:after="60"/>
      </w:pPr>
      <w:r>
        <w:rPr>
          <w:b/>
          <w:bCs/>
          <w:color w:val="2D4470"/>
          <w:sz w:val="22"/>
          <w:szCs w:val="22"/>
        </w:rPr>
        <w:t>D4 RIN Market</w:t>
      </w:r>
    </w:p>
    <w:p w14:paraId="43CAC4F7" w14:textId="77777777" w:rsidR="00B12AEE" w:rsidRDefault="00000000">
      <w:pPr>
        <w:spacing w:before="80" w:after="120" w:line="276" w:lineRule="auto"/>
      </w:pPr>
      <w:r>
        <w:rPr>
          <w:i/>
          <w:iCs/>
          <w:color w:val="9B9588"/>
        </w:rPr>
        <w:t>Price, volume, week-over-week change, forward curve structure, compliance year positioning.</w:t>
      </w:r>
    </w:p>
    <w:p w14:paraId="54F30C79" w14:textId="77777777" w:rsidR="00B12AEE" w:rsidRDefault="00000000">
      <w:pPr>
        <w:spacing w:before="200" w:after="60"/>
      </w:pPr>
      <w:r>
        <w:rPr>
          <w:b/>
          <w:bCs/>
          <w:color w:val="2D4470"/>
          <w:sz w:val="22"/>
          <w:szCs w:val="22"/>
        </w:rPr>
        <w:t>State-Level Credits</w:t>
      </w:r>
    </w:p>
    <w:p w14:paraId="0B326882" w14:textId="77777777" w:rsidR="00B12AEE" w:rsidRDefault="00000000">
      <w:pPr>
        <w:spacing w:before="80" w:after="120" w:line="276" w:lineRule="auto"/>
      </w:pPr>
      <w:r>
        <w:rPr>
          <w:i/>
          <w:iCs/>
          <w:color w:val="9B9588"/>
        </w:rPr>
        <w:t>LCFS credit price and bank balance, Oregon CFP credits, Washington CFS credits. Quarterly net generation/deficit trends.</w:t>
      </w:r>
    </w:p>
    <w:p w14:paraId="27E001F1" w14:textId="77777777" w:rsidR="00B12AEE" w:rsidRDefault="00000000">
      <w:pPr>
        <w:spacing w:before="200" w:after="60"/>
      </w:pPr>
      <w:r>
        <w:rPr>
          <w:b/>
          <w:bCs/>
          <w:color w:val="2D4470"/>
          <w:sz w:val="22"/>
          <w:szCs w:val="22"/>
        </w:rPr>
        <w:t>45Z Transfer Market</w:t>
      </w:r>
    </w:p>
    <w:p w14:paraId="57B755AA" w14:textId="77777777" w:rsidR="00B12AEE" w:rsidRDefault="00000000">
      <w:pPr>
        <w:spacing w:before="80" w:after="120" w:line="276" w:lineRule="auto"/>
      </w:pPr>
      <w:r>
        <w:rPr>
          <w:i/>
          <w:iCs/>
          <w:color w:val="9B9588"/>
        </w:rPr>
        <w:t>Credit transfer pricing (currently ~88–93¢ per dollar of face value), deal flow, buyer/seller dynamics.</w:t>
      </w:r>
    </w:p>
    <w:p w14:paraId="2F5E2FCE" w14:textId="77777777" w:rsidR="00B12AEE" w:rsidRDefault="00000000">
      <w:pPr>
        <w:spacing w:before="280" w:after="160"/>
      </w:pPr>
      <w:r>
        <w:rPr>
          <w:b/>
          <w:bCs/>
          <w:color w:val="C8A951"/>
          <w:spacing w:val="100"/>
          <w:sz w:val="18"/>
          <w:szCs w:val="18"/>
        </w:rPr>
        <w:t>CREDIT STACK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60"/>
        <w:gridCol w:w="1260"/>
        <w:gridCol w:w="1260"/>
        <w:gridCol w:w="1260"/>
        <w:gridCol w:w="1260"/>
        <w:gridCol w:w="1260"/>
      </w:tblGrid>
      <w:tr w:rsidR="00B12AEE" w14:paraId="6DA27D95" w14:textId="77777777">
        <w:tblPrEx>
          <w:tblCellMar>
            <w:top w:w="0" w:type="dxa"/>
            <w:bottom w:w="0" w:type="dxa"/>
          </w:tblCellMar>
        </w:tblPrEx>
        <w:tc>
          <w:tcPr>
            <w:tcW w:w="1800"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vAlign w:val="center"/>
          </w:tcPr>
          <w:p w14:paraId="4B5CAB88" w14:textId="77777777" w:rsidR="00B12AEE" w:rsidRDefault="00000000">
            <w:r>
              <w:rPr>
                <w:b/>
                <w:bCs/>
                <w:color w:val="FFFFFF"/>
                <w:sz w:val="16"/>
                <w:szCs w:val="16"/>
              </w:rPr>
              <w:t>Product</w:t>
            </w:r>
          </w:p>
        </w:tc>
        <w:tc>
          <w:tcPr>
            <w:tcW w:w="1260"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vAlign w:val="center"/>
          </w:tcPr>
          <w:p w14:paraId="3D2D5500" w14:textId="77777777" w:rsidR="00B12AEE" w:rsidRDefault="00000000">
            <w:pPr>
              <w:jc w:val="center"/>
            </w:pPr>
            <w:r>
              <w:rPr>
                <w:b/>
                <w:bCs/>
                <w:color w:val="FFFFFF"/>
                <w:sz w:val="16"/>
                <w:szCs w:val="16"/>
              </w:rPr>
              <w:t>ULSD</w:t>
            </w:r>
          </w:p>
        </w:tc>
        <w:tc>
          <w:tcPr>
            <w:tcW w:w="1260"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vAlign w:val="center"/>
          </w:tcPr>
          <w:p w14:paraId="0F22BD9D" w14:textId="77777777" w:rsidR="00B12AEE" w:rsidRDefault="00000000">
            <w:pPr>
              <w:jc w:val="center"/>
            </w:pPr>
            <w:r>
              <w:rPr>
                <w:b/>
                <w:bCs/>
                <w:color w:val="FFFFFF"/>
                <w:sz w:val="16"/>
                <w:szCs w:val="16"/>
              </w:rPr>
              <w:t>D4 RIN</w:t>
            </w:r>
          </w:p>
        </w:tc>
        <w:tc>
          <w:tcPr>
            <w:tcW w:w="1260"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vAlign w:val="center"/>
          </w:tcPr>
          <w:p w14:paraId="42D0F6FE" w14:textId="77777777" w:rsidR="00B12AEE" w:rsidRDefault="00000000">
            <w:pPr>
              <w:jc w:val="center"/>
            </w:pPr>
            <w:r>
              <w:rPr>
                <w:b/>
                <w:bCs/>
                <w:color w:val="FFFFFF"/>
                <w:sz w:val="16"/>
                <w:szCs w:val="16"/>
              </w:rPr>
              <w:t>45Z</w:t>
            </w:r>
          </w:p>
        </w:tc>
        <w:tc>
          <w:tcPr>
            <w:tcW w:w="1260"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vAlign w:val="center"/>
          </w:tcPr>
          <w:p w14:paraId="65A048A3" w14:textId="77777777" w:rsidR="00B12AEE" w:rsidRDefault="00000000">
            <w:pPr>
              <w:jc w:val="center"/>
            </w:pPr>
            <w:r>
              <w:rPr>
                <w:b/>
                <w:bCs/>
                <w:color w:val="FFFFFF"/>
                <w:sz w:val="16"/>
                <w:szCs w:val="16"/>
              </w:rPr>
              <w:t>LCFS</w:t>
            </w:r>
          </w:p>
        </w:tc>
        <w:tc>
          <w:tcPr>
            <w:tcW w:w="1260"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vAlign w:val="center"/>
          </w:tcPr>
          <w:p w14:paraId="510F714D" w14:textId="77777777" w:rsidR="00B12AEE" w:rsidRDefault="00000000">
            <w:pPr>
              <w:jc w:val="center"/>
            </w:pPr>
            <w:r>
              <w:rPr>
                <w:b/>
                <w:bCs/>
                <w:color w:val="FFFFFF"/>
                <w:sz w:val="16"/>
                <w:szCs w:val="16"/>
              </w:rPr>
              <w:t>Total Rev</w:t>
            </w:r>
          </w:p>
        </w:tc>
        <w:tc>
          <w:tcPr>
            <w:tcW w:w="1260"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vAlign w:val="center"/>
          </w:tcPr>
          <w:p w14:paraId="587A79E0" w14:textId="77777777" w:rsidR="00B12AEE" w:rsidRDefault="00000000">
            <w:pPr>
              <w:jc w:val="center"/>
            </w:pPr>
            <w:r>
              <w:rPr>
                <w:b/>
                <w:bCs/>
                <w:color w:val="FFFFFF"/>
                <w:sz w:val="16"/>
                <w:szCs w:val="16"/>
              </w:rPr>
              <w:t>Margin</w:t>
            </w:r>
          </w:p>
        </w:tc>
      </w:tr>
      <w:tr w:rsidR="00B12AEE" w14:paraId="37643E52" w14:textId="77777777">
        <w:tblPrEx>
          <w:tblCellMar>
            <w:top w:w="0" w:type="dxa"/>
            <w:bottom w:w="0" w:type="dxa"/>
          </w:tblCellMar>
        </w:tblPrEx>
        <w:tc>
          <w:tcPr>
            <w:tcW w:w="180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0DB8BCF6" w14:textId="77777777" w:rsidR="00B12AEE" w:rsidRDefault="00000000">
            <w:r>
              <w:rPr>
                <w:b/>
                <w:bCs/>
                <w:sz w:val="16"/>
                <w:szCs w:val="16"/>
              </w:rPr>
              <w:t>SBO-RD (CA)</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0335D85A"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43B9A3E6"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43D19908"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5AE896A8"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27E88133"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1DB15706" w14:textId="77777777" w:rsidR="00B12AEE" w:rsidRDefault="00000000">
            <w:pPr>
              <w:jc w:val="center"/>
            </w:pPr>
            <w:r>
              <w:rPr>
                <w:color w:val="2D4470"/>
                <w:sz w:val="16"/>
                <w:szCs w:val="16"/>
              </w:rPr>
              <w:t>—</w:t>
            </w:r>
          </w:p>
        </w:tc>
      </w:tr>
      <w:tr w:rsidR="00B12AEE" w14:paraId="4456455F" w14:textId="77777777">
        <w:tblPrEx>
          <w:tblCellMar>
            <w:top w:w="0" w:type="dxa"/>
            <w:bottom w:w="0" w:type="dxa"/>
          </w:tblCellMar>
        </w:tblPrEx>
        <w:tc>
          <w:tcPr>
            <w:tcW w:w="180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1BB7B206" w14:textId="77777777" w:rsidR="00B12AEE" w:rsidRDefault="00000000">
            <w:r>
              <w:rPr>
                <w:b/>
                <w:bCs/>
                <w:sz w:val="16"/>
                <w:szCs w:val="16"/>
              </w:rPr>
              <w:t>UCO-RD (CA)</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713548AC"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2431ED0A"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2A5F6A88"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2986AB57"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2E67EA78"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639ACA78" w14:textId="77777777" w:rsidR="00B12AEE" w:rsidRDefault="00000000">
            <w:pPr>
              <w:jc w:val="center"/>
            </w:pPr>
            <w:r>
              <w:rPr>
                <w:color w:val="2D4470"/>
                <w:sz w:val="16"/>
                <w:szCs w:val="16"/>
              </w:rPr>
              <w:t>—</w:t>
            </w:r>
          </w:p>
        </w:tc>
      </w:tr>
      <w:tr w:rsidR="00B12AEE" w14:paraId="111F3FA2" w14:textId="77777777">
        <w:tblPrEx>
          <w:tblCellMar>
            <w:top w:w="0" w:type="dxa"/>
            <w:bottom w:w="0" w:type="dxa"/>
          </w:tblCellMar>
        </w:tblPrEx>
        <w:tc>
          <w:tcPr>
            <w:tcW w:w="180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3CB016F1" w14:textId="77777777" w:rsidR="00B12AEE" w:rsidRDefault="00000000">
            <w:r>
              <w:rPr>
                <w:b/>
                <w:bCs/>
                <w:sz w:val="16"/>
                <w:szCs w:val="16"/>
              </w:rPr>
              <w:t>Tallow-RD (CA)</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4A6CF5B0"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511A4E7B"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7941B3F3"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68A1675D"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13073ED1"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18019E36" w14:textId="77777777" w:rsidR="00B12AEE" w:rsidRDefault="00000000">
            <w:pPr>
              <w:jc w:val="center"/>
            </w:pPr>
            <w:r>
              <w:rPr>
                <w:color w:val="2D4470"/>
                <w:sz w:val="16"/>
                <w:szCs w:val="16"/>
              </w:rPr>
              <w:t>—</w:t>
            </w:r>
          </w:p>
        </w:tc>
      </w:tr>
      <w:tr w:rsidR="00B12AEE" w14:paraId="42DA2393" w14:textId="77777777">
        <w:tblPrEx>
          <w:tblCellMar>
            <w:top w:w="0" w:type="dxa"/>
            <w:bottom w:w="0" w:type="dxa"/>
          </w:tblCellMar>
        </w:tblPrEx>
        <w:tc>
          <w:tcPr>
            <w:tcW w:w="180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76D8DE4C" w14:textId="77777777" w:rsidR="00B12AEE" w:rsidRDefault="00000000">
            <w:r>
              <w:rPr>
                <w:b/>
                <w:bCs/>
                <w:sz w:val="16"/>
                <w:szCs w:val="16"/>
              </w:rPr>
              <w:t>SBO-BD (CA)</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78D50F81"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20C0B87C"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1C7220D3"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616205D5"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0886ABA7"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3173CF08" w14:textId="77777777" w:rsidR="00B12AEE" w:rsidRDefault="00000000">
            <w:pPr>
              <w:jc w:val="center"/>
            </w:pPr>
            <w:r>
              <w:rPr>
                <w:color w:val="2D4470"/>
                <w:sz w:val="16"/>
                <w:szCs w:val="16"/>
              </w:rPr>
              <w:t>—</w:t>
            </w:r>
          </w:p>
        </w:tc>
      </w:tr>
      <w:tr w:rsidR="00B12AEE" w14:paraId="210B7F90" w14:textId="77777777">
        <w:tblPrEx>
          <w:tblCellMar>
            <w:top w:w="0" w:type="dxa"/>
            <w:bottom w:w="0" w:type="dxa"/>
          </w:tblCellMar>
        </w:tblPrEx>
        <w:tc>
          <w:tcPr>
            <w:tcW w:w="180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459384AF" w14:textId="77777777" w:rsidR="00B12AEE" w:rsidRDefault="00000000">
            <w:r>
              <w:rPr>
                <w:b/>
                <w:bCs/>
                <w:sz w:val="16"/>
                <w:szCs w:val="16"/>
              </w:rPr>
              <w:t>SBO-RD (OR)</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475615F3"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4C94E617"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074BDFE5"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04D8F803"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12AF37D3"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66FD5DFC" w14:textId="77777777" w:rsidR="00B12AEE" w:rsidRDefault="00000000">
            <w:pPr>
              <w:jc w:val="center"/>
            </w:pPr>
            <w:r>
              <w:rPr>
                <w:color w:val="2D4470"/>
                <w:sz w:val="16"/>
                <w:szCs w:val="16"/>
              </w:rPr>
              <w:t>—</w:t>
            </w:r>
          </w:p>
        </w:tc>
      </w:tr>
      <w:tr w:rsidR="00B12AEE" w14:paraId="63F24CC1" w14:textId="77777777">
        <w:tblPrEx>
          <w:tblCellMar>
            <w:top w:w="0" w:type="dxa"/>
            <w:bottom w:w="0" w:type="dxa"/>
          </w:tblCellMar>
        </w:tblPrEx>
        <w:tc>
          <w:tcPr>
            <w:tcW w:w="180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51298A2F" w14:textId="77777777" w:rsidR="00B12AEE" w:rsidRDefault="00000000">
            <w:r>
              <w:rPr>
                <w:b/>
                <w:bCs/>
                <w:sz w:val="16"/>
                <w:szCs w:val="16"/>
              </w:rPr>
              <w:t>SBO-RD (</w:t>
            </w:r>
            <w:proofErr w:type="spellStart"/>
            <w:r>
              <w:rPr>
                <w:b/>
                <w:bCs/>
                <w:sz w:val="16"/>
                <w:szCs w:val="16"/>
              </w:rPr>
              <w:t>Uninc</w:t>
            </w:r>
            <w:proofErr w:type="spellEnd"/>
            <w:r>
              <w:rPr>
                <w:b/>
                <w:bCs/>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41A702DE"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3F25D7AA"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29CF6682"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149C4339"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49CBABD0" w14:textId="77777777" w:rsidR="00B12AE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258B16B1" w14:textId="77777777" w:rsidR="00B12AEE" w:rsidRDefault="00000000">
            <w:pPr>
              <w:jc w:val="center"/>
            </w:pPr>
            <w:r>
              <w:rPr>
                <w:color w:val="2D4470"/>
                <w:sz w:val="16"/>
                <w:szCs w:val="16"/>
              </w:rPr>
              <w:t>—</w:t>
            </w:r>
          </w:p>
        </w:tc>
      </w:tr>
    </w:tbl>
    <w:p w14:paraId="61777AC0" w14:textId="77777777" w:rsidR="00B12AEE" w:rsidRDefault="00000000">
      <w:pPr>
        <w:spacing w:before="60" w:after="80"/>
      </w:pPr>
      <w:r>
        <w:rPr>
          <w:i/>
          <w:iCs/>
          <w:color w:val="9B9588"/>
          <w:sz w:val="16"/>
          <w:szCs w:val="16"/>
        </w:rPr>
        <w:t xml:space="preserve">All values </w:t>
      </w:r>
      <w:proofErr w:type="gramStart"/>
      <w:r>
        <w:rPr>
          <w:i/>
          <w:iCs/>
          <w:color w:val="9B9588"/>
          <w:sz w:val="16"/>
          <w:szCs w:val="16"/>
        </w:rPr>
        <w:t>$/</w:t>
      </w:r>
      <w:proofErr w:type="gramEnd"/>
      <w:r>
        <w:rPr>
          <w:i/>
          <w:iCs/>
          <w:color w:val="9B9588"/>
          <w:sz w:val="16"/>
          <w:szCs w:val="16"/>
        </w:rPr>
        <w:t>gallon. Margin = Total Revenue less feedstock cost and estimated $0.50–0.70/gal operating cost.</w:t>
      </w:r>
    </w:p>
    <w:p w14:paraId="3FAD1482" w14:textId="77777777" w:rsidR="00B12AEE" w:rsidRDefault="00B12AEE">
      <w:pPr>
        <w:pBdr>
          <w:bottom w:val="single" w:sz="4" w:space="1" w:color="C8A951"/>
        </w:pBdr>
        <w:spacing w:before="360" w:after="240"/>
      </w:pPr>
    </w:p>
    <w:p w14:paraId="6DF88342" w14:textId="77777777" w:rsidR="00B12AEE" w:rsidRDefault="00000000">
      <w:pPr>
        <w:spacing w:before="120" w:after="60"/>
      </w:pPr>
      <w:proofErr w:type="gramStart"/>
      <w:r>
        <w:rPr>
          <w:b/>
          <w:bCs/>
          <w:color w:val="C8A951"/>
          <w:sz w:val="36"/>
          <w:szCs w:val="36"/>
        </w:rPr>
        <w:t>6</w:t>
      </w:r>
      <w:r>
        <w:rPr>
          <w:sz w:val="36"/>
          <w:szCs w:val="36"/>
        </w:rPr>
        <w:t xml:space="preserve">  </w:t>
      </w:r>
      <w:r>
        <w:rPr>
          <w:b/>
          <w:bCs/>
          <w:spacing w:val="80"/>
          <w:sz w:val="28"/>
          <w:szCs w:val="28"/>
        </w:rPr>
        <w:t>SOYBEAN</w:t>
      </w:r>
      <w:proofErr w:type="gramEnd"/>
      <w:r>
        <w:rPr>
          <w:b/>
          <w:bCs/>
          <w:spacing w:val="80"/>
          <w:sz w:val="28"/>
          <w:szCs w:val="28"/>
        </w:rPr>
        <w:t xml:space="preserve"> OIL &amp; OILSEED COMPLEX</w:t>
      </w:r>
    </w:p>
    <w:p w14:paraId="71D0787B" w14:textId="77777777" w:rsidR="00B12AEE" w:rsidRDefault="00000000">
      <w:pPr>
        <w:spacing w:before="40" w:after="200"/>
        <w:ind w:left="120"/>
      </w:pPr>
      <w:r>
        <w:rPr>
          <w:i/>
          <w:iCs/>
          <w:color w:val="2D4470"/>
        </w:rPr>
        <w:t>[e.g., “Record February crush can’t keep pace with biofuel demand; SBO stocks tighten despite bearish South American harvest”]</w:t>
      </w:r>
    </w:p>
    <w:p w14:paraId="65AAEA1D" w14:textId="77777777" w:rsidR="00B12AEE" w:rsidRDefault="00000000">
      <w:pPr>
        <w:spacing w:before="200" w:after="60"/>
      </w:pPr>
      <w:r>
        <w:rPr>
          <w:b/>
          <w:bCs/>
          <w:color w:val="2D4470"/>
          <w:sz w:val="22"/>
          <w:szCs w:val="22"/>
        </w:rPr>
        <w:t>CBOT Price Action &amp; Technicals</w:t>
      </w:r>
    </w:p>
    <w:p w14:paraId="68E435DF" w14:textId="77777777" w:rsidR="00B12AEE" w:rsidRDefault="00000000">
      <w:pPr>
        <w:spacing w:before="80" w:after="120" w:line="276" w:lineRule="auto"/>
      </w:pPr>
      <w:r>
        <w:rPr>
          <w:i/>
          <w:iCs/>
          <w:color w:val="9B9588"/>
        </w:rPr>
        <w:t>Futures settlement, weekly range, open interest, managed money positioning (CFTC COT), key support/resistance levels.</w:t>
      </w:r>
    </w:p>
    <w:p w14:paraId="15F395F7" w14:textId="77777777" w:rsidR="00B12AEE" w:rsidRDefault="00000000">
      <w:pPr>
        <w:spacing w:before="200" w:after="60"/>
      </w:pPr>
      <w:r>
        <w:rPr>
          <w:b/>
          <w:bCs/>
          <w:color w:val="2D4470"/>
          <w:sz w:val="22"/>
          <w:szCs w:val="22"/>
        </w:rPr>
        <w:t>Crush &amp; Domestic Fundamentals</w:t>
      </w:r>
    </w:p>
    <w:p w14:paraId="3CCCD210" w14:textId="77777777" w:rsidR="00B12AEE" w:rsidRDefault="00000000">
      <w:pPr>
        <w:spacing w:before="80" w:after="120" w:line="276" w:lineRule="auto"/>
      </w:pPr>
      <w:r>
        <w:rPr>
          <w:i/>
          <w:iCs/>
          <w:color w:val="9B9588"/>
        </w:rPr>
        <w:t>NOPA/USDA crush data, oil extraction rate trends (protein vs. oil yield tradeoff), stocks, biofuel use vs. food/feed allocation.</w:t>
      </w:r>
    </w:p>
    <w:p w14:paraId="18A38588" w14:textId="77777777" w:rsidR="00B12AEE" w:rsidRDefault="00000000">
      <w:pPr>
        <w:spacing w:before="200" w:after="60"/>
      </w:pPr>
      <w:r>
        <w:rPr>
          <w:b/>
          <w:bCs/>
          <w:color w:val="2D4470"/>
          <w:sz w:val="22"/>
          <w:szCs w:val="22"/>
        </w:rPr>
        <w:t>Export Pace &amp; Global Competition</w:t>
      </w:r>
    </w:p>
    <w:p w14:paraId="54468474" w14:textId="77777777" w:rsidR="00B12AEE" w:rsidRDefault="00000000">
      <w:pPr>
        <w:spacing w:before="80" w:after="120" w:line="276" w:lineRule="auto"/>
      </w:pPr>
      <w:r>
        <w:rPr>
          <w:i/>
          <w:iCs/>
          <w:color w:val="9B9588"/>
        </w:rPr>
        <w:t>US soybean and SBO export sales, South American crop updates (CONAB, Buenos Aires Grain Exchange), competitiveness vs. Argentine/Brazilian oil.</w:t>
      </w:r>
    </w:p>
    <w:p w14:paraId="30542C02" w14:textId="77777777" w:rsidR="00B12AEE" w:rsidRDefault="00000000">
      <w:pPr>
        <w:spacing w:before="200" w:after="60"/>
      </w:pPr>
      <w:r>
        <w:rPr>
          <w:b/>
          <w:bCs/>
          <w:color w:val="2D4470"/>
          <w:sz w:val="22"/>
          <w:szCs w:val="22"/>
        </w:rPr>
        <w:t>Prospective Plantings &amp; Forward Crop</w:t>
      </w:r>
    </w:p>
    <w:p w14:paraId="282928B6" w14:textId="77777777" w:rsidR="00B12AEE" w:rsidRDefault="00000000">
      <w:pPr>
        <w:spacing w:before="80" w:after="120" w:line="276" w:lineRule="auto"/>
      </w:pPr>
      <w:r>
        <w:rPr>
          <w:i/>
          <w:iCs/>
          <w:color w:val="9B9588"/>
        </w:rPr>
        <w:t>When in season: USDA acreage data, planting progress, weather outlook. Off-season: carry forward relevant WASDE projections.</w:t>
      </w:r>
    </w:p>
    <w:p w14:paraId="4E0B9BBE" w14:textId="77777777" w:rsidR="00B12AEE" w:rsidRDefault="00B12AEE">
      <w:pPr>
        <w:pBdr>
          <w:bottom w:val="single" w:sz="4" w:space="1" w:color="C8A951"/>
        </w:pBdr>
        <w:spacing w:before="360" w:after="240"/>
      </w:pPr>
    </w:p>
    <w:p w14:paraId="2E62A8C2" w14:textId="77777777" w:rsidR="00B12AEE" w:rsidRDefault="00000000">
      <w:pPr>
        <w:spacing w:before="120" w:after="60"/>
      </w:pPr>
      <w:proofErr w:type="gramStart"/>
      <w:r>
        <w:rPr>
          <w:b/>
          <w:bCs/>
          <w:color w:val="C8A951"/>
          <w:sz w:val="36"/>
          <w:szCs w:val="36"/>
        </w:rPr>
        <w:t>7</w:t>
      </w:r>
      <w:r>
        <w:rPr>
          <w:sz w:val="36"/>
          <w:szCs w:val="36"/>
        </w:rPr>
        <w:t xml:space="preserve">  </w:t>
      </w:r>
      <w:r>
        <w:rPr>
          <w:b/>
          <w:bCs/>
          <w:spacing w:val="80"/>
          <w:sz w:val="28"/>
          <w:szCs w:val="28"/>
        </w:rPr>
        <w:t>DEMAND</w:t>
      </w:r>
      <w:proofErr w:type="gramEnd"/>
      <w:r>
        <w:rPr>
          <w:b/>
          <w:bCs/>
          <w:spacing w:val="80"/>
          <w:sz w:val="28"/>
          <w:szCs w:val="28"/>
        </w:rPr>
        <w:t xml:space="preserve"> &amp; CONSUMPTION</w:t>
      </w:r>
    </w:p>
    <w:p w14:paraId="19F0E110" w14:textId="77777777" w:rsidR="00B12AEE" w:rsidRDefault="00000000">
      <w:pPr>
        <w:spacing w:before="40" w:after="200"/>
        <w:ind w:left="120"/>
      </w:pPr>
      <w:r>
        <w:rPr>
          <w:i/>
          <w:iCs/>
          <w:color w:val="2D4470"/>
        </w:rPr>
        <w:t>[e.g., “California RD penetration hits 67% of the diesel pool; West Coast LCFS margins attract Gulf Coast barrels”]</w:t>
      </w:r>
    </w:p>
    <w:p w14:paraId="48F6DA56" w14:textId="77777777" w:rsidR="00B12AEE" w:rsidRDefault="00000000">
      <w:pPr>
        <w:spacing w:before="80" w:after="120" w:line="276" w:lineRule="auto"/>
      </w:pPr>
      <w:r>
        <w:rPr>
          <w:i/>
          <w:iCs/>
          <w:color w:val="9B9588"/>
        </w:rPr>
        <w:t>EIA consumption data for renewable diesel, biodiesel, and SAF. State-level demand trends (California volume share, Oregon, Washington). Fleet adoption news and airline SAF procurement. Blender/obligated party behavior signals. Is actual consumption keeping pace with mandated volumes?</w:t>
      </w:r>
    </w:p>
    <w:p w14:paraId="4122DF92" w14:textId="77777777" w:rsidR="00B12AEE" w:rsidRDefault="00B12AEE">
      <w:pPr>
        <w:pBdr>
          <w:bottom w:val="single" w:sz="4" w:space="1" w:color="C8A951"/>
        </w:pBdr>
        <w:spacing w:before="360" w:after="240"/>
      </w:pPr>
    </w:p>
    <w:p w14:paraId="71E7C512" w14:textId="77777777" w:rsidR="00B12AEE" w:rsidRDefault="00000000">
      <w:pPr>
        <w:spacing w:before="120" w:after="60"/>
      </w:pPr>
      <w:proofErr w:type="gramStart"/>
      <w:r>
        <w:rPr>
          <w:b/>
          <w:bCs/>
          <w:color w:val="C8A951"/>
          <w:sz w:val="36"/>
          <w:szCs w:val="36"/>
        </w:rPr>
        <w:t>8</w:t>
      </w:r>
      <w:r>
        <w:rPr>
          <w:sz w:val="36"/>
          <w:szCs w:val="36"/>
        </w:rPr>
        <w:t xml:space="preserve">  </w:t>
      </w:r>
      <w:r>
        <w:rPr>
          <w:b/>
          <w:bCs/>
          <w:spacing w:val="80"/>
          <w:sz w:val="28"/>
          <w:szCs w:val="28"/>
        </w:rPr>
        <w:t>PRODUCER</w:t>
      </w:r>
      <w:proofErr w:type="gramEnd"/>
      <w:r>
        <w:rPr>
          <w:b/>
          <w:bCs/>
          <w:spacing w:val="80"/>
          <w:sz w:val="28"/>
          <w:szCs w:val="28"/>
        </w:rPr>
        <w:t xml:space="preserve"> ECONOMICS &amp; MARGINS</w:t>
      </w:r>
    </w:p>
    <w:p w14:paraId="638025FE" w14:textId="77777777" w:rsidR="00B12AEE" w:rsidRDefault="00000000">
      <w:pPr>
        <w:spacing w:before="40" w:after="200"/>
        <w:ind w:left="120"/>
      </w:pPr>
      <w:r>
        <w:rPr>
          <w:i/>
          <w:iCs/>
          <w:color w:val="2D4470"/>
        </w:rPr>
        <w:t xml:space="preserve">[e.g., “UCO-RD California margins recover to +$0.45/gal; SBO-biodiesel remains underwater in </w:t>
      </w:r>
      <w:proofErr w:type="spellStart"/>
      <w:r>
        <w:rPr>
          <w:i/>
          <w:iCs/>
          <w:color w:val="2D4470"/>
        </w:rPr>
        <w:t>unincented</w:t>
      </w:r>
      <w:proofErr w:type="spellEnd"/>
      <w:r>
        <w:rPr>
          <w:i/>
          <w:iCs/>
          <w:color w:val="2D4470"/>
        </w:rPr>
        <w:t xml:space="preserve"> markets”]</w:t>
      </w:r>
    </w:p>
    <w:p w14:paraId="463E7530" w14:textId="77777777" w:rsidR="00B12AEE" w:rsidRDefault="00000000">
      <w:pPr>
        <w:spacing w:before="80" w:after="120" w:line="276" w:lineRule="auto"/>
      </w:pPr>
      <w:r>
        <w:rPr>
          <w:i/>
          <w:iCs/>
          <w:color w:val="9B9588"/>
        </w:rPr>
        <w:t xml:space="preserve">Estimated production margins by feedstock (SBO, UCO, tallow, DCO) and product type (RD vs. biodiesel) by destination market (California, Oregon, </w:t>
      </w:r>
      <w:proofErr w:type="spellStart"/>
      <w:r>
        <w:rPr>
          <w:i/>
          <w:iCs/>
          <w:color w:val="9B9588"/>
        </w:rPr>
        <w:t>unincented</w:t>
      </w:r>
      <w:proofErr w:type="spellEnd"/>
      <w:r>
        <w:rPr>
          <w:i/>
          <w:iCs/>
          <w:color w:val="9B9588"/>
        </w:rPr>
        <w:t>). Week-over-week margin changes. Energy input costs (natural gas, hydrogen) when material. This section answers the core question: where should I sell, and what feedstock should I buy?</w:t>
      </w:r>
    </w:p>
    <w:p w14:paraId="65228C33" w14:textId="77777777" w:rsidR="00B12AEE" w:rsidRDefault="00B12AEE">
      <w:pPr>
        <w:pBdr>
          <w:bottom w:val="single" w:sz="4" w:space="1" w:color="C8A951"/>
        </w:pBdr>
        <w:spacing w:before="360" w:after="240"/>
      </w:pPr>
    </w:p>
    <w:p w14:paraId="79697197" w14:textId="77777777" w:rsidR="00B12AEE" w:rsidRDefault="00000000">
      <w:pPr>
        <w:spacing w:before="120" w:after="60"/>
      </w:pPr>
      <w:proofErr w:type="gramStart"/>
      <w:r>
        <w:rPr>
          <w:b/>
          <w:bCs/>
          <w:color w:val="C8A951"/>
          <w:sz w:val="36"/>
          <w:szCs w:val="36"/>
        </w:rPr>
        <w:t>9</w:t>
      </w:r>
      <w:r>
        <w:rPr>
          <w:sz w:val="36"/>
          <w:szCs w:val="36"/>
        </w:rPr>
        <w:t xml:space="preserve">  </w:t>
      </w:r>
      <w:r>
        <w:rPr>
          <w:b/>
          <w:bCs/>
          <w:spacing w:val="80"/>
          <w:sz w:val="28"/>
          <w:szCs w:val="28"/>
        </w:rPr>
        <w:t>INTERNATIONAL</w:t>
      </w:r>
      <w:proofErr w:type="gramEnd"/>
      <w:r>
        <w:rPr>
          <w:b/>
          <w:bCs/>
          <w:spacing w:val="80"/>
          <w:sz w:val="28"/>
          <w:szCs w:val="28"/>
        </w:rPr>
        <w:t xml:space="preserve"> DEVELOPMENTS</w:t>
      </w:r>
    </w:p>
    <w:p w14:paraId="5D37B1BA" w14:textId="77777777" w:rsidR="00B12AEE" w:rsidRDefault="00000000">
      <w:pPr>
        <w:spacing w:before="40" w:after="200"/>
        <w:ind w:left="120"/>
      </w:pPr>
      <w:r>
        <w:rPr>
          <w:i/>
          <w:iCs/>
          <w:color w:val="2D4470"/>
        </w:rPr>
        <w:t>[e.g., “Indonesia confirms B50 launch date; EU UCO premiums pull supply from US market”]</w:t>
      </w:r>
    </w:p>
    <w:p w14:paraId="3CAA20C9" w14:textId="77777777" w:rsidR="00B12AEE" w:rsidRDefault="00000000">
      <w:pPr>
        <w:spacing w:before="80" w:after="120" w:line="276" w:lineRule="auto"/>
      </w:pPr>
      <w:r>
        <w:rPr>
          <w:i/>
          <w:iCs/>
          <w:color w:val="9B9588"/>
        </w:rPr>
        <w:t>Global feedstock competition (EU RED III implementation, Canada CFR credit dynamics, Indonesia/Malaysia biodiesel mandates). Foreign producer activity (Neste, CEPSA, Eni, TotalEnergies). Trade policy impacts on feedstock flows. MPOB, CONAB, and other international data releases affecting US market.</w:t>
      </w:r>
    </w:p>
    <w:p w14:paraId="65B88E4B" w14:textId="77777777" w:rsidR="00B12AEE" w:rsidRDefault="00B12AEE">
      <w:pPr>
        <w:pBdr>
          <w:bottom w:val="single" w:sz="4" w:space="1" w:color="C8A951"/>
        </w:pBdr>
        <w:spacing w:before="360" w:after="240"/>
      </w:pPr>
    </w:p>
    <w:p w14:paraId="7437B3D3" w14:textId="77777777" w:rsidR="00B12AEE" w:rsidRDefault="00000000">
      <w:pPr>
        <w:spacing w:before="120" w:after="60"/>
      </w:pPr>
      <w:proofErr w:type="gramStart"/>
      <w:r>
        <w:rPr>
          <w:b/>
          <w:bCs/>
          <w:color w:val="C8A951"/>
          <w:sz w:val="36"/>
          <w:szCs w:val="36"/>
        </w:rPr>
        <w:t>10</w:t>
      </w:r>
      <w:r>
        <w:rPr>
          <w:sz w:val="36"/>
          <w:szCs w:val="36"/>
        </w:rPr>
        <w:t xml:space="preserve">  </w:t>
      </w:r>
      <w:r>
        <w:rPr>
          <w:b/>
          <w:bCs/>
          <w:spacing w:val="80"/>
          <w:sz w:val="28"/>
          <w:szCs w:val="28"/>
        </w:rPr>
        <w:t>THE</w:t>
      </w:r>
      <w:proofErr w:type="gramEnd"/>
      <w:r>
        <w:rPr>
          <w:b/>
          <w:bCs/>
          <w:spacing w:val="80"/>
          <w:sz w:val="28"/>
          <w:szCs w:val="28"/>
        </w:rPr>
        <w:t xml:space="preserve"> WEEK AHEAD</w:t>
      </w:r>
    </w:p>
    <w:p w14:paraId="17FAAB07" w14:textId="77777777" w:rsidR="00B12AEE" w:rsidRDefault="00000000">
      <w:pPr>
        <w:spacing w:before="40" w:after="200"/>
        <w:ind w:left="120"/>
      </w:pPr>
      <w:r>
        <w:rPr>
          <w:i/>
          <w:iCs/>
          <w:color w:val="2D4470"/>
        </w:rPr>
        <w:t>[e.g., “April WASDE, EMTS monthly data, and the 45Z hearing set the stage for a pivotal week”]</w:t>
      </w:r>
    </w:p>
    <w:p w14:paraId="067FEB50" w14:textId="77777777" w:rsidR="00B12AEE" w:rsidRDefault="00000000">
      <w:pPr>
        <w:spacing w:before="200" w:after="60"/>
      </w:pPr>
      <w:r>
        <w:rPr>
          <w:b/>
          <w:bCs/>
          <w:color w:val="2D4470"/>
          <w:sz w:val="22"/>
          <w:szCs w:val="22"/>
        </w:rPr>
        <w:t>Data Calendar</w:t>
      </w:r>
    </w:p>
    <w:p w14:paraId="7472FF47" w14:textId="77777777" w:rsidR="00B12AEE" w:rsidRDefault="00000000">
      <w:pPr>
        <w:spacing w:before="80" w:after="120" w:line="276" w:lineRule="auto"/>
      </w:pPr>
      <w:r>
        <w:rPr>
          <w:i/>
          <w:iCs/>
          <w:color w:val="9B9588"/>
        </w:rPr>
        <w:t>Scheduled releases: EIA weekly (Wednesday), WASDE (if applicable), NOPA crush (if applicable), EMTS monthly, LCFS quarterly, CFTC COT (Friday). Any special reports.</w:t>
      </w:r>
    </w:p>
    <w:p w14:paraId="7AB82EDD" w14:textId="77777777" w:rsidR="00B12AEE" w:rsidRDefault="00000000">
      <w:pPr>
        <w:spacing w:before="200" w:after="60"/>
      </w:pPr>
      <w:r>
        <w:rPr>
          <w:b/>
          <w:bCs/>
          <w:color w:val="2D4470"/>
          <w:sz w:val="22"/>
          <w:szCs w:val="22"/>
        </w:rPr>
        <w:t>Regulatory Calendar</w:t>
      </w:r>
    </w:p>
    <w:p w14:paraId="06EAE008" w14:textId="77777777" w:rsidR="00B12AEE" w:rsidRDefault="00000000">
      <w:pPr>
        <w:spacing w:before="80" w:after="120" w:line="276" w:lineRule="auto"/>
      </w:pPr>
      <w:r>
        <w:rPr>
          <w:i/>
          <w:iCs/>
          <w:color w:val="9B9588"/>
        </w:rPr>
        <w:t>Upcoming comment period deadlines, hearings, court dates, rulemaking milestones.</w:t>
      </w:r>
    </w:p>
    <w:p w14:paraId="7BA13D3D" w14:textId="77777777" w:rsidR="00B12AEE" w:rsidRDefault="00000000">
      <w:pPr>
        <w:spacing w:before="200" w:after="60"/>
      </w:pPr>
      <w:r>
        <w:rPr>
          <w:b/>
          <w:bCs/>
          <w:color w:val="2D4470"/>
          <w:sz w:val="22"/>
          <w:szCs w:val="22"/>
        </w:rPr>
        <w:t>Earnings &amp; Events</w:t>
      </w:r>
    </w:p>
    <w:p w14:paraId="73B73F0C" w14:textId="77777777" w:rsidR="00B12AEE" w:rsidRDefault="00000000">
      <w:pPr>
        <w:spacing w:before="80" w:after="120" w:line="276" w:lineRule="auto"/>
      </w:pPr>
      <w:r>
        <w:rPr>
          <w:i/>
          <w:iCs/>
          <w:color w:val="9B9588"/>
        </w:rPr>
        <w:t>Relevant company earnings calls (Darling, Calumet, Valero, Marathon, Phillips 66, CVR). Industry conferences.</w:t>
      </w:r>
    </w:p>
    <w:p w14:paraId="57FAB328" w14:textId="77777777" w:rsidR="00B12AEE" w:rsidRDefault="00000000">
      <w:pPr>
        <w:spacing w:before="200" w:after="60"/>
      </w:pPr>
      <w:r>
        <w:rPr>
          <w:b/>
          <w:bCs/>
          <w:color w:val="2D4470"/>
          <w:sz w:val="22"/>
          <w:szCs w:val="22"/>
        </w:rPr>
        <w:lastRenderedPageBreak/>
        <w:t>Questions We’re Watching</w:t>
      </w:r>
    </w:p>
    <w:p w14:paraId="47B7F2DA" w14:textId="77777777" w:rsidR="00B12AEE" w:rsidRDefault="00000000">
      <w:pPr>
        <w:spacing w:before="80" w:after="120" w:line="276" w:lineRule="auto"/>
      </w:pPr>
      <w:r>
        <w:rPr>
          <w:i/>
          <w:iCs/>
          <w:color w:val="9B9588"/>
        </w:rPr>
        <w:t>2–3 forward-looking analytical questions that frame next week’s agenda. These should flow directly from this week’s developments and signal to the reader what RLC is focused on.</w:t>
      </w:r>
    </w:p>
    <w:p w14:paraId="76EC6F8E" w14:textId="77777777" w:rsidR="00B12AEE" w:rsidRDefault="00000000">
      <w:r>
        <w:br w:type="page"/>
      </w:r>
    </w:p>
    <w:p w14:paraId="67809D09" w14:textId="77777777" w:rsidR="00B12AEE" w:rsidRDefault="00000000">
      <w:pPr>
        <w:spacing w:before="120" w:after="40"/>
      </w:pPr>
      <w:r>
        <w:rPr>
          <w:color w:val="C8A951"/>
          <w:spacing w:val="160"/>
          <w:sz w:val="20"/>
          <w:szCs w:val="20"/>
        </w:rPr>
        <w:lastRenderedPageBreak/>
        <w:t>APPENDIX</w:t>
      </w:r>
    </w:p>
    <w:p w14:paraId="4C154540" w14:textId="77777777" w:rsidR="00B12AEE" w:rsidRDefault="00000000">
      <w:pPr>
        <w:pBdr>
          <w:bottom w:val="single" w:sz="4" w:space="1" w:color="C8A951"/>
        </w:pBdr>
        <w:spacing w:after="200"/>
      </w:pPr>
      <w:r>
        <w:rPr>
          <w:b/>
          <w:bCs/>
          <w:sz w:val="32"/>
          <w:szCs w:val="32"/>
        </w:rPr>
        <w:t>Weekly Price Dashboard</w:t>
      </w:r>
    </w:p>
    <w:p w14:paraId="670E8010" w14:textId="77777777" w:rsidR="00B12AEE" w:rsidRDefault="00000000">
      <w:pPr>
        <w:spacing w:before="200" w:after="160"/>
      </w:pPr>
      <w:r>
        <w:rPr>
          <w:b/>
          <w:bCs/>
          <w:color w:val="C8A951"/>
          <w:spacing w:val="100"/>
          <w:sz w:val="18"/>
          <w:szCs w:val="18"/>
        </w:rPr>
        <w:t>FEEDSTOCK &amp; CREDIT PRICES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340"/>
        <w:gridCol w:w="1340"/>
        <w:gridCol w:w="1340"/>
        <w:gridCol w:w="1340"/>
      </w:tblGrid>
      <w:tr w:rsidR="00B12AEE" w14:paraId="181EB55F" w14:textId="77777777">
        <w:tblPrEx>
          <w:tblCellMar>
            <w:top w:w="0" w:type="dxa"/>
            <w:bottom w:w="0" w:type="dxa"/>
          </w:tblCellMar>
        </w:tblPrEx>
        <w:tc>
          <w:tcPr>
            <w:tcW w:w="2600" w:type="dxa"/>
            <w:tcBorders>
              <w:top w:val="none" w:sz="0" w:space="0" w:color="FFFFFF"/>
              <w:left w:val="none" w:sz="0" w:space="0" w:color="FFFFFF"/>
              <w:bottom w:val="single" w:sz="4" w:space="0" w:color="C8A951"/>
              <w:right w:val="none" w:sz="0" w:space="0" w:color="FFFFFF"/>
            </w:tcBorders>
            <w:shd w:val="clear" w:color="auto" w:fill="1B2A4A"/>
            <w:tcMar>
              <w:top w:w="60" w:type="dxa"/>
              <w:left w:w="100" w:type="dxa"/>
              <w:bottom w:w="60" w:type="dxa"/>
              <w:right w:w="100" w:type="dxa"/>
            </w:tcMar>
            <w:vAlign w:val="center"/>
          </w:tcPr>
          <w:p w14:paraId="3253E185" w14:textId="77777777" w:rsidR="00B12AEE" w:rsidRDefault="00000000">
            <w:r>
              <w:rPr>
                <w:b/>
                <w:bCs/>
                <w:color w:val="FFFFFF"/>
                <w:sz w:val="18"/>
                <w:szCs w:val="18"/>
              </w:rPr>
              <w:t>Commodity</w:t>
            </w:r>
          </w:p>
        </w:tc>
        <w:tc>
          <w:tcPr>
            <w:tcW w:w="1400" w:type="dxa"/>
            <w:tcBorders>
              <w:top w:val="none" w:sz="0" w:space="0" w:color="FFFFFF"/>
              <w:left w:val="none" w:sz="0" w:space="0" w:color="FFFFFF"/>
              <w:bottom w:val="single" w:sz="4" w:space="0" w:color="C8A951"/>
              <w:right w:val="none" w:sz="0" w:space="0" w:color="FFFFFF"/>
            </w:tcBorders>
            <w:shd w:val="clear" w:color="auto" w:fill="1B2A4A"/>
            <w:tcMar>
              <w:top w:w="60" w:type="dxa"/>
              <w:left w:w="100" w:type="dxa"/>
              <w:bottom w:w="60" w:type="dxa"/>
              <w:right w:w="100" w:type="dxa"/>
            </w:tcMar>
            <w:vAlign w:val="center"/>
          </w:tcPr>
          <w:p w14:paraId="56FF80E2" w14:textId="77777777" w:rsidR="00B12AEE" w:rsidRDefault="00000000">
            <w:r>
              <w:rPr>
                <w:b/>
                <w:bCs/>
                <w:color w:val="FFFFFF"/>
                <w:sz w:val="18"/>
                <w:szCs w:val="18"/>
              </w:rPr>
              <w:t>Unit</w:t>
            </w:r>
          </w:p>
        </w:tc>
        <w:tc>
          <w:tcPr>
            <w:tcW w:w="1340" w:type="dxa"/>
            <w:tcBorders>
              <w:top w:val="none" w:sz="0" w:space="0" w:color="FFFFFF"/>
              <w:left w:val="none" w:sz="0" w:space="0" w:color="FFFFFF"/>
              <w:bottom w:val="single" w:sz="4" w:space="0" w:color="C8A951"/>
              <w:right w:val="none" w:sz="0" w:space="0" w:color="FFFFFF"/>
            </w:tcBorders>
            <w:shd w:val="clear" w:color="auto" w:fill="1B2A4A"/>
            <w:tcMar>
              <w:top w:w="60" w:type="dxa"/>
              <w:left w:w="100" w:type="dxa"/>
              <w:bottom w:w="60" w:type="dxa"/>
              <w:right w:w="100" w:type="dxa"/>
            </w:tcMar>
            <w:vAlign w:val="center"/>
          </w:tcPr>
          <w:p w14:paraId="23004894" w14:textId="77777777" w:rsidR="00B12AEE" w:rsidRDefault="00000000">
            <w:pPr>
              <w:jc w:val="right"/>
            </w:pPr>
            <w:r>
              <w:rPr>
                <w:b/>
                <w:bCs/>
                <w:color w:val="FFFFFF"/>
                <w:sz w:val="18"/>
                <w:szCs w:val="18"/>
              </w:rPr>
              <w:t>Current</w:t>
            </w:r>
          </w:p>
        </w:tc>
        <w:tc>
          <w:tcPr>
            <w:tcW w:w="1340" w:type="dxa"/>
            <w:tcBorders>
              <w:top w:val="none" w:sz="0" w:space="0" w:color="FFFFFF"/>
              <w:left w:val="none" w:sz="0" w:space="0" w:color="FFFFFF"/>
              <w:bottom w:val="single" w:sz="4" w:space="0" w:color="C8A951"/>
              <w:right w:val="none" w:sz="0" w:space="0" w:color="FFFFFF"/>
            </w:tcBorders>
            <w:shd w:val="clear" w:color="auto" w:fill="1B2A4A"/>
            <w:tcMar>
              <w:top w:w="60" w:type="dxa"/>
              <w:left w:w="100" w:type="dxa"/>
              <w:bottom w:w="60" w:type="dxa"/>
              <w:right w:w="100" w:type="dxa"/>
            </w:tcMar>
            <w:vAlign w:val="center"/>
          </w:tcPr>
          <w:p w14:paraId="5CED0D83" w14:textId="77777777" w:rsidR="00B12AEE" w:rsidRDefault="00000000">
            <w:pPr>
              <w:jc w:val="right"/>
            </w:pPr>
            <w:r>
              <w:rPr>
                <w:b/>
                <w:bCs/>
                <w:color w:val="FFFFFF"/>
                <w:sz w:val="18"/>
                <w:szCs w:val="18"/>
              </w:rPr>
              <w:t xml:space="preserve">Prior </w:t>
            </w:r>
            <w:proofErr w:type="spellStart"/>
            <w:r>
              <w:rPr>
                <w:b/>
                <w:bCs/>
                <w:color w:val="FFFFFF"/>
                <w:sz w:val="18"/>
                <w:szCs w:val="18"/>
              </w:rPr>
              <w:t>Wk</w:t>
            </w:r>
            <w:proofErr w:type="spellEnd"/>
          </w:p>
        </w:tc>
        <w:tc>
          <w:tcPr>
            <w:tcW w:w="1340" w:type="dxa"/>
            <w:tcBorders>
              <w:top w:val="none" w:sz="0" w:space="0" w:color="FFFFFF"/>
              <w:left w:val="none" w:sz="0" w:space="0" w:color="FFFFFF"/>
              <w:bottom w:val="single" w:sz="4" w:space="0" w:color="C8A951"/>
              <w:right w:val="none" w:sz="0" w:space="0" w:color="FFFFFF"/>
            </w:tcBorders>
            <w:shd w:val="clear" w:color="auto" w:fill="1B2A4A"/>
            <w:tcMar>
              <w:top w:w="60" w:type="dxa"/>
              <w:left w:w="100" w:type="dxa"/>
              <w:bottom w:w="60" w:type="dxa"/>
              <w:right w:w="100" w:type="dxa"/>
            </w:tcMar>
            <w:vAlign w:val="center"/>
          </w:tcPr>
          <w:p w14:paraId="0D2C39D4" w14:textId="77777777" w:rsidR="00B12AEE" w:rsidRDefault="00000000">
            <w:pPr>
              <w:jc w:val="right"/>
            </w:pPr>
            <w:r>
              <w:rPr>
                <w:b/>
                <w:bCs/>
                <w:color w:val="FFFFFF"/>
                <w:sz w:val="18"/>
                <w:szCs w:val="18"/>
              </w:rPr>
              <w:t>4-Wk Avg</w:t>
            </w:r>
          </w:p>
        </w:tc>
        <w:tc>
          <w:tcPr>
            <w:tcW w:w="1340" w:type="dxa"/>
            <w:tcBorders>
              <w:top w:val="none" w:sz="0" w:space="0" w:color="FFFFFF"/>
              <w:left w:val="none" w:sz="0" w:space="0" w:color="FFFFFF"/>
              <w:bottom w:val="single" w:sz="4" w:space="0" w:color="C8A951"/>
              <w:right w:val="none" w:sz="0" w:space="0" w:color="FFFFFF"/>
            </w:tcBorders>
            <w:shd w:val="clear" w:color="auto" w:fill="1B2A4A"/>
            <w:tcMar>
              <w:top w:w="60" w:type="dxa"/>
              <w:left w:w="100" w:type="dxa"/>
              <w:bottom w:w="60" w:type="dxa"/>
              <w:right w:w="100" w:type="dxa"/>
            </w:tcMar>
            <w:vAlign w:val="center"/>
          </w:tcPr>
          <w:p w14:paraId="74B32852" w14:textId="77777777" w:rsidR="00B12AEE" w:rsidRDefault="00000000">
            <w:pPr>
              <w:jc w:val="right"/>
            </w:pPr>
            <w:r>
              <w:rPr>
                <w:b/>
                <w:bCs/>
                <w:color w:val="FFFFFF"/>
                <w:sz w:val="18"/>
                <w:szCs w:val="18"/>
              </w:rPr>
              <w:t>YoY</w:t>
            </w:r>
          </w:p>
        </w:tc>
      </w:tr>
      <w:tr w:rsidR="00B12AEE" w14:paraId="7DF580C4"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6D20C06C" w14:textId="77777777" w:rsidR="00B12AEE" w:rsidRDefault="00000000">
            <w:r>
              <w:rPr>
                <w:b/>
                <w:bCs/>
                <w:sz w:val="18"/>
                <w:szCs w:val="18"/>
              </w:rPr>
              <w:t>CBOT Soybean Oil</w:t>
            </w:r>
          </w:p>
        </w:tc>
        <w:tc>
          <w:tcPr>
            <w:tcW w:w="14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1C82D0F1" w14:textId="77777777" w:rsidR="00B12AEE" w:rsidRDefault="00000000">
            <w:r>
              <w:rPr>
                <w:color w:val="2D4470"/>
                <w:sz w:val="18"/>
                <w:szCs w:val="18"/>
              </w:rPr>
              <w:t>¢/</w:t>
            </w:r>
            <w:proofErr w:type="spellStart"/>
            <w:r>
              <w:rPr>
                <w:color w:val="2D4470"/>
                <w:sz w:val="18"/>
                <w:szCs w:val="18"/>
              </w:rPr>
              <w:t>lb</w:t>
            </w:r>
            <w:proofErr w:type="spellEnd"/>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619681FE"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6605E24F"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0AC7E644"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31D971F5" w14:textId="77777777" w:rsidR="00B12AEE" w:rsidRDefault="00000000">
            <w:pPr>
              <w:jc w:val="right"/>
            </w:pPr>
            <w:r>
              <w:rPr>
                <w:color w:val="2D4470"/>
                <w:sz w:val="18"/>
                <w:szCs w:val="18"/>
              </w:rPr>
              <w:t>—</w:t>
            </w:r>
          </w:p>
        </w:tc>
      </w:tr>
      <w:tr w:rsidR="00B12AEE" w14:paraId="4BD64629"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4E59EB52" w14:textId="77777777" w:rsidR="00B12AEE" w:rsidRDefault="00000000">
            <w:r>
              <w:rPr>
                <w:b/>
                <w:bCs/>
                <w:sz w:val="18"/>
                <w:szCs w:val="18"/>
              </w:rPr>
              <w:t>Distillers Corn Oil</w:t>
            </w:r>
          </w:p>
        </w:tc>
        <w:tc>
          <w:tcPr>
            <w:tcW w:w="14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6AA5760A" w14:textId="77777777" w:rsidR="00B12AEE" w:rsidRDefault="00000000">
            <w:r>
              <w:rPr>
                <w:color w:val="2D4470"/>
                <w:sz w:val="18"/>
                <w:szCs w:val="18"/>
              </w:rPr>
              <w:t>¢/</w:t>
            </w:r>
            <w:proofErr w:type="spellStart"/>
            <w:r>
              <w:rPr>
                <w:color w:val="2D4470"/>
                <w:sz w:val="18"/>
                <w:szCs w:val="18"/>
              </w:rPr>
              <w:t>lb</w:t>
            </w:r>
            <w:proofErr w:type="spellEnd"/>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68AE41E2"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00227CA8"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4614EEAE"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2C156527" w14:textId="77777777" w:rsidR="00B12AEE" w:rsidRDefault="00000000">
            <w:pPr>
              <w:jc w:val="right"/>
            </w:pPr>
            <w:r>
              <w:rPr>
                <w:color w:val="2D4470"/>
                <w:sz w:val="18"/>
                <w:szCs w:val="18"/>
              </w:rPr>
              <w:t>—</w:t>
            </w:r>
          </w:p>
        </w:tc>
      </w:tr>
      <w:tr w:rsidR="00B12AEE" w14:paraId="2B80DB2D"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764E6730" w14:textId="77777777" w:rsidR="00B12AEE" w:rsidRDefault="00000000">
            <w:r>
              <w:rPr>
                <w:b/>
                <w:bCs/>
                <w:sz w:val="18"/>
                <w:szCs w:val="18"/>
              </w:rPr>
              <w:t>Used Cooking Oil (Gulf)</w:t>
            </w:r>
          </w:p>
        </w:tc>
        <w:tc>
          <w:tcPr>
            <w:tcW w:w="14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38D9838A" w14:textId="77777777" w:rsidR="00B12AEE" w:rsidRDefault="00000000">
            <w:r>
              <w:rPr>
                <w:color w:val="2D4470"/>
                <w:sz w:val="18"/>
                <w:szCs w:val="18"/>
              </w:rPr>
              <w:t>¢/</w:t>
            </w:r>
            <w:proofErr w:type="spellStart"/>
            <w:r>
              <w:rPr>
                <w:color w:val="2D4470"/>
                <w:sz w:val="18"/>
                <w:szCs w:val="18"/>
              </w:rPr>
              <w:t>lb</w:t>
            </w:r>
            <w:proofErr w:type="spellEnd"/>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0B981C94"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658D0C44"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6F1C76E0"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320957FA" w14:textId="77777777" w:rsidR="00B12AEE" w:rsidRDefault="00000000">
            <w:pPr>
              <w:jc w:val="right"/>
            </w:pPr>
            <w:r>
              <w:rPr>
                <w:color w:val="2D4470"/>
                <w:sz w:val="18"/>
                <w:szCs w:val="18"/>
              </w:rPr>
              <w:t>—</w:t>
            </w:r>
          </w:p>
        </w:tc>
      </w:tr>
      <w:tr w:rsidR="00B12AEE" w14:paraId="1849CDEE"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09652086" w14:textId="77777777" w:rsidR="00B12AEE" w:rsidRDefault="00000000">
            <w:r>
              <w:rPr>
                <w:b/>
                <w:bCs/>
                <w:sz w:val="18"/>
                <w:szCs w:val="18"/>
              </w:rPr>
              <w:t>Choice White Grease</w:t>
            </w:r>
          </w:p>
        </w:tc>
        <w:tc>
          <w:tcPr>
            <w:tcW w:w="14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079D59A0" w14:textId="77777777" w:rsidR="00B12AEE" w:rsidRDefault="00000000">
            <w:r>
              <w:rPr>
                <w:color w:val="2D4470"/>
                <w:sz w:val="18"/>
                <w:szCs w:val="18"/>
              </w:rPr>
              <w:t>$/cwt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3A83F14B"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72CC9D7D"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2EC2BD0C"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7FDB39EA" w14:textId="77777777" w:rsidR="00B12AEE" w:rsidRDefault="00000000">
            <w:pPr>
              <w:jc w:val="right"/>
            </w:pPr>
            <w:r>
              <w:rPr>
                <w:color w:val="2D4470"/>
                <w:sz w:val="18"/>
                <w:szCs w:val="18"/>
              </w:rPr>
              <w:t>—</w:t>
            </w:r>
          </w:p>
        </w:tc>
      </w:tr>
      <w:tr w:rsidR="00B12AEE" w14:paraId="06A02D3A"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626DEA1E" w14:textId="77777777" w:rsidR="00B12AEE" w:rsidRDefault="00000000">
            <w:r>
              <w:rPr>
                <w:b/>
                <w:bCs/>
                <w:sz w:val="18"/>
                <w:szCs w:val="18"/>
              </w:rPr>
              <w:t>Bleachable Fancy Tallow</w:t>
            </w:r>
          </w:p>
        </w:tc>
        <w:tc>
          <w:tcPr>
            <w:tcW w:w="14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2DBB65C1" w14:textId="77777777" w:rsidR="00B12AEE" w:rsidRDefault="00000000">
            <w:r>
              <w:rPr>
                <w:color w:val="2D4470"/>
                <w:sz w:val="18"/>
                <w:szCs w:val="18"/>
              </w:rPr>
              <w:t>$/cwt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093B6353"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465E2232"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2452B71A"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1447193E" w14:textId="77777777" w:rsidR="00B12AEE" w:rsidRDefault="00000000">
            <w:pPr>
              <w:jc w:val="right"/>
            </w:pPr>
            <w:r>
              <w:rPr>
                <w:color w:val="2D4470"/>
                <w:sz w:val="18"/>
                <w:szCs w:val="18"/>
              </w:rPr>
              <w:t>—</w:t>
            </w:r>
          </w:p>
        </w:tc>
      </w:tr>
      <w:tr w:rsidR="00B12AEE" w14:paraId="6A5D2791"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49F3CB68" w14:textId="77777777" w:rsidR="00B12AEE" w:rsidRDefault="00000000">
            <w:r>
              <w:rPr>
                <w:b/>
                <w:bCs/>
                <w:sz w:val="18"/>
                <w:szCs w:val="18"/>
              </w:rPr>
              <w:t>Canola Oil (PNW)</w:t>
            </w:r>
          </w:p>
        </w:tc>
        <w:tc>
          <w:tcPr>
            <w:tcW w:w="14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28CF3D9C" w14:textId="77777777" w:rsidR="00B12AEE" w:rsidRDefault="00000000">
            <w:r>
              <w:rPr>
                <w:color w:val="2D4470"/>
                <w:sz w:val="18"/>
                <w:szCs w:val="18"/>
              </w:rPr>
              <w:t>¢/</w:t>
            </w:r>
            <w:proofErr w:type="spellStart"/>
            <w:r>
              <w:rPr>
                <w:color w:val="2D4470"/>
                <w:sz w:val="18"/>
                <w:szCs w:val="18"/>
              </w:rPr>
              <w:t>lb</w:t>
            </w:r>
            <w:proofErr w:type="spellEnd"/>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317B4192"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608F44D8"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73510542"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0643994F" w14:textId="77777777" w:rsidR="00B12AEE" w:rsidRDefault="00000000">
            <w:pPr>
              <w:jc w:val="right"/>
            </w:pPr>
            <w:r>
              <w:rPr>
                <w:color w:val="2D4470"/>
                <w:sz w:val="18"/>
                <w:szCs w:val="18"/>
              </w:rPr>
              <w:t>—</w:t>
            </w:r>
          </w:p>
        </w:tc>
      </w:tr>
      <w:tr w:rsidR="00B12AEE" w14:paraId="728E467C"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12C3C48A" w14:textId="77777777" w:rsidR="00B12AEE" w:rsidRDefault="00000000">
            <w:r>
              <w:rPr>
                <w:b/>
                <w:bCs/>
                <w:sz w:val="18"/>
                <w:szCs w:val="18"/>
              </w:rPr>
              <w:t>Palm Oil (CIF Gulf)</w:t>
            </w:r>
          </w:p>
        </w:tc>
        <w:tc>
          <w:tcPr>
            <w:tcW w:w="14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7B5793F5" w14:textId="77777777" w:rsidR="00B12AEE" w:rsidRDefault="00000000">
            <w:r>
              <w:rPr>
                <w:color w:val="2D4470"/>
                <w:sz w:val="18"/>
                <w:szCs w:val="18"/>
              </w:rPr>
              <w:t>$/mt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69D41630"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086416C4"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02CA2331"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1FB4B4F1" w14:textId="77777777" w:rsidR="00B12AEE" w:rsidRDefault="00000000">
            <w:pPr>
              <w:jc w:val="right"/>
            </w:pPr>
            <w:r>
              <w:rPr>
                <w:color w:val="2D4470"/>
                <w:sz w:val="18"/>
                <w:szCs w:val="18"/>
              </w:rPr>
              <w:t>—</w:t>
            </w:r>
          </w:p>
        </w:tc>
      </w:tr>
      <w:tr w:rsidR="00B12AEE" w14:paraId="2EB17230"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5732F815" w14:textId="77777777" w:rsidR="00B12AEE" w:rsidRDefault="00000000">
            <w:r>
              <w:rPr>
                <w:b/>
                <w:bCs/>
                <w:sz w:val="18"/>
                <w:szCs w:val="18"/>
              </w:rPr>
              <w:t>D4 RIN</w:t>
            </w:r>
          </w:p>
        </w:tc>
        <w:tc>
          <w:tcPr>
            <w:tcW w:w="14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59643357" w14:textId="77777777" w:rsidR="00B12AEE" w:rsidRDefault="00000000">
            <w:r>
              <w:rPr>
                <w:color w:val="2D4470"/>
                <w:sz w:val="18"/>
                <w:szCs w:val="18"/>
              </w:rPr>
              <w:t>$/RIN</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74127827"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0398716C"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0A43FC74"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6D3894CD" w14:textId="77777777" w:rsidR="00B12AEE" w:rsidRDefault="00000000">
            <w:pPr>
              <w:jc w:val="right"/>
            </w:pPr>
            <w:r>
              <w:rPr>
                <w:color w:val="2D4470"/>
                <w:sz w:val="18"/>
                <w:szCs w:val="18"/>
              </w:rPr>
              <w:t>—</w:t>
            </w:r>
          </w:p>
        </w:tc>
      </w:tr>
      <w:tr w:rsidR="00B12AEE" w14:paraId="6DFAF984"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68765CB3" w14:textId="77777777" w:rsidR="00B12AEE" w:rsidRDefault="00000000">
            <w:r>
              <w:rPr>
                <w:b/>
                <w:bCs/>
                <w:sz w:val="18"/>
                <w:szCs w:val="18"/>
              </w:rPr>
              <w:t>D6 RIN</w:t>
            </w:r>
          </w:p>
        </w:tc>
        <w:tc>
          <w:tcPr>
            <w:tcW w:w="14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1FCF20E3" w14:textId="77777777" w:rsidR="00B12AEE" w:rsidRDefault="00000000">
            <w:r>
              <w:rPr>
                <w:color w:val="2D4470"/>
                <w:sz w:val="18"/>
                <w:szCs w:val="18"/>
              </w:rPr>
              <w:t>$/RIN</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682D607B"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2FDB3B7B"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0885ADA3"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0B62F26D" w14:textId="77777777" w:rsidR="00B12AEE" w:rsidRDefault="00000000">
            <w:pPr>
              <w:jc w:val="right"/>
            </w:pPr>
            <w:r>
              <w:rPr>
                <w:color w:val="2D4470"/>
                <w:sz w:val="18"/>
                <w:szCs w:val="18"/>
              </w:rPr>
              <w:t>—</w:t>
            </w:r>
          </w:p>
        </w:tc>
      </w:tr>
      <w:tr w:rsidR="00B12AEE" w14:paraId="1C4D125B"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50432674" w14:textId="77777777" w:rsidR="00B12AEE" w:rsidRDefault="00000000">
            <w:r>
              <w:rPr>
                <w:b/>
                <w:bCs/>
                <w:sz w:val="18"/>
                <w:szCs w:val="18"/>
              </w:rPr>
              <w:t>CA LCFS Credit</w:t>
            </w:r>
          </w:p>
        </w:tc>
        <w:tc>
          <w:tcPr>
            <w:tcW w:w="14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3B270064" w14:textId="77777777" w:rsidR="00B12AEE" w:rsidRDefault="00000000">
            <w:r>
              <w:rPr>
                <w:color w:val="2D4470"/>
                <w:sz w:val="18"/>
                <w:szCs w:val="18"/>
              </w:rPr>
              <w:t>$/mt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6246C468"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4FE9BFF1"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55756B8C"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14ABC263" w14:textId="77777777" w:rsidR="00B12AEE" w:rsidRDefault="00000000">
            <w:pPr>
              <w:jc w:val="right"/>
            </w:pPr>
            <w:r>
              <w:rPr>
                <w:color w:val="2D4470"/>
                <w:sz w:val="18"/>
                <w:szCs w:val="18"/>
              </w:rPr>
              <w:t>—</w:t>
            </w:r>
          </w:p>
        </w:tc>
      </w:tr>
      <w:tr w:rsidR="00B12AEE" w14:paraId="1B00C060"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53C5DDFC" w14:textId="77777777" w:rsidR="00B12AEE" w:rsidRDefault="00000000">
            <w:r>
              <w:rPr>
                <w:b/>
                <w:bCs/>
                <w:sz w:val="18"/>
                <w:szCs w:val="18"/>
              </w:rPr>
              <w:t>OR CFP Credit</w:t>
            </w:r>
          </w:p>
        </w:tc>
        <w:tc>
          <w:tcPr>
            <w:tcW w:w="14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68E1FDD6" w14:textId="77777777" w:rsidR="00B12AEE" w:rsidRDefault="00000000">
            <w:r>
              <w:rPr>
                <w:color w:val="2D4470"/>
                <w:sz w:val="18"/>
                <w:szCs w:val="18"/>
              </w:rPr>
              <w:t>$/mt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40D3ED28"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1D3DFF62"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6E7B22FF"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04FA8D06" w14:textId="77777777" w:rsidR="00B12AEE" w:rsidRDefault="00000000">
            <w:pPr>
              <w:jc w:val="right"/>
            </w:pPr>
            <w:r>
              <w:rPr>
                <w:color w:val="2D4470"/>
                <w:sz w:val="18"/>
                <w:szCs w:val="18"/>
              </w:rPr>
              <w:t>—</w:t>
            </w:r>
          </w:p>
        </w:tc>
      </w:tr>
      <w:tr w:rsidR="00B12AEE" w14:paraId="03127BF4"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06E0E843" w14:textId="77777777" w:rsidR="00B12AEE" w:rsidRDefault="00000000">
            <w:r>
              <w:rPr>
                <w:b/>
                <w:bCs/>
                <w:sz w:val="18"/>
                <w:szCs w:val="18"/>
              </w:rPr>
              <w:t>WA CFS Credit</w:t>
            </w:r>
          </w:p>
        </w:tc>
        <w:tc>
          <w:tcPr>
            <w:tcW w:w="14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7D3B0D74" w14:textId="77777777" w:rsidR="00B12AEE" w:rsidRDefault="00000000">
            <w:r>
              <w:rPr>
                <w:color w:val="2D4470"/>
                <w:sz w:val="18"/>
                <w:szCs w:val="18"/>
              </w:rPr>
              <w:t>$/mt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5D802768"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18749BD2"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4C8A955D"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7B90F4F6" w14:textId="77777777" w:rsidR="00B12AEE" w:rsidRDefault="00000000">
            <w:pPr>
              <w:jc w:val="right"/>
            </w:pPr>
            <w:r>
              <w:rPr>
                <w:color w:val="2D4470"/>
                <w:sz w:val="18"/>
                <w:szCs w:val="18"/>
              </w:rPr>
              <w:t>—</w:t>
            </w:r>
          </w:p>
        </w:tc>
      </w:tr>
      <w:tr w:rsidR="00B12AEE" w14:paraId="775C50CC"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7729F968" w14:textId="77777777" w:rsidR="00B12AEE" w:rsidRDefault="00000000">
            <w:r>
              <w:rPr>
                <w:b/>
                <w:bCs/>
                <w:sz w:val="18"/>
                <w:szCs w:val="18"/>
              </w:rPr>
              <w:t>ULSD (Gulf)</w:t>
            </w:r>
          </w:p>
        </w:tc>
        <w:tc>
          <w:tcPr>
            <w:tcW w:w="14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20520CB6" w14:textId="77777777" w:rsidR="00B12AEE" w:rsidRDefault="00000000">
            <w:r>
              <w:rPr>
                <w:color w:val="2D4470"/>
                <w:sz w:val="18"/>
                <w:szCs w:val="18"/>
              </w:rPr>
              <w:t>$/gal</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06BE6B53"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52281463"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66A2ED82"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137E8260" w14:textId="77777777" w:rsidR="00B12AEE" w:rsidRDefault="00000000">
            <w:pPr>
              <w:jc w:val="right"/>
            </w:pPr>
            <w:r>
              <w:rPr>
                <w:color w:val="2D4470"/>
                <w:sz w:val="18"/>
                <w:szCs w:val="18"/>
              </w:rPr>
              <w:t>—</w:t>
            </w:r>
          </w:p>
        </w:tc>
      </w:tr>
      <w:tr w:rsidR="00B12AEE" w14:paraId="014538BD"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2B949D98" w14:textId="77777777" w:rsidR="00B12AEE" w:rsidRDefault="00000000">
            <w:r>
              <w:rPr>
                <w:b/>
                <w:bCs/>
                <w:sz w:val="18"/>
                <w:szCs w:val="18"/>
              </w:rPr>
              <w:t>45Z Transfer Price</w:t>
            </w:r>
          </w:p>
        </w:tc>
        <w:tc>
          <w:tcPr>
            <w:tcW w:w="14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7F6E90E1" w14:textId="77777777" w:rsidR="00B12AEE" w:rsidRDefault="00000000">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4FB8FE93"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070B2A8B"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526BC181" w14:textId="77777777" w:rsidR="00B12AE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0AEB55BF" w14:textId="77777777" w:rsidR="00B12AEE" w:rsidRDefault="00000000">
            <w:pPr>
              <w:jc w:val="right"/>
            </w:pPr>
            <w:r>
              <w:rPr>
                <w:color w:val="2D4470"/>
                <w:sz w:val="18"/>
                <w:szCs w:val="18"/>
              </w:rPr>
              <w:t>—</w:t>
            </w:r>
          </w:p>
        </w:tc>
      </w:tr>
    </w:tbl>
    <w:p w14:paraId="579E4E8D" w14:textId="77777777" w:rsidR="00B12AEE" w:rsidRDefault="00000000">
      <w:pPr>
        <w:spacing w:before="60" w:after="240"/>
      </w:pPr>
      <w:r>
        <w:rPr>
          <w:i/>
          <w:iCs/>
          <w:color w:val="9B9588"/>
          <w:sz w:val="16"/>
          <w:szCs w:val="16"/>
        </w:rPr>
        <w:t xml:space="preserve">Sources: CBOT, USDA AMS, EPA EMTS, CARB, EIA. Prices as of </w:t>
      </w:r>
      <w:proofErr w:type="gramStart"/>
      <w:r>
        <w:rPr>
          <w:i/>
          <w:iCs/>
          <w:color w:val="9B9588"/>
          <w:sz w:val="16"/>
          <w:szCs w:val="16"/>
        </w:rPr>
        <w:t>market</w:t>
      </w:r>
      <w:proofErr w:type="gramEnd"/>
      <w:r>
        <w:rPr>
          <w:i/>
          <w:iCs/>
          <w:color w:val="9B9588"/>
          <w:sz w:val="16"/>
          <w:szCs w:val="16"/>
        </w:rPr>
        <w:t xml:space="preserve"> </w:t>
      </w:r>
      <w:proofErr w:type="gramStart"/>
      <w:r>
        <w:rPr>
          <w:i/>
          <w:iCs/>
          <w:color w:val="9B9588"/>
          <w:sz w:val="16"/>
          <w:szCs w:val="16"/>
        </w:rPr>
        <w:t>close</w:t>
      </w:r>
      <w:proofErr w:type="gramEnd"/>
      <w:r>
        <w:rPr>
          <w:i/>
          <w:iCs/>
          <w:color w:val="9B9588"/>
          <w:sz w:val="16"/>
          <w:szCs w:val="16"/>
        </w:rPr>
        <w:t xml:space="preserve"> Friday.</w:t>
      </w:r>
    </w:p>
    <w:p w14:paraId="6F385149" w14:textId="77777777" w:rsidR="00B12AEE" w:rsidRDefault="00B12AEE">
      <w:pPr>
        <w:pBdr>
          <w:bottom w:val="single" w:sz="4" w:space="1" w:color="C8A951"/>
        </w:pBdr>
        <w:spacing w:before="360" w:after="240"/>
      </w:pPr>
    </w:p>
    <w:p w14:paraId="5E934F8F" w14:textId="77777777" w:rsidR="00B12AEE" w:rsidRDefault="00000000">
      <w:pPr>
        <w:spacing w:before="120" w:after="40"/>
      </w:pPr>
      <w:r>
        <w:rPr>
          <w:b/>
          <w:bCs/>
          <w:color w:val="9B9588"/>
          <w:spacing w:val="80"/>
          <w:sz w:val="16"/>
          <w:szCs w:val="16"/>
        </w:rPr>
        <w:t>DISCLAIMER</w:t>
      </w:r>
    </w:p>
    <w:p w14:paraId="54600C78" w14:textId="77777777" w:rsidR="00B12AEE" w:rsidRDefault="00000000">
      <w:pPr>
        <w:spacing w:before="40" w:after="80"/>
      </w:pPr>
      <w:r>
        <w:rPr>
          <w:color w:val="9B9588"/>
          <w:sz w:val="16"/>
          <w:szCs w:val="16"/>
        </w:rPr>
        <w:t>This report is published by Round Lakes Companies LLC (“RLC”) for informational purposes only and does not constitute investment advice, a solicitation, or an offer to buy or sell any commodity, security, or derivative. The information contained herein is believed to be reliable but is not guaranteed as to accuracy or completeness. Past performance is not indicative of future results. RLC and its affiliates may hold positions in the commodities and instruments discussed in this report. All opinions expressed are subject to change without notice. Reproduction or redistribution without written permission is prohibited.</w:t>
      </w:r>
    </w:p>
    <w:sectPr w:rsidR="00B12AEE">
      <w:headerReference w:type="default" r:id="rId7"/>
      <w:footerReference w:type="default" r:id="rId8"/>
      <w:pgSz w:w="12240" w:h="15840"/>
      <w:pgMar w:top="144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28C06" w14:textId="77777777" w:rsidR="008338D5" w:rsidRDefault="008338D5">
      <w:r>
        <w:separator/>
      </w:r>
    </w:p>
  </w:endnote>
  <w:endnote w:type="continuationSeparator" w:id="0">
    <w:p w14:paraId="05E91524" w14:textId="77777777" w:rsidR="008338D5" w:rsidRDefault="008338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29BC9" w14:textId="77777777" w:rsidR="00B12AEE" w:rsidRDefault="00000000">
    <w:pPr>
      <w:pBdr>
        <w:top w:val="single" w:sz="1" w:space="4" w:color="E8E4DC"/>
      </w:pBdr>
      <w:tabs>
        <w:tab w:val="right" w:pos="9026"/>
      </w:tabs>
      <w:spacing w:before="120"/>
    </w:pPr>
    <w:proofErr w:type="gramStart"/>
    <w:r>
      <w:rPr>
        <w:color w:val="9B9588"/>
        <w:sz w:val="14"/>
        <w:szCs w:val="14"/>
      </w:rPr>
      <w:t>Confidential  |</w:t>
    </w:r>
    <w:proofErr w:type="gramEnd"/>
    <w:r>
      <w:rPr>
        <w:color w:val="9B9588"/>
        <w:sz w:val="14"/>
        <w:szCs w:val="14"/>
      </w:rPr>
      <w:t xml:space="preserve">  © 2026 Round Lakes Companies LLC</w:t>
    </w:r>
    <w:r>
      <w:tab/>
    </w:r>
    <w:r>
      <w:rPr>
        <w:color w:val="9B9588"/>
        <w:sz w:val="14"/>
        <w:szCs w:val="14"/>
      </w:rPr>
      <w:t xml:space="preserve">Page </w:t>
    </w:r>
    <w:r>
      <w:rPr>
        <w:color w:val="9B9588"/>
        <w:sz w:val="14"/>
        <w:szCs w:val="14"/>
      </w:rPr>
      <w:fldChar w:fldCharType="begin"/>
    </w:r>
    <w:r>
      <w:rPr>
        <w:color w:val="9B9588"/>
        <w:sz w:val="14"/>
        <w:szCs w:val="14"/>
      </w:rPr>
      <w:instrText>PAGE</w:instrText>
    </w:r>
    <w:r>
      <w:rPr>
        <w:color w:val="9B9588"/>
        <w:sz w:val="14"/>
        <w:szCs w:val="14"/>
      </w:rPr>
      <w:fldChar w:fldCharType="separate"/>
    </w:r>
    <w:r w:rsidR="00BB4890">
      <w:rPr>
        <w:noProof/>
        <w:color w:val="9B9588"/>
        <w:sz w:val="14"/>
        <w:szCs w:val="14"/>
      </w:rPr>
      <w:t>2</w:t>
    </w:r>
    <w:r>
      <w:rPr>
        <w:color w:val="9B958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5B834" w14:textId="77777777" w:rsidR="008338D5" w:rsidRDefault="008338D5">
      <w:r>
        <w:separator/>
      </w:r>
    </w:p>
  </w:footnote>
  <w:footnote w:type="continuationSeparator" w:id="0">
    <w:p w14:paraId="41EBAFA6" w14:textId="77777777" w:rsidR="008338D5" w:rsidRDefault="008338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2F228" w14:textId="77777777" w:rsidR="00B12AEE" w:rsidRDefault="00000000">
    <w:pPr>
      <w:pBdr>
        <w:bottom w:val="single" w:sz="2" w:space="4" w:color="C8A951"/>
      </w:pBdr>
      <w:tabs>
        <w:tab w:val="right" w:pos="9026"/>
      </w:tabs>
      <w:spacing w:after="120"/>
    </w:pPr>
    <w:r>
      <w:rPr>
        <w:b/>
        <w:bCs/>
        <w:spacing w:val="80"/>
        <w:sz w:val="16"/>
        <w:szCs w:val="16"/>
      </w:rPr>
      <w:t>THE FEEDSTOCK REPORT</w:t>
    </w:r>
    <w:r>
      <w:rPr>
        <w:i/>
        <w:iCs/>
        <w:color w:val="9B9588"/>
        <w:sz w:val="16"/>
        <w:szCs w:val="16"/>
      </w:rPr>
      <w:tab/>
      <w:t>Round Lakes Companies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381F71"/>
    <w:multiLevelType w:val="hybridMultilevel"/>
    <w:tmpl w:val="A6D605A8"/>
    <w:lvl w:ilvl="0" w:tplc="65583882">
      <w:start w:val="1"/>
      <w:numFmt w:val="bullet"/>
      <w:lvlText w:val="●"/>
      <w:lvlJc w:val="left"/>
      <w:pPr>
        <w:ind w:left="720" w:hanging="360"/>
      </w:pPr>
    </w:lvl>
    <w:lvl w:ilvl="1" w:tplc="2194AF48">
      <w:start w:val="1"/>
      <w:numFmt w:val="bullet"/>
      <w:lvlText w:val="○"/>
      <w:lvlJc w:val="left"/>
      <w:pPr>
        <w:ind w:left="1440" w:hanging="360"/>
      </w:pPr>
    </w:lvl>
    <w:lvl w:ilvl="2" w:tplc="F1F286F4">
      <w:start w:val="1"/>
      <w:numFmt w:val="bullet"/>
      <w:lvlText w:val="■"/>
      <w:lvlJc w:val="left"/>
      <w:pPr>
        <w:ind w:left="2160" w:hanging="360"/>
      </w:pPr>
    </w:lvl>
    <w:lvl w:ilvl="3" w:tplc="D834D712">
      <w:start w:val="1"/>
      <w:numFmt w:val="bullet"/>
      <w:lvlText w:val="●"/>
      <w:lvlJc w:val="left"/>
      <w:pPr>
        <w:ind w:left="2880" w:hanging="360"/>
      </w:pPr>
    </w:lvl>
    <w:lvl w:ilvl="4" w:tplc="5808B984">
      <w:start w:val="1"/>
      <w:numFmt w:val="bullet"/>
      <w:lvlText w:val="○"/>
      <w:lvlJc w:val="left"/>
      <w:pPr>
        <w:ind w:left="3600" w:hanging="360"/>
      </w:pPr>
    </w:lvl>
    <w:lvl w:ilvl="5" w:tplc="A00A17BA">
      <w:start w:val="1"/>
      <w:numFmt w:val="bullet"/>
      <w:lvlText w:val="■"/>
      <w:lvlJc w:val="left"/>
      <w:pPr>
        <w:ind w:left="4320" w:hanging="360"/>
      </w:pPr>
    </w:lvl>
    <w:lvl w:ilvl="6" w:tplc="A0208672">
      <w:start w:val="1"/>
      <w:numFmt w:val="bullet"/>
      <w:lvlText w:val="●"/>
      <w:lvlJc w:val="left"/>
      <w:pPr>
        <w:ind w:left="5040" w:hanging="360"/>
      </w:pPr>
    </w:lvl>
    <w:lvl w:ilvl="7" w:tplc="21EA5156">
      <w:start w:val="1"/>
      <w:numFmt w:val="bullet"/>
      <w:lvlText w:val="●"/>
      <w:lvlJc w:val="left"/>
      <w:pPr>
        <w:ind w:left="5760" w:hanging="360"/>
      </w:pPr>
    </w:lvl>
    <w:lvl w:ilvl="8" w:tplc="C5221FEA">
      <w:start w:val="1"/>
      <w:numFmt w:val="bullet"/>
      <w:lvlText w:val="●"/>
      <w:lvlJc w:val="left"/>
      <w:pPr>
        <w:ind w:left="6480" w:hanging="360"/>
      </w:pPr>
    </w:lvl>
  </w:abstractNum>
  <w:abstractNum w:abstractNumId="1" w15:restartNumberingAfterBreak="0">
    <w:nsid w:val="6CC8056E"/>
    <w:multiLevelType w:val="hybridMultilevel"/>
    <w:tmpl w:val="F17A6B14"/>
    <w:lvl w:ilvl="0" w:tplc="7430B19A">
      <w:start w:val="1"/>
      <w:numFmt w:val="bullet"/>
      <w:lvlText w:val="•"/>
      <w:lvlJc w:val="left"/>
      <w:pPr>
        <w:ind w:left="720" w:hanging="360"/>
      </w:pPr>
    </w:lvl>
    <w:lvl w:ilvl="1" w:tplc="044AF912">
      <w:numFmt w:val="decimal"/>
      <w:lvlText w:val=""/>
      <w:lvlJc w:val="left"/>
    </w:lvl>
    <w:lvl w:ilvl="2" w:tplc="D15EA990">
      <w:numFmt w:val="decimal"/>
      <w:lvlText w:val=""/>
      <w:lvlJc w:val="left"/>
    </w:lvl>
    <w:lvl w:ilvl="3" w:tplc="A3101452">
      <w:numFmt w:val="decimal"/>
      <w:lvlText w:val=""/>
      <w:lvlJc w:val="left"/>
    </w:lvl>
    <w:lvl w:ilvl="4" w:tplc="F284372A">
      <w:numFmt w:val="decimal"/>
      <w:lvlText w:val=""/>
      <w:lvlJc w:val="left"/>
    </w:lvl>
    <w:lvl w:ilvl="5" w:tplc="8D1858FE">
      <w:numFmt w:val="decimal"/>
      <w:lvlText w:val=""/>
      <w:lvlJc w:val="left"/>
    </w:lvl>
    <w:lvl w:ilvl="6" w:tplc="6144F912">
      <w:numFmt w:val="decimal"/>
      <w:lvlText w:val=""/>
      <w:lvlJc w:val="left"/>
    </w:lvl>
    <w:lvl w:ilvl="7" w:tplc="EF5E67E0">
      <w:numFmt w:val="decimal"/>
      <w:lvlText w:val=""/>
      <w:lvlJc w:val="left"/>
    </w:lvl>
    <w:lvl w:ilvl="8" w:tplc="91807AEE">
      <w:numFmt w:val="decimal"/>
      <w:lvlText w:val=""/>
      <w:lvlJc w:val="left"/>
    </w:lvl>
  </w:abstractNum>
  <w:num w:numId="1" w16cid:durableId="12325439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AEE"/>
    <w:rsid w:val="008338D5"/>
    <w:rsid w:val="008F07F8"/>
    <w:rsid w:val="00B12AEE"/>
    <w:rsid w:val="00BB48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D6349"/>
  <w15:docId w15:val="{0190C041-903C-4D05-A350-C32B31069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B2A4A"/>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semiHidden/>
    <w:unhideWhenUsed/>
    <w:qFormat/>
    <w:pPr>
      <w:spacing w:before="240" w:after="120"/>
      <w:outlineLvl w:val="1"/>
    </w:pPr>
    <w:rPr>
      <w:b/>
      <w:bCs/>
      <w:color w:val="2D447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1207</Words>
  <Characters>7377</Characters>
  <Application>Microsoft Office Word</Application>
  <DocSecurity>0</DocSecurity>
  <Lines>351</Lines>
  <Paragraphs>182</Paragraphs>
  <ScaleCrop>false</ScaleCrop>
  <Company/>
  <LinksUpToDate>false</LinksUpToDate>
  <CharactersWithSpaces>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Tore Alden</cp:lastModifiedBy>
  <cp:revision>2</cp:revision>
  <dcterms:created xsi:type="dcterms:W3CDTF">2026-04-08T07:38:00Z</dcterms:created>
  <dcterms:modified xsi:type="dcterms:W3CDTF">2026-04-08T07:38:00Z</dcterms:modified>
</cp:coreProperties>
</file>