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17C02" w14:textId="77777777" w:rsidR="00F2458F" w:rsidRPr="00F2458F" w:rsidRDefault="00F2458F" w:rsidP="00F2458F">
      <w:r w:rsidRPr="00F2458F">
        <w:rPr>
          <w:b/>
          <w:bCs/>
        </w:rPr>
        <w:t>The Signal</w:t>
      </w:r>
      <w:r w:rsidRPr="00F2458F">
        <w:t xml:space="preserve"> — you already have the concept nailed. A headline number or market narrative drops (USDA projects 17.3B </w:t>
      </w:r>
      <w:proofErr w:type="spellStart"/>
      <w:r w:rsidRPr="00F2458F">
        <w:t>lbs</w:t>
      </w:r>
      <w:proofErr w:type="spellEnd"/>
      <w:r w:rsidRPr="00F2458F">
        <w:t xml:space="preserve"> SBO biofuel use, D4 RINs crash 45%, etc.) and you show the audience how to stress-test it. Not "here's the news" but "here's what I'm looking at to decide if this is real." This is your flagship series because it demonstrates analytical depth — the thing that differentiates you from every other person reading the USDA press release on LinkedIn. Format: 90-120 sec video, thesis-driven, commit to 2-3 strongest stress-test variables. Frequency: whenever a major data release or market narrative warrants it, probably 2-4x/month.</w:t>
      </w:r>
    </w:p>
    <w:p w14:paraId="563F35C9" w14:textId="77777777" w:rsidR="00F2458F" w:rsidRPr="00F2458F" w:rsidRDefault="00F2458F" w:rsidP="00F2458F">
      <w:r w:rsidRPr="00F2458F">
        <w:rPr>
          <w:b/>
          <w:bCs/>
        </w:rPr>
        <w:t>The Stack</w:t>
      </w:r>
      <w:r w:rsidRPr="00F2458F">
        <w:t xml:space="preserve"> — directly born from the work we just did. This series breaks down how value stacks, margin structures, and cost curves </w:t>
      </w:r>
      <w:proofErr w:type="gramStart"/>
      <w:r w:rsidRPr="00F2458F">
        <w:t>actually work</w:t>
      </w:r>
      <w:proofErr w:type="gramEnd"/>
      <w:r w:rsidRPr="00F2458F">
        <w:t xml:space="preserve"> in renewable fuels, crush economics, cattle feeding, or any commodity chain where multiple revenue/cost layers determine profitability. "Here's what a gallon of renewable diesel is actually worth in California right now" with a visual breakdown of ULSD + RINs + LCFS + 45Z + cap-and-trade. Or "Here's what a cattle </w:t>
      </w:r>
      <w:proofErr w:type="spellStart"/>
      <w:r w:rsidRPr="00F2458F">
        <w:t>feeder's</w:t>
      </w:r>
      <w:proofErr w:type="spellEnd"/>
      <w:r w:rsidRPr="00F2458F">
        <w:t xml:space="preserve"> P&amp;L looks like at $195 fats." This is where your consulting expertise shows — you're teaching the audience to think in layers, not flat prices. Format: 90-120 sec video with a simple visual stack/waterfall. Frequency: 2-3x/month.</w:t>
      </w:r>
    </w:p>
    <w:p w14:paraId="51FF50C9" w14:textId="77777777" w:rsidR="00F2458F" w:rsidRPr="00F2458F" w:rsidRDefault="00F2458F" w:rsidP="00F2458F">
      <w:r w:rsidRPr="00F2458F">
        <w:rPr>
          <w:b/>
          <w:bCs/>
        </w:rPr>
        <w:t>The Disconnect</w:t>
      </w:r>
      <w:r w:rsidRPr="00F2458F">
        <w:t xml:space="preserve"> — when two things that should be moving together aren't, or when the market is pricing something that contradicts the fundamentals. The SBO price divergence is a perfect example. Corn basis says one thing, fund positioning says another. LCFS credits </w:t>
      </w:r>
      <w:proofErr w:type="gramStart"/>
      <w:r w:rsidRPr="00F2458F">
        <w:t>are at</w:t>
      </w:r>
      <w:proofErr w:type="gramEnd"/>
      <w:r w:rsidRPr="00F2458F">
        <w:t xml:space="preserve"> $66 but Oregon CFP </w:t>
      </w:r>
      <w:proofErr w:type="gramStart"/>
      <w:r w:rsidRPr="00F2458F">
        <w:t>is at</w:t>
      </w:r>
      <w:proofErr w:type="gramEnd"/>
      <w:r w:rsidRPr="00F2458F">
        <w:t xml:space="preserve"> $155 — why? This positions you as someone who sees the cracks before they become consensus. It's inherently interesting content because tension creates engagement — people want to know which side is right. Format: 60-90 sec video, identify the disconnect, state which side you think resolves. Frequency: 1-2x/month as opportunities arise.</w:t>
      </w:r>
    </w:p>
    <w:p w14:paraId="4ACB1705" w14:textId="77777777" w:rsidR="00F2458F" w:rsidRPr="00F2458F" w:rsidRDefault="00F2458F" w:rsidP="00F2458F">
      <w:r w:rsidRPr="00F2458F">
        <w:rPr>
          <w:b/>
          <w:bCs/>
        </w:rPr>
        <w:t>The Framework</w:t>
      </w:r>
      <w:r w:rsidRPr="00F2458F">
        <w:t xml:space="preserve"> — educational posts that give the audience a mental model they can reuse. "How to read a WASDE in 60 seconds." "The three numbers that actually matter in a crush margin." "Why </w:t>
      </w:r>
      <w:proofErr w:type="gramStart"/>
      <w:r w:rsidRPr="00F2458F">
        <w:t>stocks</w:t>
      </w:r>
      <w:proofErr w:type="gramEnd"/>
      <w:r w:rsidRPr="00F2458F">
        <w:t xml:space="preserve">-to-use ratios fail below 8%." This isn't news-reactive — it's evergreen analytical infrastructure. These are the posts that get saved and shared because people </w:t>
      </w:r>
      <w:proofErr w:type="gramStart"/>
      <w:r w:rsidRPr="00F2458F">
        <w:t>refer back</w:t>
      </w:r>
      <w:proofErr w:type="gramEnd"/>
      <w:r w:rsidRPr="00F2458F">
        <w:t xml:space="preserve"> to them. They also position RLC as a teaching authority, which is the entry point for consulting relationships. Format: 90-120 sec video or carousel/infographic. Frequency: 1-2x/month.</w:t>
      </w:r>
    </w:p>
    <w:p w14:paraId="6C3EF926" w14:textId="77777777" w:rsidR="00F2458F" w:rsidRPr="00F2458F" w:rsidRDefault="00F2458F" w:rsidP="00F2458F">
      <w:r w:rsidRPr="00F2458F">
        <w:rPr>
          <w:b/>
          <w:bCs/>
        </w:rPr>
        <w:t>The Watch</w:t>
      </w:r>
      <w:r w:rsidRPr="00F2458F">
        <w:t xml:space="preserve"> — a recurring, forward-looking post that flags what's coming in the next 1-2 weeks and what matters about it. "Three things I'm watching this week: Tuesday's NOPA crush report (will oil stocks confirm the drawdown?), Thursday's EPA RVO announcement timing rumors, and Brazil's soy harvest pace hitting 45% complete." Short, scannable, </w:t>
      </w:r>
      <w:r w:rsidRPr="00F2458F">
        <w:lastRenderedPageBreak/>
        <w:t>shows you're plugged into the calendar. This is low-effort, high-frequency content that keeps you visible between the deeper pieces. Format: short text post with maybe a simple graphic, or 45-60 sec video. Frequency: weekly, Monday morning.</w:t>
      </w:r>
    </w:p>
    <w:p w14:paraId="46E91AF2" w14:textId="77777777" w:rsidR="00F2458F" w:rsidRPr="00F2458F" w:rsidRDefault="00F2458F" w:rsidP="00F2458F">
      <w:r w:rsidRPr="00F2458F">
        <w:rPr>
          <w:b/>
          <w:bCs/>
        </w:rPr>
        <w:t>The Build</w:t>
      </w:r>
      <w:r w:rsidRPr="00F2458F">
        <w:t xml:space="preserve"> — behind-the-scenes content about what you're </w:t>
      </w:r>
      <w:proofErr w:type="gramStart"/>
      <w:r w:rsidRPr="00F2458F">
        <w:t>actually constructing</w:t>
      </w:r>
      <w:proofErr w:type="gramEnd"/>
      <w:r w:rsidRPr="00F2458F">
        <w:t xml:space="preserve"> at RLC. The AI agent architecture, the </w:t>
      </w:r>
      <w:proofErr w:type="spellStart"/>
      <w:r w:rsidRPr="00F2458F">
        <w:t>BioTrack</w:t>
      </w:r>
      <w:proofErr w:type="spellEnd"/>
      <w:r w:rsidRPr="00F2458F">
        <w:t xml:space="preserve"> railcar monitoring system, the data collection pipelines, the analytical models. This isn't commodity analysis — it's the "how we do it" story. Tech-forward audiences on LinkedIn eat this up, and it differentiates RLC from every other commodity shop that's still running on Bloomberg terminals and gut feel. It also attracts a completely different audience segment — fintech, </w:t>
      </w:r>
      <w:proofErr w:type="spellStart"/>
      <w:r w:rsidRPr="00F2458F">
        <w:t>agtech</w:t>
      </w:r>
      <w:proofErr w:type="spellEnd"/>
      <w:r w:rsidRPr="00F2458F">
        <w:t>, data engineering people who might become collaborators or clients. Format: text post with screenshot/diagram, or 60-90 sec video walkthrough. Frequency: 1-2x/month.</w:t>
      </w:r>
    </w:p>
    <w:p w14:paraId="77BB7E5E" w14:textId="77777777" w:rsidR="00F2458F" w:rsidRPr="00F2458F" w:rsidRDefault="00F2458F" w:rsidP="00F2458F">
      <w:r w:rsidRPr="00F2458F">
        <w:rPr>
          <w:b/>
          <w:bCs/>
        </w:rPr>
        <w:t>The Playbook</w:t>
      </w:r>
      <w:r w:rsidRPr="00F2458F">
        <w:t xml:space="preserve"> — longer-form posts that walk through a complete analytical process on a specific trade or market situation, after the fact. "How I would have analyzed the Feb 2026 SBO rally from start to finish." You show the full chain: identify the catalyst, check the fundamentals, run the </w:t>
      </w:r>
      <w:proofErr w:type="gramStart"/>
      <w:r w:rsidRPr="00F2458F">
        <w:t>value stack</w:t>
      </w:r>
      <w:proofErr w:type="gramEnd"/>
      <w:r w:rsidRPr="00F2458F">
        <w:t>, assess positioning, identify the risk. This is essentially a case study format that demonstrates the full RLC analytical toolkit. These take more effort but they're the posts that convert followers into consulting inquiries because they show exactly what a client engagement would look like. Format: carousel or long-form LinkedIn article with supporting video. Frequency: 1x/month.</w:t>
      </w:r>
    </w:p>
    <w:p w14:paraId="6EEBCEC9" w14:textId="77777777" w:rsidR="00F2458F" w:rsidRPr="00F2458F" w:rsidRDefault="00F2458F" w:rsidP="00F2458F">
      <w:r w:rsidRPr="00F2458F">
        <w:rPr>
          <w:b/>
          <w:bCs/>
        </w:rPr>
        <w:t>The Range</w:t>
      </w:r>
      <w:r w:rsidRPr="00F2458F">
        <w:t xml:space="preserve"> — specifically for the cattle/meats business as it develops. Market structure, seasonal patterns, feeding economics, placement dynamics, packer margins. This keeps the meats audience engaged separately from the biofuels crowd, and it builds the brand for RLC Meats before you have cattle on the ground. The name works both literally (cattle range) and analytically (price ranges, trading ranges). Format: same as other video series, 60-120 sec. Frequency: as RLC Meats develops, probably starting 1x/month.</w:t>
      </w:r>
    </w:p>
    <w:p w14:paraId="4C2A0E17" w14:textId="77777777" w:rsidR="004D1D0E" w:rsidRDefault="004D1D0E"/>
    <w:sectPr w:rsidR="004D1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8F"/>
    <w:rsid w:val="00007712"/>
    <w:rsid w:val="004D1D0E"/>
    <w:rsid w:val="006013A9"/>
    <w:rsid w:val="00665A6F"/>
    <w:rsid w:val="00F245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8A9A3"/>
  <w15:chartTrackingRefBased/>
  <w15:docId w15:val="{8581D68C-98CE-4250-91CF-01B7E400A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58F"/>
    <w:rPr>
      <w:rFonts w:eastAsiaTheme="majorEastAsia" w:cstheme="majorBidi"/>
      <w:color w:val="272727" w:themeColor="text1" w:themeTint="D8"/>
    </w:rPr>
  </w:style>
  <w:style w:type="paragraph" w:styleId="Title">
    <w:name w:val="Title"/>
    <w:basedOn w:val="Normal"/>
    <w:next w:val="Normal"/>
    <w:link w:val="TitleChar"/>
    <w:uiPriority w:val="10"/>
    <w:qFormat/>
    <w:rsid w:val="00F24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58F"/>
    <w:pPr>
      <w:spacing w:before="160"/>
      <w:jc w:val="center"/>
    </w:pPr>
    <w:rPr>
      <w:i/>
      <w:iCs/>
      <w:color w:val="404040" w:themeColor="text1" w:themeTint="BF"/>
    </w:rPr>
  </w:style>
  <w:style w:type="character" w:customStyle="1" w:styleId="QuoteChar">
    <w:name w:val="Quote Char"/>
    <w:basedOn w:val="DefaultParagraphFont"/>
    <w:link w:val="Quote"/>
    <w:uiPriority w:val="29"/>
    <w:rsid w:val="00F2458F"/>
    <w:rPr>
      <w:i/>
      <w:iCs/>
      <w:color w:val="404040" w:themeColor="text1" w:themeTint="BF"/>
    </w:rPr>
  </w:style>
  <w:style w:type="paragraph" w:styleId="ListParagraph">
    <w:name w:val="List Paragraph"/>
    <w:basedOn w:val="Normal"/>
    <w:uiPriority w:val="34"/>
    <w:qFormat/>
    <w:rsid w:val="00F2458F"/>
    <w:pPr>
      <w:ind w:left="720"/>
      <w:contextualSpacing/>
    </w:pPr>
  </w:style>
  <w:style w:type="character" w:styleId="IntenseEmphasis">
    <w:name w:val="Intense Emphasis"/>
    <w:basedOn w:val="DefaultParagraphFont"/>
    <w:uiPriority w:val="21"/>
    <w:qFormat/>
    <w:rsid w:val="00F2458F"/>
    <w:rPr>
      <w:i/>
      <w:iCs/>
      <w:color w:val="0F4761" w:themeColor="accent1" w:themeShade="BF"/>
    </w:rPr>
  </w:style>
  <w:style w:type="paragraph" w:styleId="IntenseQuote">
    <w:name w:val="Intense Quote"/>
    <w:basedOn w:val="Normal"/>
    <w:next w:val="Normal"/>
    <w:link w:val="IntenseQuoteChar"/>
    <w:uiPriority w:val="30"/>
    <w:qFormat/>
    <w:rsid w:val="00F24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58F"/>
    <w:rPr>
      <w:i/>
      <w:iCs/>
      <w:color w:val="0F4761" w:themeColor="accent1" w:themeShade="BF"/>
    </w:rPr>
  </w:style>
  <w:style w:type="character" w:styleId="IntenseReference">
    <w:name w:val="Intense Reference"/>
    <w:basedOn w:val="DefaultParagraphFont"/>
    <w:uiPriority w:val="32"/>
    <w:qFormat/>
    <w:rsid w:val="00F245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684</Words>
  <Characters>4318</Characters>
  <Application>Microsoft Office Word</Application>
  <DocSecurity>0</DocSecurity>
  <Lines>75</Lines>
  <Paragraphs>38</Paragraphs>
  <ScaleCrop>false</ScaleCrop>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2026-02-23T11:56:00Z</dcterms:created>
  <dcterms:modified xsi:type="dcterms:W3CDTF">2026-02-23T11:56:00Z</dcterms:modified>
</cp:coreProperties>
</file>