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A8520" w14:textId="73E4B8F4" w:rsidR="004D1D0E" w:rsidRPr="00B04443" w:rsidRDefault="00B04443">
      <w:pPr>
        <w:rPr>
          <w:rFonts w:ascii="Google Sans" w:hAnsi="Google Sans" w:cs="Google Sans"/>
        </w:rPr>
      </w:pPr>
      <w:r>
        <w:rPr>
          <w:rFonts w:ascii="Google Sans" w:hAnsi="Google Sans" w:cs="Google Sans"/>
        </w:rPr>
        <w:t>The US biomass-based diesel industry has been built during two periods of rapid expansion. The first, early this century</w:t>
      </w:r>
      <w:r w:rsidRPr="00B04443">
        <w:rPr>
          <w:rFonts w:ascii="Google Sans" w:hAnsi="Google Sans" w:cs="Google Sans"/>
        </w:rPr>
        <w:t xml:space="preserve"> </w:t>
      </w:r>
      <w:proofErr w:type="gramStart"/>
      <w:r w:rsidR="007213C7">
        <w:rPr>
          <w:rFonts w:ascii="Google Sans" w:hAnsi="Google Sans" w:cs="Google Sans"/>
        </w:rPr>
        <w:t>producers built</w:t>
      </w:r>
      <w:proofErr w:type="gramEnd"/>
      <w:r w:rsidR="007213C7">
        <w:rPr>
          <w:rFonts w:ascii="Google Sans" w:hAnsi="Google Sans" w:cs="Google Sans"/>
        </w:rPr>
        <w:t xml:space="preserve"> biodiesel plants during the expansion of capacity preceding the implementation of the Renewable Fuel Standard (RFS), growing domestic consumption of soybean oil </w:t>
      </w:r>
    </w:p>
    <w:sectPr w:rsidR="004D1D0E" w:rsidRPr="00B04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43"/>
    <w:rsid w:val="00007712"/>
    <w:rsid w:val="00055EDD"/>
    <w:rsid w:val="004D1D0E"/>
    <w:rsid w:val="00665A6F"/>
    <w:rsid w:val="007213C7"/>
    <w:rsid w:val="00AA0B1C"/>
    <w:rsid w:val="00B04443"/>
    <w:rsid w:val="00CB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9DF8E"/>
  <w15:chartTrackingRefBased/>
  <w15:docId w15:val="{AA3C2255-5BF9-45D2-8E52-757D95C36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4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2</cp:revision>
  <dcterms:created xsi:type="dcterms:W3CDTF">2026-06-06T10:13:00Z</dcterms:created>
  <dcterms:modified xsi:type="dcterms:W3CDTF">2026-06-12T09:53:00Z</dcterms:modified>
</cp:coreProperties>
</file>