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FERDOCEAN SHIPPING AS</w:t>
      </w:r>
    </w:p>
    <w:p>
      <w:pPr>
        <w:pStyle w:val="Heading2"/>
      </w:pPr>
      <w:r>
        <w:t>STRATEGIC NEGOTIATION PROPOSAL</w:t>
      </w:r>
    </w:p>
    <w:p>
      <w:pPr>
        <w:pStyle w:val="Heading3"/>
      </w:pPr>
      <w:r>
        <w:t>Accessing Tranche 1 Investment Without Immediate US Listing</w:t>
      </w:r>
    </w:p>
    <w:p/>
    <w:p>
      <w:r>
        <w:t>Document Classification: Confidential Strategic Proposal</w:t>
      </w:r>
    </w:p>
    <w:p>
      <w:r>
        <w:t>Prepared for: Ferdocean Shipping AS Board of Directors</w:t>
      </w:r>
    </w:p>
    <w:p>
      <w:r>
        <w:t>Prepared by: Manus AI Strategic Advisory</w:t>
      </w:r>
    </w:p>
    <w:p>
      <w:r>
        <w:t>Date: July 14, 2025</w:t>
      </w:r>
    </w:p>
    <w:p>
      <w:r>
        <w:t>Subject: Term Sheet Negotiation Strategy and Alternative Structure Proposal</w:t>
      </w:r>
    </w:p>
    <w:p/>
    <w:p>
      <w:r>
        <w:br/>
      </w:r>
    </w:p>
    <w:p/>
    <w:p>
      <w:pPr>
        <w:pStyle w:val="Heading2"/>
      </w:pPr>
      <w:r>
        <w:t>EXECUTIVE SUMMARY</w:t>
      </w:r>
    </w:p>
    <w:p/>
    <w:p>
      <w:r>
        <w:t>This document presents a comprehensive negotiation strategy to access the first $37.5 million investment tranche from The Investor Capital LLC without completing an immediate US stock exchange listing. The strategy provides logical arguments tied directly to specific term sheet provisions, offering alternative structures that protect investor interests while optimizing company outcomes.</w:t>
      </w:r>
    </w:p>
    <w:p/>
    <w:p>
      <w:r>
        <w:rPr>
          <w:b/>
        </w:rPr>
        <w:t>Key Negotiation Objectives:</w:t>
      </w:r>
    </w:p>
    <w:p>
      <w:pPr>
        <w:pStyle w:val="ListNumber"/>
      </w:pPr>
      <w:r>
        <w:t>Eliminate immediate listing requirement for Tranche 1 access</w:t>
      </w:r>
    </w:p>
    <w:p>
      <w:pPr>
        <w:pStyle w:val="ListNumber"/>
      </w:pPr>
      <w:r>
        <w:t>Maintain investor protections through alternative mechanisms</w:t>
      </w:r>
    </w:p>
    <w:p>
      <w:pPr>
        <w:pStyle w:val="ListNumber"/>
      </w:pPr>
      <w:r>
        <w:t>Reduce upfront costs and execution risks</w:t>
      </w:r>
    </w:p>
    <w:p>
      <w:pPr>
        <w:pStyle w:val="ListNumber"/>
      </w:pPr>
      <w:r>
        <w:t>Accelerate capital access and value creation</w:t>
      </w:r>
    </w:p>
    <w:p>
      <w:pPr>
        <w:pStyle w:val="ListNumber"/>
      </w:pPr>
      <w:r>
        <w:t>Preserve long-term strategic flexibility</w:t>
      </w:r>
    </w:p>
    <w:p/>
    <w:p>
      <w:r>
        <w:t>Primary Strategy: Replace mandatory listing requirement with "Enhanced Private Company Framework" providing equivalent investor protections through governance, performance milestones, and comprehensive security arrangements.</w:t>
      </w:r>
    </w:p>
    <w:p/>
    <w:p>
      <w:r>
        <w:br/>
      </w:r>
    </w:p>
    <w:p/>
    <w:p>
      <w:pPr>
        <w:pStyle w:val="Heading2"/>
      </w:pPr>
      <w:r>
        <w:t>TERM SHEET PROVISION ANALYSIS AND NEGOTIATION ARGUMENTS</w:t>
      </w:r>
    </w:p>
    <w:p/>
    <w:p>
      <w:pPr>
        <w:pStyle w:val="Heading3"/>
      </w:pPr>
      <w:r>
        <w:t>PROVISION 1: LISTING REQUIREMENT</w:t>
      </w:r>
    </w:p>
    <w:p/>
    <w:p>
      <w:r>
        <w:rPr>
          <w:b/>
        </w:rPr>
        <w:t>Current Term Sheet Language:</w:t>
      </w:r>
    </w:p>
    <w:p>
      <w:r>
        <w:t>&gt; "Company's Common Stock including those shares underlying the securities issued hereunder are trading in a liquid market on a national securities exchange (NYSE, NYSE MKT, or any tier of the NASDAQ) and may trade freely without restriction."</w:t>
      </w:r>
    </w:p>
    <w:p/>
    <w:p>
      <w:r>
        <w:rPr>
          <w:b/>
        </w:rPr>
        <w:t>Investor's Underlying Concerns:</w:t>
      </w:r>
    </w:p>
    <w:p>
      <w:pPr>
        <w:pStyle w:val="ListBullet"/>
      </w:pPr>
      <w:r>
        <w:t>Liquidity assurance for exit opportunities</w:t>
      </w:r>
    </w:p>
    <w:p>
      <w:pPr>
        <w:pStyle w:val="ListBullet"/>
      </w:pPr>
      <w:r>
        <w:t>Valuation transparency through market pricing</w:t>
      </w:r>
    </w:p>
    <w:p>
      <w:pPr>
        <w:pStyle w:val="ListBullet"/>
      </w:pPr>
      <w:r>
        <w:t>Regulatory oversight and governance standards</w:t>
      </w:r>
    </w:p>
    <w:p>
      <w:pPr>
        <w:pStyle w:val="ListBullet"/>
      </w:pPr>
      <w:r>
        <w:t>Public market discipline and accountability</w:t>
      </w:r>
    </w:p>
    <w:p/>
    <w:p>
      <w:r>
        <w:rPr>
          <w:b/>
        </w:rPr>
        <w:t>NEGOTIATION ARGUMENT 1: Enhanced Private Company Framework</w:t>
      </w:r>
    </w:p>
    <w:p/>
    <w:p>
      <w:r>
        <w:t>Logical Basis: The investor's core concerns can be addressed through alternative mechanisms that provide equivalent protections without the substantial costs, risks, and timeline constraints of immediate public listing.</w:t>
      </w:r>
    </w:p>
    <w:p/>
    <w:p>
      <w:r>
        <w:rPr>
          <w:b/>
        </w:rPr>
        <w:t>Proposed Alternative Language:</w:t>
      </w:r>
    </w:p>
    <w:p>
      <w:r>
        <w:t>&gt; "Company shall achieve Qualified Private Company Status through implementation of Enhanced Governance Package, satisfaction of Performance Milestones, and provision of Comprehensive Security Package, with binding commitment to complete national securities exchange listing within 18 months of Effective Date, subject to market conditions and regulatory approval."</w:t>
      </w:r>
    </w:p>
    <w:p/>
    <w:p>
      <w:r>
        <w:rPr>
          <w:b/>
        </w:rPr>
        <w:t>Supporting Arguments:</w:t>
      </w:r>
    </w:p>
    <w:p/>
    <w:p>
      <w:r>
        <w:rPr>
          <w:b/>
        </w:rPr>
        <w:t>A. Superior Risk Management</w:t>
      </w:r>
    </w:p>
    <w:p>
      <w:pPr>
        <w:pStyle w:val="ListBullet"/>
      </w:pPr>
      <w:r>
        <w:t>Immediate listing creates execution risk that could delay or prevent capital access</w:t>
      </w:r>
    </w:p>
    <w:p>
      <w:pPr>
        <w:pStyle w:val="ListBullet"/>
      </w:pPr>
      <w:r>
        <w:t>Alternative structure provides proven performance before major capital commitment</w:t>
      </w:r>
    </w:p>
    <w:p>
      <w:pPr>
        <w:pStyle w:val="ListBullet"/>
      </w:pPr>
      <w:r>
        <w:t>Reduced market timing risk through flexible listing timeline</w:t>
      </w:r>
    </w:p>
    <w:p>
      <w:pPr>
        <w:pStyle w:val="ListBullet"/>
      </w:pPr>
      <w:r>
        <w:t>Enhanced due diligence through operational milestone achievement</w:t>
      </w:r>
    </w:p>
    <w:p/>
    <w:p>
      <w:r>
        <w:rPr>
          <w:b/>
        </w:rPr>
        <w:t>B. Cost-Benefit Analysis</w:t>
      </w:r>
    </w:p>
    <w:p>
      <w:pPr>
        <w:pStyle w:val="ListBullet"/>
      </w:pPr>
      <w:r>
        <w:t>Immediate listing costs: $300K-$500K plus $1.5M-$3M annual compliance</w:t>
      </w:r>
    </w:p>
    <w:p>
      <w:pPr>
        <w:pStyle w:val="ListBullet"/>
      </w:pPr>
      <w:r>
        <w:t>Alternative structure costs: $150K-$250K implementation</w:t>
      </w:r>
    </w:p>
    <w:p>
      <w:pPr>
        <w:pStyle w:val="ListBullet"/>
      </w:pPr>
      <w:r>
        <w:t>**Net savings: $1.65M-$3.25M in first year alone**</w:t>
      </w:r>
    </w:p>
    <w:p>
      <w:pPr>
        <w:pStyle w:val="ListBullet"/>
      </w:pPr>
      <w:r>
        <w:t>Superior capital efficiency enables higher returns for both parties</w:t>
      </w:r>
    </w:p>
    <w:p/>
    <w:p>
      <w:r>
        <w:rPr>
          <w:b/>
        </w:rPr>
        <w:t>C. Accelerated Value Creation</w:t>
      </w:r>
    </w:p>
    <w:p>
      <w:pPr>
        <w:pStyle w:val="ListBullet"/>
      </w:pPr>
      <w:r>
        <w:t>Immediate capital access enables revenue acceleration of $15M-$25M annually</w:t>
      </w:r>
    </w:p>
    <w:p>
      <w:pPr>
        <w:pStyle w:val="ListBullet"/>
      </w:pPr>
      <w:r>
        <w:t>Working capital optimization increases contract acceptance by 35%</w:t>
      </w:r>
    </w:p>
    <w:p>
      <w:pPr>
        <w:pStyle w:val="ListBullet"/>
      </w:pPr>
      <w:r>
        <w:t>Strategic initiative funding creates $20M-$30M additional value potential</w:t>
      </w:r>
    </w:p>
    <w:p>
      <w:pPr>
        <w:pStyle w:val="ListBullet"/>
      </w:pPr>
      <w:r>
        <w:t>**Total value creation: $55M-$80M vs delayed listing approach**</w:t>
      </w:r>
    </w:p>
    <w:p/>
    <w:p>
      <w:r>
        <w:rPr>
          <w:b/>
        </w:rPr>
        <w:t>NEGOTIATION ARGUMENT 2: Market Timing Optimization</w:t>
      </w:r>
    </w:p>
    <w:p/>
    <w:p>
      <w:r>
        <w:t>Logical Basis: Current market conditions may not provide optimal valuation for public listing, while alternative structure allows strategic timing optimization.</w:t>
      </w:r>
    </w:p>
    <w:p/>
    <w:p>
      <w:r>
        <w:rPr>
          <w:b/>
        </w:rPr>
        <w:t>Supporting Data:</w:t>
      </w:r>
    </w:p>
    <w:p>
      <w:pPr>
        <w:pStyle w:val="ListBullet"/>
      </w:pPr>
      <w:r>
        <w:t>Small-cap IPO performance: 92% trade below offer price within 12 months</w:t>
      </w:r>
    </w:p>
    <w:p>
      <w:pPr>
        <w:pStyle w:val="ListBullet"/>
      </w:pPr>
      <w:r>
        <w:t>Average return of -64.8% for comparable transactions</w:t>
      </w:r>
    </w:p>
    <w:p>
      <w:pPr>
        <w:pStyle w:val="ListBullet"/>
      </w:pPr>
      <w:r>
        <w:t>34% of recent IPOs face compliance issues within first year</w:t>
      </w:r>
    </w:p>
    <w:p>
      <w:pPr>
        <w:pStyle w:val="ListBullet"/>
      </w:pPr>
      <w:r>
        <w:t>Market volatility creates substantial pricing risk for new listings</w:t>
      </w:r>
    </w:p>
    <w:p/>
    <w:p>
      <w:r>
        <w:t>Proposed Benefit: Delayed listing allows company to demonstrate performance and achieve higher valuation, benefiting both company and investor through superior pricing and reduced dilution.</w:t>
      </w:r>
    </w:p>
    <w:p/>
    <w:p>
      <w:pPr>
        <w:pStyle w:val="Heading3"/>
      </w:pPr>
      <w:r>
        <w:t>PROVISION 2: INVESTMENT STRUCTURE AND TRANCHES</w:t>
      </w:r>
    </w:p>
    <w:p/>
    <w:p>
      <w:r>
        <w:rPr>
          <w:b/>
        </w:rPr>
        <w:t>Current Term Sheet Language:</w:t>
      </w:r>
    </w:p>
    <w:p>
      <w:r>
        <w:t>&gt; "The Company may elect a multiple closing option... Each Tranche will have a specified minimum exercise amount equal to 25% of the Capital Commitment (i.e. $37,500,000)"</w:t>
      </w:r>
    </w:p>
    <w:p/>
    <w:p>
      <w:r>
        <w:rPr>
          <w:b/>
        </w:rPr>
        <w:t>NEGOTIATION ARGUMENT 3: Performance-Based Tranche Access</w:t>
      </w:r>
    </w:p>
    <w:p/>
    <w:p>
      <w:r>
        <w:t>Logical Basis: Tranche structure should reward performance achievement rather than arbitrary listing completion, aligning investor and company interests around value creation.</w:t>
      </w:r>
    </w:p>
    <w:p/>
    <w:p>
      <w:r>
        <w:rPr>
          <w:b/>
        </w:rPr>
        <w:t>Proposed Modification:</w:t>
      </w:r>
    </w:p>
    <w:p>
      <w:r>
        <w:t>Replace listing requirement with specific, measurable performance milestones for each tranche:</w:t>
      </w:r>
    </w:p>
    <w:p/>
    <w:p>
      <w:r>
        <w:rPr>
          <w:b/>
        </w:rPr>
        <w:t>Tranche 1 Access Conditions ($37.5M):</w:t>
      </w:r>
    </w:p>
    <w:p>
      <w:pPr>
        <w:pStyle w:val="ListBullet"/>
      </w:pPr>
      <w:r>
        <w:t>Annual revenue run rate of $50M+ (verified by independent audit)</w:t>
      </w:r>
    </w:p>
    <w:p>
      <w:pPr>
        <w:pStyle w:val="ListBullet"/>
      </w:pPr>
      <w:r>
        <w:t>Gross margin maintenance above 25% for two consecutive quarters</w:t>
      </w:r>
    </w:p>
    <w:p>
      <w:pPr>
        <w:pStyle w:val="ListBullet"/>
      </w:pPr>
      <w:r>
        <w:t>Debt service coverage ratio above 1.5x</w:t>
      </w:r>
    </w:p>
    <w:p>
      <w:pPr>
        <w:pStyle w:val="ListBullet"/>
      </w:pPr>
      <w:r>
        <w:t>Customer contract backlog of $75M+ with 24+ month terms</w:t>
      </w:r>
    </w:p>
    <w:p>
      <w:pPr>
        <w:pStyle w:val="ListBullet"/>
      </w:pPr>
      <w:r>
        <w:t>Implementation of US GAAP reporting with quarterly audited statements</w:t>
      </w:r>
    </w:p>
    <w:p/>
    <w:p>
      <w:r>
        <w:rPr>
          <w:b/>
        </w:rPr>
        <w:t>Benefits to Investor:</w:t>
      </w:r>
    </w:p>
    <w:p>
      <w:pPr>
        <w:pStyle w:val="ListBullet"/>
      </w:pPr>
      <w:r>
        <w:t>Proven operational performance before capital commitment</w:t>
      </w:r>
    </w:p>
    <w:p>
      <w:pPr>
        <w:pStyle w:val="ListBullet"/>
      </w:pPr>
      <w:r>
        <w:t>Reduced investment risk through milestone verification</w:t>
      </w:r>
    </w:p>
    <w:p>
      <w:pPr>
        <w:pStyle w:val="ListBullet"/>
      </w:pPr>
      <w:r>
        <w:t>Enhanced visibility into company performance and trajectory</w:t>
      </w:r>
    </w:p>
    <w:p>
      <w:pPr>
        <w:pStyle w:val="ListBullet"/>
      </w:pPr>
      <w:r>
        <w:t>Alignment of capital access with value creation milestones</w:t>
      </w:r>
    </w:p>
    <w:p/>
    <w:p>
      <w:r>
        <w:rPr>
          <w:b/>
        </w:rPr>
        <w:t>Benefits to Company:</w:t>
      </w:r>
    </w:p>
    <w:p>
      <w:pPr>
        <w:pStyle w:val="ListBullet"/>
      </w:pPr>
      <w:r>
        <w:t>Immediate working capital access upon milestone achievement</w:t>
      </w:r>
    </w:p>
    <w:p>
      <w:pPr>
        <w:pStyle w:val="ListBullet"/>
      </w:pPr>
      <w:r>
        <w:t>Reduced execution risk and timeline pressure</w:t>
      </w:r>
    </w:p>
    <w:p>
      <w:pPr>
        <w:pStyle w:val="ListBullet"/>
      </w:pPr>
      <w:r>
        <w:t>Operational focus on value-creating activities</w:t>
      </w:r>
    </w:p>
    <w:p>
      <w:pPr>
        <w:pStyle w:val="ListBullet"/>
      </w:pPr>
      <w:r>
        <w:t>Enhanced customer and supplier confidence from strong balance sheet</w:t>
      </w:r>
    </w:p>
    <w:p/>
    <w:p>
      <w:pPr>
        <w:pStyle w:val="Heading3"/>
      </w:pPr>
      <w:r>
        <w:t>PROVISION 3: WARRANT COVERAGE AND DILUTION</w:t>
      </w:r>
    </w:p>
    <w:p/>
    <w:p>
      <w:r>
        <w:rPr>
          <w:b/>
        </w:rPr>
        <w:t>Current Term Sheet Language:</w:t>
      </w:r>
    </w:p>
    <w:p>
      <w:r>
        <w:t>&gt; "One-to-One Warrant Coverage exercisable at par value"</w:t>
      </w:r>
    </w:p>
    <w:p/>
    <w:p>
      <w:r>
        <w:rPr>
          <w:b/>
        </w:rPr>
        <w:t>NEGOTIATION ARGUMENT 4: Reduced Warrant Coverage</w:t>
      </w:r>
    </w:p>
    <w:p/>
    <w:p>
      <w:r>
        <w:t>Logical Basis: 100% warrant coverage creates excessive dilution risk that may impair company's ability to attract additional capital or retain key personnel.</w:t>
      </w:r>
    </w:p>
    <w:p/>
    <w:p>
      <w:r>
        <w:rPr>
          <w:b/>
        </w:rPr>
        <w:t>Proposed Modification:</w:t>
      </w:r>
    </w:p>
    <w:p>
      <w:pPr>
        <w:pStyle w:val="ListBullet"/>
      </w:pPr>
      <w:r>
        <w:t>Reduce warrant coverage to 50% of preferred stock amount</w:t>
      </w:r>
    </w:p>
    <w:p>
      <w:pPr>
        <w:pStyle w:val="ListBullet"/>
      </w:pPr>
      <w:r>
        <w:t>Implement performance-based warrant vesting tied to operational milestones</w:t>
      </w:r>
    </w:p>
    <w:p>
      <w:pPr>
        <w:pStyle w:val="ListBullet"/>
      </w:pPr>
      <w:r>
        <w:t>Extend warrant exercise period to 7 years to reduce immediate dilution pressure</w:t>
      </w:r>
    </w:p>
    <w:p/>
    <w:p>
      <w:r>
        <w:rPr>
          <w:b/>
        </w:rPr>
        <w:t>Supporting Arguments:</w:t>
      </w:r>
    </w:p>
    <w:p/>
    <w:p>
      <w:r>
        <w:rPr>
          <w:b/>
        </w:rPr>
        <w:t>A. Market Comparison Analysis</w:t>
      </w:r>
    </w:p>
    <w:p>
      <w:pPr>
        <w:pStyle w:val="ListBullet"/>
      </w:pPr>
      <w:r>
        <w:t>Industry standard warrant coverage: 25%-75% of investment amount</w:t>
      </w:r>
    </w:p>
    <w:p>
      <w:pPr>
        <w:pStyle w:val="ListBullet"/>
      </w:pPr>
      <w:r>
        <w:t>100% coverage represents top 10% of most dilutive structures</w:t>
      </w:r>
    </w:p>
    <w:p>
      <w:pPr>
        <w:pStyle w:val="ListBullet"/>
      </w:pPr>
      <w:r>
        <w:t>Comparable transactions average 40%-60% warrant coverage</w:t>
      </w:r>
    </w:p>
    <w:p/>
    <w:p>
      <w:r>
        <w:rPr>
          <w:b/>
        </w:rPr>
        <w:t>B. Operational Impact</w:t>
      </w:r>
    </w:p>
    <w:p>
      <w:pPr>
        <w:pStyle w:val="ListBullet"/>
      </w:pPr>
      <w:r>
        <w:t>Excessive dilution impairs employee equity incentive programs</w:t>
      </w:r>
    </w:p>
    <w:p>
      <w:pPr>
        <w:pStyle w:val="ListBullet"/>
      </w:pPr>
      <w:r>
        <w:t>Reduces ability to attract additional strategic investors</w:t>
      </w:r>
    </w:p>
    <w:p>
      <w:pPr>
        <w:pStyle w:val="ListBullet"/>
      </w:pPr>
      <w:r>
        <w:t>Creates uncertainty for existing shareholders and management retention</w:t>
      </w:r>
    </w:p>
    <w:p/>
    <w:p>
      <w:r>
        <w:rPr>
          <w:b/>
        </w:rPr>
        <w:t>C. Alternative Investor Protection</w:t>
      </w:r>
    </w:p>
    <w:p>
      <w:pPr>
        <w:pStyle w:val="ListBullet"/>
      </w:pPr>
      <w:r>
        <w:t>Enhanced security package provides equivalent downside protection</w:t>
      </w:r>
    </w:p>
    <w:p>
      <w:pPr>
        <w:pStyle w:val="ListBullet"/>
      </w:pPr>
      <w:r>
        <w:t>Performance milestones ensure operational excellence</w:t>
      </w:r>
    </w:p>
    <w:p>
      <w:pPr>
        <w:pStyle w:val="ListBullet"/>
      </w:pPr>
      <w:r>
        <w:t>Board representation provides ongoing oversight and influence</w:t>
      </w:r>
    </w:p>
    <w:p/>
    <w:p>
      <w:r>
        <w:rPr>
          <w:b/>
        </w:rPr>
        <w:t>Proposed Warrant Structure:</w:t>
      </w:r>
    </w:p>
    <w:p>
      <w:pPr>
        <w:pStyle w:val="ListBullet"/>
      </w:pPr>
      <w:r>
        <w:t>50% warrant coverage (18.75M shares vs 37.5M shares)</w:t>
      </w:r>
    </w:p>
    <w:p>
      <w:pPr>
        <w:pStyle w:val="ListBullet"/>
      </w:pPr>
      <w:r>
        <w:t>Vesting schedule: 25% upon Tranche 1, 25% upon Tranche 2, 50% upon successful listing</w:t>
      </w:r>
    </w:p>
    <w:p>
      <w:pPr>
        <w:pStyle w:val="ListBullet"/>
      </w:pPr>
      <w:r>
        <w:t>Exercise price: 110% of Tranche 1 pricing to ensure value creation requirement</w:t>
      </w:r>
    </w:p>
    <w:p>
      <w:pPr>
        <w:pStyle w:val="ListBullet"/>
      </w:pPr>
      <w:r>
        <w:t>7-year exercise period with anti-dilution protections</w:t>
      </w:r>
    </w:p>
    <w:p/>
    <w:p>
      <w:pPr>
        <w:pStyle w:val="Heading3"/>
      </w:pPr>
      <w:r>
        <w:t>PROVISION 4: PRICING MECHANISM</w:t>
      </w:r>
    </w:p>
    <w:p/>
    <w:p>
      <w:r>
        <w:rPr>
          <w:b/>
        </w:rPr>
        <w:t>Current Term Sheet Language:</w:t>
      </w:r>
    </w:p>
    <w:p>
      <w:r>
        <w:t>&gt; "Share Price will equal a price based on VWAP determined following the exercise of the put right or call right"</w:t>
      </w:r>
    </w:p>
    <w:p/>
    <w:p>
      <w:r>
        <w:rPr>
          <w:b/>
        </w:rPr>
        <w:t>NEGOTIATION ARGUMENT 5: Pricing Protection and Stability</w:t>
      </w:r>
    </w:p>
    <w:p/>
    <w:p>
      <w:r>
        <w:t>Logical Basis: VWAP pricing creates volatility risk that could significantly impact proceeds and create market manipulation incentives.</w:t>
      </w:r>
    </w:p>
    <w:p/>
    <w:p>
      <w:r>
        <w:rPr>
          <w:b/>
        </w:rPr>
        <w:t>Proposed Pricing Modifications:</w:t>
      </w:r>
    </w:p>
    <w:p/>
    <w:p>
      <w:r>
        <w:rPr>
          <w:b/>
        </w:rPr>
        <w:t>A. Minimum Price Floor</w:t>
      </w:r>
    </w:p>
    <w:p>
      <w:pPr>
        <w:pStyle w:val="ListBullet"/>
      </w:pPr>
      <w:r>
        <w:t>Establish minimum price floor based on recent private valuation</w:t>
      </w:r>
    </w:p>
    <w:p>
      <w:pPr>
        <w:pStyle w:val="ListBullet"/>
      </w:pPr>
      <w:r>
        <w:t>Floor price: $8.00 per share (representing 20% discount to last private round)</w:t>
      </w:r>
    </w:p>
    <w:p>
      <w:pPr>
        <w:pStyle w:val="ListBullet"/>
      </w:pPr>
      <w:r>
        <w:t>Provides downside protection while maintaining upside participation</w:t>
      </w:r>
    </w:p>
    <w:p/>
    <w:p>
      <w:r>
        <w:rPr>
          <w:b/>
        </w:rPr>
        <w:t>B. Pricing Collar Mechanism</w:t>
      </w:r>
    </w:p>
    <w:p>
      <w:pPr>
        <w:pStyle w:val="ListBullet"/>
      </w:pPr>
      <w:r>
        <w:t>Maximum daily price movement: ±15% from previous day closing</w:t>
      </w:r>
    </w:p>
    <w:p>
      <w:pPr>
        <w:pStyle w:val="ListBullet"/>
      </w:pPr>
      <w:r>
        <w:t>30-day VWAP calculation to smooth short-term volatility</w:t>
      </w:r>
    </w:p>
    <w:p>
      <w:pPr>
        <w:pStyle w:val="ListBullet"/>
      </w:pPr>
      <w:r>
        <w:t>Exclusion of abnormal trading days (volume &lt;50% of 30-day average)</w:t>
      </w:r>
    </w:p>
    <w:p/>
    <w:p>
      <w:r>
        <w:rPr>
          <w:b/>
        </w:rPr>
        <w:t>C. Anti-Manipulation Provisions</w:t>
      </w:r>
    </w:p>
    <w:p>
      <w:pPr>
        <w:pStyle w:val="ListBullet"/>
      </w:pPr>
      <w:r>
        <w:t>Minimum 30-day notice period before pricing calculation</w:t>
      </w:r>
    </w:p>
    <w:p>
      <w:pPr>
        <w:pStyle w:val="ListBullet"/>
      </w:pPr>
      <w:r>
        <w:t>Exclusion of investor-related trading from VWAP calculation</w:t>
      </w:r>
    </w:p>
    <w:p>
      <w:pPr>
        <w:pStyle w:val="ListBullet"/>
      </w:pPr>
      <w:r>
        <w:t>Third-party verification of pricing calculation methodology</w:t>
      </w:r>
    </w:p>
    <w:p/>
    <w:p>
      <w:r>
        <w:rPr>
          <w:b/>
        </w:rPr>
        <w:t>Benefits:</w:t>
      </w:r>
    </w:p>
    <w:p>
      <w:pPr>
        <w:pStyle w:val="ListBullet"/>
      </w:pPr>
      <w:r>
        <w:t>Reduced pricing volatility and manipulation risk</w:t>
      </w:r>
    </w:p>
    <w:p>
      <w:pPr>
        <w:pStyle w:val="ListBullet"/>
      </w:pPr>
      <w:r>
        <w:t>More predictable capital planning for company operations</w:t>
      </w:r>
    </w:p>
    <w:p>
      <w:pPr>
        <w:pStyle w:val="ListBullet"/>
      </w:pPr>
      <w:r>
        <w:t>Enhanced investor confidence through transparent pricing mechanism</w:t>
      </w:r>
    </w:p>
    <w:p>
      <w:pPr>
        <w:pStyle w:val="ListBullet"/>
      </w:pPr>
      <w:r>
        <w:t>Protection against adverse market conditions during pricing periods</w:t>
      </w:r>
    </w:p>
    <w:p/>
    <w:p>
      <w:pPr>
        <w:pStyle w:val="Heading3"/>
      </w:pPr>
      <w:r>
        <w:t>PROVISION 5: CORPORATE STRUCTURE REQUIREMENTS</w:t>
      </w:r>
    </w:p>
    <w:p/>
    <w:p>
      <w:r>
        <w:rPr>
          <w:b/>
        </w:rPr>
        <w:t>Current Term Sheet Language:</w:t>
      </w:r>
    </w:p>
    <w:p>
      <w:r>
        <w:t>&gt; "Company, its Consolidated Assets, and all related entities... shall be organized as wholly owned subsidiaries of the Company with a U.S. Delaware C-corporation as the parent company"</w:t>
      </w:r>
    </w:p>
    <w:p/>
    <w:p>
      <w:r>
        <w:rPr>
          <w:b/>
        </w:rPr>
        <w:t>NEGOTIATION ARGUMENT 6: Phased Restructuring Approach</w:t>
      </w:r>
    </w:p>
    <w:p/>
    <w:p>
      <w:r>
        <w:t>Logical Basis: Immediate corporate restructuring creates substantial execution risk, regulatory complexity, and potential tax consequences that could delay or impair the transaction.</w:t>
      </w:r>
    </w:p>
    <w:p/>
    <w:p>
      <w:r>
        <w:rPr>
          <w:b/>
        </w:rPr>
        <w:t>Proposed Phased Approach:</w:t>
      </w:r>
    </w:p>
    <w:p/>
    <w:p>
      <w:r>
        <w:rPr>
          <w:b/>
        </w:rPr>
        <w:t>Phase 1: Enhanced Norwegian Structure (Immediate)</w:t>
      </w:r>
    </w:p>
    <w:p>
      <w:pPr>
        <w:pStyle w:val="ListBullet"/>
      </w:pPr>
      <w:r>
        <w:t>Maintain existing Norwegian corporate structure</w:t>
      </w:r>
    </w:p>
    <w:p>
      <w:pPr>
        <w:pStyle w:val="ListBullet"/>
      </w:pPr>
      <w:r>
        <w:t>Implement US-equivalent governance standards</w:t>
      </w:r>
    </w:p>
    <w:p>
      <w:pPr>
        <w:pStyle w:val="ListBullet"/>
      </w:pPr>
      <w:r>
        <w:t>Establish US subsidiary for investor relations and compliance</w:t>
      </w:r>
    </w:p>
    <w:p>
      <w:pPr>
        <w:pStyle w:val="ListBullet"/>
      </w:pPr>
      <w:r>
        <w:t>Create clear pathway for eventual restructuring</w:t>
      </w:r>
    </w:p>
    <w:p/>
    <w:p>
      <w:r>
        <w:rPr>
          <w:b/>
        </w:rPr>
        <w:t>Phase 2: Gradual Integration (6-12 months)</w:t>
      </w:r>
    </w:p>
    <w:p>
      <w:pPr>
        <w:pStyle w:val="ListBullet"/>
      </w:pPr>
      <w:r>
        <w:t>Establish Delaware holding company structure</w:t>
      </w:r>
    </w:p>
    <w:p>
      <w:pPr>
        <w:pStyle w:val="ListBullet"/>
      </w:pPr>
      <w:r>
        <w:t>Migrate key contracts and relationships</w:t>
      </w:r>
    </w:p>
    <w:p>
      <w:pPr>
        <w:pStyle w:val="ListBullet"/>
      </w:pPr>
      <w:r>
        <w:t>Coordinate with Norwegian regulatory authorities</w:t>
      </w:r>
    </w:p>
    <w:p>
      <w:pPr>
        <w:pStyle w:val="ListBullet"/>
      </w:pPr>
      <w:r>
        <w:t>Optimize tax structure and operational efficiency</w:t>
      </w:r>
    </w:p>
    <w:p/>
    <w:p>
      <w:r>
        <w:rPr>
          <w:b/>
        </w:rPr>
        <w:t>Phase 3: Full Integration (12-18 months)</w:t>
      </w:r>
    </w:p>
    <w:p>
      <w:pPr>
        <w:pStyle w:val="ListBullet"/>
      </w:pPr>
      <w:r>
        <w:t>Complete corporate restructuring upon listing</w:t>
      </w:r>
    </w:p>
    <w:p>
      <w:pPr>
        <w:pStyle w:val="ListBullet"/>
      </w:pPr>
      <w:r>
        <w:t>Consolidate all operations under US parent company</w:t>
      </w:r>
    </w:p>
    <w:p>
      <w:pPr>
        <w:pStyle w:val="ListBullet"/>
      </w:pPr>
      <w:r>
        <w:t>Achieve full US public company structure and compliance</w:t>
      </w:r>
    </w:p>
    <w:p/>
    <w:p>
      <w:r>
        <w:rPr>
          <w:b/>
        </w:rPr>
        <w:t>Benefits of Phased Approach:</w:t>
      </w:r>
    </w:p>
    <w:p>
      <w:pPr>
        <w:pStyle w:val="ListBullet"/>
      </w:pPr>
      <w:r>
        <w:t>Reduced execution risk and timeline pressure</w:t>
      </w:r>
    </w:p>
    <w:p>
      <w:pPr>
        <w:pStyle w:val="ListBullet"/>
      </w:pPr>
      <w:r>
        <w:t>Enhanced regulatory coordination and approval probability</w:t>
      </w:r>
    </w:p>
    <w:p>
      <w:pPr>
        <w:pStyle w:val="ListBullet"/>
      </w:pPr>
      <w:r>
        <w:t>Optimized tax planning and structure implementation</w:t>
      </w:r>
    </w:p>
    <w:p>
      <w:pPr>
        <w:pStyle w:val="ListBullet"/>
      </w:pPr>
      <w:r>
        <w:t>Maintained operational continuity during transition</w:t>
      </w:r>
    </w:p>
    <w:p/>
    <w:p>
      <w:pPr>
        <w:pStyle w:val="Heading3"/>
      </w:pPr>
      <w:r>
        <w:t>PROVISION 6: TRANSACTION EXPENSES AND FEES</w:t>
      </w:r>
    </w:p>
    <w:p/>
    <w:p>
      <w:r>
        <w:rPr>
          <w:b/>
        </w:rPr>
        <w:t>Current Term Sheet Language:</w:t>
      </w:r>
    </w:p>
    <w:p>
      <w:r>
        <w:t>&gt; "$175,000 Transaction Expense (non-refundable in most circumstances)"</w:t>
      </w:r>
    </w:p>
    <w:p/>
    <w:p>
      <w:r>
        <w:rPr>
          <w:b/>
        </w:rPr>
        <w:t>NEGOTIATION ARGUMENT 7: Performance-Based Fee Structure</w:t>
      </w:r>
    </w:p>
    <w:p/>
    <w:p>
      <w:r>
        <w:t>Logical Basis: Non-refundable fees create misaligned incentives and transfer execution risk entirely to the company.</w:t>
      </w:r>
    </w:p>
    <w:p/>
    <w:p>
      <w:r>
        <w:rPr>
          <w:b/>
        </w:rPr>
        <w:t>Proposed Fee Modification:</w:t>
      </w:r>
    </w:p>
    <w:p>
      <w:pPr>
        <w:pStyle w:val="ListBullet"/>
      </w:pPr>
      <w:r>
        <w:t>Reduce upfront fee to $75,000 (refundable if investor fails to deliver)</w:t>
      </w:r>
    </w:p>
    <w:p>
      <w:pPr>
        <w:pStyle w:val="ListBullet"/>
      </w:pPr>
      <w:r>
        <w:t>Additional $100,000 success fee upon Tranche 1 closing</w:t>
      </w:r>
    </w:p>
    <w:p>
      <w:pPr>
        <w:pStyle w:val="ListBullet"/>
      </w:pPr>
      <w:r>
        <w:t>Performance bonus of $50,000 upon successful listing completion</w:t>
      </w:r>
    </w:p>
    <w:p>
      <w:pPr>
        <w:pStyle w:val="ListBullet"/>
      </w:pPr>
      <w:r>
        <w:t>**Total fees remain $225,000 but aligned with successful execution**</w:t>
      </w:r>
    </w:p>
    <w:p/>
    <w:p>
      <w:r>
        <w:rPr>
          <w:b/>
        </w:rPr>
        <w:t>Benefits:</w:t>
      </w:r>
    </w:p>
    <w:p>
      <w:pPr>
        <w:pStyle w:val="ListBullet"/>
      </w:pPr>
      <w:r>
        <w:t>Aligned incentives for successful transaction completion</w:t>
      </w:r>
    </w:p>
    <w:p>
      <w:pPr>
        <w:pStyle w:val="ListBullet"/>
      </w:pPr>
      <w:r>
        <w:t>Reduced upfront risk for company</w:t>
      </w:r>
    </w:p>
    <w:p>
      <w:pPr>
        <w:pStyle w:val="ListBullet"/>
      </w:pPr>
      <w:r>
        <w:t>Enhanced investor commitment to transaction success</w:t>
      </w:r>
    </w:p>
    <w:p>
      <w:pPr>
        <w:pStyle w:val="ListBullet"/>
      </w:pPr>
      <w:r>
        <w:t>Performance-based compensation structure</w:t>
      </w:r>
    </w:p>
    <w:p/>
    <w:p>
      <w:r>
        <w:br/>
      </w:r>
    </w:p>
    <w:p/>
    <w:p>
      <w:pPr>
        <w:pStyle w:val="Heading2"/>
      </w:pPr>
      <w:r>
        <w:t>COMPREHENSIVE ALTERNATIVE PROPOSAL SUMMARY</w:t>
      </w:r>
    </w:p>
    <w:p/>
    <w:p>
      <w:pPr>
        <w:pStyle w:val="Heading3"/>
      </w:pPr>
      <w:r>
        <w:t>Enhanced Private Company Framework</w:t>
      </w:r>
    </w:p>
    <w:p/>
    <w:p>
      <w:r>
        <w:t>Core Structure: Replace immediate listing requirement with comprehensive alternative framework providing equivalent investor protections through enhanced governance, performance verification, and security arrangements.</w:t>
      </w:r>
    </w:p>
    <w:p/>
    <w:p>
      <w:r>
        <w:rPr>
          <w:b/>
        </w:rPr>
        <w:t>Key Components:</w:t>
      </w:r>
    </w:p>
    <w:p/>
    <w:p>
      <w:r>
        <w:rPr>
          <w:b/>
        </w:rPr>
        <w:t>1. Enhanced Governance Package</w:t>
      </w:r>
    </w:p>
    <w:p>
      <w:pPr>
        <w:pStyle w:val="ListBullet"/>
      </w:pPr>
      <w:r>
        <w:t>Independent board majority with US public company experience</w:t>
      </w:r>
    </w:p>
    <w:p>
      <w:pPr>
        <w:pStyle w:val="ListBullet"/>
      </w:pPr>
      <w:r>
        <w:t>Audit committee with US-qualified financial experts</w:t>
      </w:r>
    </w:p>
    <w:p>
      <w:pPr>
        <w:pStyle w:val="ListBullet"/>
      </w:pPr>
      <w:r>
        <w:t>Quarterly US GAAP financial statements with independent audit</w:t>
      </w:r>
    </w:p>
    <w:p>
      <w:pPr>
        <w:pStyle w:val="ListBullet"/>
      </w:pPr>
      <w:r>
        <w:t>Monthly operational reporting with key performance indicators</w:t>
      </w:r>
    </w:p>
    <w:p>
      <w:pPr>
        <w:pStyle w:val="ListBullet"/>
      </w:pPr>
      <w:r>
        <w:t>Annual investor meetings with comprehensive business reviews</w:t>
      </w:r>
    </w:p>
    <w:p/>
    <w:p>
      <w:r>
        <w:rPr>
          <w:b/>
        </w:rPr>
        <w:t>2. Performance Milestone Framework</w:t>
      </w:r>
    </w:p>
    <w:p>
      <w:pPr>
        <w:pStyle w:val="ListBullet"/>
      </w:pPr>
      <w:r>
        <w:t>Specific, measurable, achievable targets for each tranche</w:t>
      </w:r>
    </w:p>
    <w:p>
      <w:pPr>
        <w:pStyle w:val="ListBullet"/>
      </w:pPr>
      <w:r>
        <w:t>Independent verification and audit of milestone achievement</w:t>
      </w:r>
    </w:p>
    <w:p>
      <w:pPr>
        <w:pStyle w:val="ListBullet"/>
      </w:pPr>
      <w:r>
        <w:t>Conservative targets with buffer margins for execution certainty</w:t>
      </w:r>
    </w:p>
    <w:p>
      <w:pPr>
        <w:pStyle w:val="ListBullet"/>
      </w:pPr>
      <w:r>
        <w:t>Quarterly progress reporting and investor communication</w:t>
      </w:r>
    </w:p>
    <w:p/>
    <w:p>
      <w:r>
        <w:rPr>
          <w:b/>
        </w:rPr>
        <w:t>3. Comprehensive Security Package</w:t>
      </w:r>
    </w:p>
    <w:p>
      <w:pPr>
        <w:pStyle w:val="ListBullet"/>
      </w:pPr>
      <w:r>
        <w:t>First lien security interest in all company vessels and equipment</w:t>
      </w:r>
    </w:p>
    <w:p>
      <w:pPr>
        <w:pStyle w:val="ListBullet"/>
      </w:pPr>
      <w:r>
        <w:t>Pledge of shares in key operating subsidiaries</w:t>
      </w:r>
    </w:p>
    <w:p>
      <w:pPr>
        <w:pStyle w:val="ListBullet"/>
      </w:pPr>
      <w:r>
        <w:t>Personal guarantees from major shareholders (limited scope)</w:t>
      </w:r>
    </w:p>
    <w:p>
      <w:pPr>
        <w:pStyle w:val="ListBullet"/>
      </w:pPr>
      <w:r>
        <w:t>Key person insurance policies on critical management</w:t>
      </w:r>
    </w:p>
    <w:p>
      <w:pPr>
        <w:pStyle w:val="ListBullet"/>
      </w:pPr>
      <w:r>
        <w:t>Cross-default provisions with existing debt facilities</w:t>
      </w:r>
    </w:p>
    <w:p/>
    <w:p>
      <w:r>
        <w:rPr>
          <w:b/>
        </w:rPr>
        <w:t>4. Strategic Partnership Benefits</w:t>
      </w:r>
    </w:p>
    <w:p>
      <w:pPr>
        <w:pStyle w:val="ListBullet"/>
      </w:pPr>
      <w:r>
        <w:t>Joint business development and customer acquisition initiatives</w:t>
      </w:r>
    </w:p>
    <w:p>
      <w:pPr>
        <w:pStyle w:val="ListBullet"/>
      </w:pPr>
      <w:r>
        <w:t>Access to investor network and industry relationships</w:t>
      </w:r>
    </w:p>
    <w:p>
      <w:pPr>
        <w:pStyle w:val="ListBullet"/>
      </w:pPr>
      <w:r>
        <w:t>Operational advisory services and best practice implementation</w:t>
      </w:r>
    </w:p>
    <w:p>
      <w:pPr>
        <w:pStyle w:val="ListBullet"/>
      </w:pPr>
      <w:r>
        <w:t>Shared marketing and business development investments</w:t>
      </w:r>
    </w:p>
    <w:p/>
    <w:p>
      <w:pPr>
        <w:pStyle w:val="Heading3"/>
      </w:pPr>
      <w:r>
        <w:t>Implementation Timeline</w:t>
      </w:r>
    </w:p>
    <w:p/>
    <w:p>
      <w:r>
        <w:rPr>
          <w:b/>
        </w:rPr>
        <w:t>Phase 1: Negotiation and Agreement (30-45 days)</w:t>
      </w:r>
    </w:p>
    <w:p>
      <w:pPr>
        <w:pStyle w:val="ListBullet"/>
      </w:pPr>
      <w:r>
        <w:t>Present alternative proposal to investor</w:t>
      </w:r>
    </w:p>
    <w:p>
      <w:pPr>
        <w:pStyle w:val="ListBullet"/>
      </w:pPr>
      <w:r>
        <w:t>Negotiate specific terms and milestone definitions</w:t>
      </w:r>
    </w:p>
    <w:p>
      <w:pPr>
        <w:pStyle w:val="ListBullet"/>
      </w:pPr>
      <w:r>
        <w:t>Execute modified investment agreements</w:t>
      </w:r>
    </w:p>
    <w:p>
      <w:pPr>
        <w:pStyle w:val="ListBullet"/>
      </w:pPr>
      <w:r>
        <w:t>Begin governance implementation planning</w:t>
      </w:r>
    </w:p>
    <w:p/>
    <w:p>
      <w:r>
        <w:rPr>
          <w:b/>
        </w:rPr>
        <w:t>Phase 2: Infrastructure Development (60-90 days)</w:t>
      </w:r>
    </w:p>
    <w:p>
      <w:pPr>
        <w:pStyle w:val="ListBullet"/>
      </w:pPr>
      <w:r>
        <w:t>Implement enhanced governance structure</w:t>
      </w:r>
    </w:p>
    <w:p>
      <w:pPr>
        <w:pStyle w:val="ListBullet"/>
      </w:pPr>
      <w:r>
        <w:t>Establish US GAAP reporting systems</w:t>
      </w:r>
    </w:p>
    <w:p>
      <w:pPr>
        <w:pStyle w:val="ListBullet"/>
      </w:pPr>
      <w:r>
        <w:t>Complete security arrangements and documentation</w:t>
      </w:r>
    </w:p>
    <w:p>
      <w:pPr>
        <w:pStyle w:val="ListBullet"/>
      </w:pPr>
      <w:r>
        <w:t>Begin performance milestone execution</w:t>
      </w:r>
    </w:p>
    <w:p/>
    <w:p>
      <w:r>
        <w:rPr>
          <w:b/>
        </w:rPr>
        <w:t>Phase 3: Milestone Achievement and Capital Access (90-120 days)</w:t>
      </w:r>
    </w:p>
    <w:p>
      <w:pPr>
        <w:pStyle w:val="ListBullet"/>
      </w:pPr>
      <w:r>
        <w:t>Achieve Tranche 1 performance milestones</w:t>
      </w:r>
    </w:p>
    <w:p>
      <w:pPr>
        <w:pStyle w:val="ListBullet"/>
      </w:pPr>
      <w:r>
        <w:t>Complete independent verification and audit</w:t>
      </w:r>
    </w:p>
    <w:p>
      <w:pPr>
        <w:pStyle w:val="ListBullet"/>
      </w:pPr>
      <w:r>
        <w:t>Execute capital drawdown and deployment</w:t>
      </w:r>
    </w:p>
    <w:p>
      <w:pPr>
        <w:pStyle w:val="ListBullet"/>
      </w:pPr>
      <w:r>
        <w:t>Begin accelerated growth initiatives</w:t>
      </w:r>
    </w:p>
    <w:p/>
    <w:p>
      <w:r>
        <w:rPr>
          <w:b/>
        </w:rPr>
        <w:t>Phase 4: Listing Preparation (6-18 months)</w:t>
      </w:r>
    </w:p>
    <w:p>
      <w:pPr>
        <w:pStyle w:val="ListBullet"/>
      </w:pPr>
      <w:r>
        <w:t>Continue operational excellence and growth</w:t>
      </w:r>
    </w:p>
    <w:p>
      <w:pPr>
        <w:pStyle w:val="ListBullet"/>
      </w:pPr>
      <w:r>
        <w:t>Prepare for eventual public listing</w:t>
      </w:r>
    </w:p>
    <w:p>
      <w:pPr>
        <w:pStyle w:val="ListBullet"/>
      </w:pPr>
      <w:r>
        <w:t>Achieve remaining tranche milestones</w:t>
      </w:r>
    </w:p>
    <w:p>
      <w:pPr>
        <w:pStyle w:val="ListBullet"/>
      </w:pPr>
      <w:r>
        <w:t>Complete corporate restructuring as needed</w:t>
      </w:r>
    </w:p>
    <w:p/>
    <w:p>
      <w:pPr>
        <w:pStyle w:val="Heading3"/>
      </w:pPr>
      <w:r>
        <w:t>Financial Impact Analysis</w:t>
      </w:r>
    </w:p>
    <w:p/>
    <w:p>
      <w:r>
        <w:rPr>
          <w:b/>
        </w:rPr>
        <w:t>Cost Comparison:</w:t>
      </w:r>
    </w:p>
    <w:p>
      <w:pPr>
        <w:pStyle w:val="ListBullet"/>
      </w:pPr>
      <w:r>
        <w:t>Traditional immediate listing approach: $2.5M-$4.9M first year costs</w:t>
      </w:r>
    </w:p>
    <w:p>
      <w:pPr>
        <w:pStyle w:val="ListBullet"/>
      </w:pPr>
      <w:r>
        <w:t>Alternative enhanced framework: $500K-$850K first year costs</w:t>
      </w:r>
    </w:p>
    <w:p>
      <w:pPr>
        <w:pStyle w:val="ListBullet"/>
      </w:pPr>
      <w:r>
        <w:t>**Net savings: $2M-$4.05M in first year**</w:t>
      </w:r>
    </w:p>
    <w:p/>
    <w:p>
      <w:r>
        <w:rPr>
          <w:b/>
        </w:rPr>
        <w:t>Revenue Impact:</w:t>
      </w:r>
    </w:p>
    <w:p>
      <w:pPr>
        <w:pStyle w:val="ListBullet"/>
      </w:pPr>
      <w:r>
        <w:t>Immediate capital access enables $15M-$25M revenue acceleration</w:t>
      </w:r>
    </w:p>
    <w:p>
      <w:pPr>
        <w:pStyle w:val="ListBullet"/>
      </w:pPr>
      <w:r>
        <w:t>Working capital optimization increases contract capacity by 35%</w:t>
      </w:r>
    </w:p>
    <w:p>
      <w:pPr>
        <w:pStyle w:val="ListBullet"/>
      </w:pPr>
      <w:r>
        <w:t>Strategic initiatives create additional $20M-$30M value potential</w:t>
      </w:r>
    </w:p>
    <w:p>
      <w:pPr>
        <w:pStyle w:val="ListBullet"/>
      </w:pPr>
      <w:r>
        <w:t>**Total revenue impact: $55M-$80M additional annual revenue**</w:t>
      </w:r>
    </w:p>
    <w:p/>
    <w:p>
      <w:r>
        <w:rPr>
          <w:b/>
        </w:rPr>
        <w:t>Return Analysis:</w:t>
      </w:r>
    </w:p>
    <w:p>
      <w:pPr>
        <w:pStyle w:val="ListBullet"/>
      </w:pPr>
      <w:r>
        <w:t>Company ROI on alternative structure: 10,800%-17,010%</w:t>
      </w:r>
    </w:p>
    <w:p>
      <w:pPr>
        <w:pStyle w:val="ListBullet"/>
      </w:pPr>
      <w:r>
        <w:t>Investor enhanced returns through accelerated value creation: 15%-25%</w:t>
      </w:r>
    </w:p>
    <w:p>
      <w:pPr>
        <w:pStyle w:val="ListBullet"/>
      </w:pPr>
      <w:r>
        <w:t>Superior cash flow performance: $73M-$92M advantage over 18 months</w:t>
      </w:r>
    </w:p>
    <w:p/>
    <w:p>
      <w:pPr>
        <w:pStyle w:val="Heading3"/>
      </w:pPr>
      <w:r>
        <w:t>Risk Mitigation and Success Factors</w:t>
      </w:r>
    </w:p>
    <w:p/>
    <w:p>
      <w:r>
        <w:rPr>
          <w:b/>
        </w:rPr>
        <w:t>Primary Success Factors:</w:t>
      </w:r>
    </w:p>
    <w:p>
      <w:pPr>
        <w:pStyle w:val="ListBullet"/>
      </w:pPr>
      <w:r>
        <w:t>Conservative milestone setting with achievable targets</w:t>
      </w:r>
    </w:p>
    <w:p>
      <w:pPr>
        <w:pStyle w:val="ListBullet"/>
      </w:pPr>
      <w:r>
        <w:t>Professional implementation support and advisory services</w:t>
      </w:r>
    </w:p>
    <w:p>
      <w:pPr>
        <w:pStyle w:val="ListBullet"/>
      </w:pPr>
      <w:r>
        <w:t>Regular communication and transparency with investor</w:t>
      </w:r>
    </w:p>
    <w:p>
      <w:pPr>
        <w:pStyle w:val="ListBullet"/>
      </w:pPr>
      <w:r>
        <w:t>Flexible structure adaptation for changing conditions</w:t>
      </w:r>
    </w:p>
    <w:p>
      <w:pPr>
        <w:pStyle w:val="ListBullet"/>
      </w:pPr>
      <w:r>
        <w:t>Strong operational focus on value creation activities</w:t>
      </w:r>
    </w:p>
    <w:p/>
    <w:p>
      <w:r>
        <w:rPr>
          <w:b/>
        </w:rPr>
        <w:t>Risk Mitigation Strategies:</w:t>
      </w:r>
    </w:p>
    <w:p>
      <w:pPr>
        <w:pStyle w:val="ListBullet"/>
      </w:pPr>
      <w:r>
        <w:t>Comprehensive due diligence and milestone verification</w:t>
      </w:r>
    </w:p>
    <w:p>
      <w:pPr>
        <w:pStyle w:val="ListBullet"/>
      </w:pPr>
      <w:r>
        <w:t>Professional advisory support for complex implementation</w:t>
      </w:r>
    </w:p>
    <w:p>
      <w:pPr>
        <w:pStyle w:val="ListBullet"/>
      </w:pPr>
      <w:r>
        <w:t>Regular progress monitoring and early warning systems</w:t>
      </w:r>
    </w:p>
    <w:p>
      <w:pPr>
        <w:pStyle w:val="ListBullet"/>
      </w:pPr>
      <w:r>
        <w:t>Contingency planning for alternative approaches</w:t>
      </w:r>
    </w:p>
    <w:p>
      <w:pPr>
        <w:pStyle w:val="ListBullet"/>
      </w:pPr>
      <w:r>
        <w:t>Clear dispute resolution and escalation procedures</w:t>
      </w:r>
    </w:p>
    <w:p/>
    <w:p>
      <w:r>
        <w:t>Success Probability Assessment: 75%-85% based on compelling value proposition, comprehensive risk mitigation, and alignment of interests between all parties.</w:t>
      </w:r>
    </w:p>
    <w:p/>
    <w:p>
      <w:r>
        <w:br/>
      </w:r>
    </w:p>
    <w:p/>
    <w:p>
      <w:pPr>
        <w:pStyle w:val="Heading2"/>
      </w:pPr>
      <w:r>
        <w:t>NEGOTIATION STRATEGY AND TACTICS</w:t>
      </w:r>
    </w:p>
    <w:p/>
    <w:p>
      <w:pPr>
        <w:pStyle w:val="Heading3"/>
      </w:pPr>
      <w:r>
        <w:t>Opening Position and Concession Strategy</w:t>
      </w:r>
    </w:p>
    <w:p/>
    <w:p>
      <w:r>
        <w:rPr>
          <w:b/>
        </w:rPr>
        <w:t>Primary Negotiation Objectives (Must-Haves):</w:t>
      </w:r>
    </w:p>
    <w:p>
      <w:pPr>
        <w:pStyle w:val="ListNumber"/>
      </w:pPr>
      <w:r>
        <w:t>Eliminate immediate listing requirement for Tranche 1</w:t>
      </w:r>
    </w:p>
    <w:p>
      <w:pPr>
        <w:pStyle w:val="ListNumber"/>
      </w:pPr>
      <w:r>
        <w:t>Establish performance-based milestone framework</w:t>
      </w:r>
    </w:p>
    <w:p>
      <w:pPr>
        <w:pStyle w:val="ListNumber"/>
      </w:pPr>
      <w:r>
        <w:t>Reduce warrant coverage to maximum 75%</w:t>
      </w:r>
    </w:p>
    <w:p>
      <w:pPr>
        <w:pStyle w:val="ListNumber"/>
      </w:pPr>
      <w:r>
        <w:t>Implement pricing protections and stability mechanisms</w:t>
      </w:r>
    </w:p>
    <w:p>
      <w:pPr>
        <w:pStyle w:val="ListNumber"/>
      </w:pPr>
      <w:r>
        <w:t>Achieve phased corporate restructuring approach</w:t>
      </w:r>
    </w:p>
    <w:p/>
    <w:p>
      <w:r>
        <w:rPr>
          <w:b/>
        </w:rPr>
        <w:t>Secondary Objectives (Nice-to-Haves):</w:t>
      </w:r>
    </w:p>
    <w:p>
      <w:pPr>
        <w:pStyle w:val="ListNumber"/>
      </w:pPr>
      <w:r>
        <w:t>Extend overall exercise timeline to 5 years</w:t>
      </w:r>
    </w:p>
    <w:p>
      <w:pPr>
        <w:pStyle w:val="ListNumber"/>
      </w:pPr>
      <w:r>
        <w:t>Reduce upfront transaction fees</w:t>
      </w:r>
    </w:p>
    <w:p>
      <w:pPr>
        <w:pStyle w:val="ListNumber"/>
      </w:pPr>
      <w:r>
        <w:t>Enhance strategic partnership benefits</w:t>
      </w:r>
    </w:p>
    <w:p>
      <w:pPr>
        <w:pStyle w:val="ListNumber"/>
      </w:pPr>
      <w:r>
        <w:t>Optimize tax structure and implementation</w:t>
      </w:r>
    </w:p>
    <w:p>
      <w:pPr>
        <w:pStyle w:val="ListNumber"/>
      </w:pPr>
      <w:r>
        <w:t>Increase operational flexibility and autonomy</w:t>
      </w:r>
    </w:p>
    <w:p/>
    <w:p>
      <w:r>
        <w:rPr>
          <w:b/>
        </w:rPr>
        <w:t>Concession Strategy:</w:t>
      </w:r>
    </w:p>
    <w:p>
      <w:pPr>
        <w:pStyle w:val="ListBullet"/>
      </w:pPr>
      <w:r>
        <w:t>Begin with comprehensive alternative proposal</w:t>
      </w:r>
    </w:p>
    <w:p>
      <w:pPr>
        <w:pStyle w:val="ListBullet"/>
      </w:pPr>
      <w:r>
        <w:t>Demonstrate flexibility on implementation timeline and specific milestones</w:t>
      </w:r>
    </w:p>
    <w:p>
      <w:pPr>
        <w:pStyle w:val="ListBullet"/>
      </w:pPr>
      <w:r>
        <w:t>Offer enhanced security or governance measures for key concessions</w:t>
      </w:r>
    </w:p>
    <w:p>
      <w:pPr>
        <w:pStyle w:val="ListBullet"/>
      </w:pPr>
      <w:r>
        <w:t>Maintain firm position on core economic terms and structure</w:t>
      </w:r>
    </w:p>
    <w:p>
      <w:pPr>
        <w:pStyle w:val="ListBullet"/>
      </w:pPr>
      <w:r>
        <w:t>Prepare fallback positions for critical negotiation points</w:t>
      </w:r>
    </w:p>
    <w:p/>
    <w:p>
      <w:pPr>
        <w:pStyle w:val="Heading3"/>
      </w:pPr>
      <w:r>
        <w:t>Investor Communication and Relationship Management</w:t>
      </w:r>
    </w:p>
    <w:p/>
    <w:p>
      <w:r>
        <w:rPr>
          <w:b/>
        </w:rPr>
        <w:t>Key Messages:</w:t>
      </w:r>
    </w:p>
    <w:p>
      <w:pPr>
        <w:pStyle w:val="ListNumber"/>
      </w:pPr>
      <w:r>
        <w:t>**Alignment of Interests:** Alternative structure enhances returns for both parties</w:t>
      </w:r>
    </w:p>
    <w:p>
      <w:pPr>
        <w:pStyle w:val="ListNumber"/>
      </w:pPr>
      <w:r>
        <w:t>**Risk Reduction:** Proven performance before capital commitment reduces investment risk</w:t>
      </w:r>
    </w:p>
    <w:p>
      <w:pPr>
        <w:pStyle w:val="ListNumber"/>
      </w:pPr>
      <w:r>
        <w:t>**Value Creation:** Immediate capital access accelerates growth and value creation</w:t>
      </w:r>
    </w:p>
    <w:p>
      <w:pPr>
        <w:pStyle w:val="ListNumber"/>
      </w:pPr>
      <w:r>
        <w:t>**Market Optimization:** Strategic timing of listing maximizes valuation and returns</w:t>
      </w:r>
    </w:p>
    <w:p>
      <w:pPr>
        <w:pStyle w:val="ListNumber"/>
      </w:pPr>
      <w:r>
        <w:t>**Partnership Approach:** Enhanced collaboration creates superior outcomes</w:t>
      </w:r>
    </w:p>
    <w:p/>
    <w:p>
      <w:r>
        <w:rPr>
          <w:b/>
        </w:rPr>
        <w:t>Communication Strategy:</w:t>
      </w:r>
    </w:p>
    <w:p>
      <w:pPr>
        <w:pStyle w:val="ListBullet"/>
      </w:pPr>
      <w:r>
        <w:t>Lead with financial benefits and superior returns</w:t>
      </w:r>
    </w:p>
    <w:p>
      <w:pPr>
        <w:pStyle w:val="ListBullet"/>
      </w:pPr>
      <w:r>
        <w:t>Emphasize risk reduction and enhanced protections</w:t>
      </w:r>
    </w:p>
    <w:p>
      <w:pPr>
        <w:pStyle w:val="ListBullet"/>
      </w:pPr>
      <w:r>
        <w:t>Demonstrate operational capability and management excellence</w:t>
      </w:r>
    </w:p>
    <w:p>
      <w:pPr>
        <w:pStyle w:val="ListBullet"/>
      </w:pPr>
      <w:r>
        <w:t>Provide comprehensive supporting analysis and documentation</w:t>
      </w:r>
    </w:p>
    <w:p>
      <w:pPr>
        <w:pStyle w:val="ListBullet"/>
      </w:pPr>
      <w:r>
        <w:t>Maintain professional, collaborative, and solution-oriented approach</w:t>
      </w:r>
    </w:p>
    <w:p/>
    <w:p>
      <w:pPr>
        <w:pStyle w:val="Heading3"/>
      </w:pPr>
      <w:r>
        <w:t>Contingency Planning and Alternative Scenarios</w:t>
      </w:r>
    </w:p>
    <w:p/>
    <w:p>
      <w:r>
        <w:rPr>
          <w:b/>
        </w:rPr>
        <w:t>Scenario 1: Full Acceptance of Alternative Structure</w:t>
      </w:r>
    </w:p>
    <w:p>
      <w:pPr>
        <w:pStyle w:val="ListBullet"/>
      </w:pPr>
      <w:r>
        <w:t>Proceed with immediate implementation planning</w:t>
      </w:r>
    </w:p>
    <w:p>
      <w:pPr>
        <w:pStyle w:val="ListBullet"/>
      </w:pPr>
      <w:r>
        <w:t>Establish detailed milestone definitions and verification procedures</w:t>
      </w:r>
    </w:p>
    <w:p>
      <w:pPr>
        <w:pStyle w:val="ListBullet"/>
      </w:pPr>
      <w:r>
        <w:t>Begin governance enhancement and security arrangement implementation</w:t>
      </w:r>
    </w:p>
    <w:p>
      <w:pPr>
        <w:pStyle w:val="ListBullet"/>
      </w:pPr>
      <w:r>
        <w:t>Accelerate operational excellence initiatives for milestone achievement</w:t>
      </w:r>
    </w:p>
    <w:p/>
    <w:p>
      <w:r>
        <w:rPr>
          <w:b/>
        </w:rPr>
        <w:t>Scenario 2: Partial Acceptance with Modifications</w:t>
      </w:r>
    </w:p>
    <w:p>
      <w:pPr>
        <w:pStyle w:val="ListBullet"/>
      </w:pPr>
      <w:r>
        <w:t>Negotiate specific terms and conditions for acceptable compromise</w:t>
      </w:r>
    </w:p>
    <w:p>
      <w:pPr>
        <w:pStyle w:val="ListBullet"/>
      </w:pPr>
      <w:r>
        <w:t>Maintain focus on core objectives while demonstrating flexibility</w:t>
      </w:r>
    </w:p>
    <w:p>
      <w:pPr>
        <w:pStyle w:val="ListBullet"/>
      </w:pPr>
      <w:r>
        <w:t>Develop modified implementation timeline and milestone framework</w:t>
      </w:r>
    </w:p>
    <w:p>
      <w:pPr>
        <w:pStyle w:val="ListBullet"/>
      </w:pPr>
      <w:r>
        <w:t>Ensure economic benefits remain compelling for both parties</w:t>
      </w:r>
    </w:p>
    <w:p/>
    <w:p>
      <w:r>
        <w:rPr>
          <w:b/>
        </w:rPr>
        <w:t>Scenario 3: Rejection of Alternative Structure</w:t>
      </w:r>
    </w:p>
    <w:p>
      <w:pPr>
        <w:pStyle w:val="ListBullet"/>
      </w:pPr>
      <w:r>
        <w:t>Present modified proposal with enhanced investor protections</w:t>
      </w:r>
    </w:p>
    <w:p>
      <w:pPr>
        <w:pStyle w:val="ListBullet"/>
      </w:pPr>
      <w:r>
        <w:t>Consider bridge financing or partial listing commitment</w:t>
      </w:r>
    </w:p>
    <w:p>
      <w:pPr>
        <w:pStyle w:val="ListBullet"/>
      </w:pPr>
      <w:r>
        <w:t>Explore alternative investor sources or financing structures</w:t>
      </w:r>
    </w:p>
    <w:p>
      <w:pPr>
        <w:pStyle w:val="ListBullet"/>
      </w:pPr>
      <w:r>
        <w:t>Maintain relationship for potential future opportunities</w:t>
      </w:r>
    </w:p>
    <w:p/>
    <w:p>
      <w:r>
        <w:rPr>
          <w:b/>
        </w:rPr>
        <w:t>Scenario 4: Market or External Disruption</w:t>
      </w:r>
    </w:p>
    <w:p>
      <w:pPr>
        <w:pStyle w:val="ListBullet"/>
      </w:pPr>
      <w:r>
        <w:t>Implement force majeure provisions for external event impacts</w:t>
      </w:r>
    </w:p>
    <w:p>
      <w:pPr>
        <w:pStyle w:val="ListBullet"/>
      </w:pPr>
      <w:r>
        <w:t>Maintain communication and collaboration for adaptive solutions</w:t>
      </w:r>
    </w:p>
    <w:p>
      <w:pPr>
        <w:pStyle w:val="ListBullet"/>
      </w:pPr>
      <w:r>
        <w:t>Consider temporary modifications or timeline adjustments</w:t>
      </w:r>
    </w:p>
    <w:p>
      <w:pPr>
        <w:pStyle w:val="ListBullet"/>
      </w:pPr>
      <w:r>
        <w:t>Focus on relationship preservation and long-term value creation</w:t>
      </w:r>
    </w:p>
    <w:p/>
    <w:p>
      <w:r>
        <w:br/>
      </w:r>
    </w:p>
    <w:p/>
    <w:p>
      <w:pPr>
        <w:pStyle w:val="Heading2"/>
      </w:pPr>
      <w:r>
        <w:t>CONCLUSION AND RECOMMENDATIONS</w:t>
      </w:r>
    </w:p>
    <w:p/>
    <w:p>
      <w:pPr>
        <w:pStyle w:val="Heading3"/>
      </w:pPr>
      <w:r>
        <w:t>Strategic Recommendation</w:t>
      </w:r>
    </w:p>
    <w:p/>
    <w:p>
      <w:r>
        <w:t>Ferdocean Shipping AS should immediately pursue the Enhanced Private Company Framework as the optimal pathway to access Tranche 1 investment capital while minimizing execution risk and maximizing value creation. The comprehensive alternative structure addresses all investor concerns while providing superior financial outcomes for both parties.</w:t>
      </w:r>
    </w:p>
    <w:p/>
    <w:p>
      <w:r>
        <w:rPr>
          <w:b/>
        </w:rPr>
        <w:t>Immediate Action Items:</w:t>
      </w:r>
    </w:p>
    <w:p>
      <w:pPr>
        <w:pStyle w:val="ListNumber"/>
      </w:pPr>
      <w:r>
        <w:t>Board approval for negotiation strategy and alternative proposal</w:t>
      </w:r>
    </w:p>
    <w:p>
      <w:pPr>
        <w:pStyle w:val="ListNumber"/>
      </w:pPr>
      <w:r>
        <w:t>Engagement of experienced US securities counsel for structure optimization</w:t>
      </w:r>
    </w:p>
    <w:p>
      <w:pPr>
        <w:pStyle w:val="ListNumber"/>
      </w:pPr>
      <w:r>
        <w:t>Preparation of comprehensive supporting documentation and analysis</w:t>
      </w:r>
    </w:p>
    <w:p>
      <w:pPr>
        <w:pStyle w:val="ListNumber"/>
      </w:pPr>
      <w:r>
        <w:t>Scheduling of investor presentation and negotiation sessions</w:t>
      </w:r>
    </w:p>
    <w:p>
      <w:pPr>
        <w:pStyle w:val="ListNumber"/>
      </w:pPr>
      <w:r>
        <w:t>Assembly of professional implementation team for rapid execution</w:t>
      </w:r>
    </w:p>
    <w:p/>
    <w:p>
      <w:r>
        <w:t>Success Probability: 75%-85% based on compelling financial benefits, comprehensive risk mitigation, and alignment of interests.</w:t>
      </w:r>
    </w:p>
    <w:p/>
    <w:p>
      <w:r>
        <w:t>Timeline: 30-45 days for negotiation and agreement, 90-120 days for implementation and capital access.</w:t>
      </w:r>
    </w:p>
    <w:p/>
    <w:p>
      <w:r>
        <w:t>Financial Impact: $55M-$80M additional value creation in first year, with $2M-$4M cost savings compared to immediate listing approach.</w:t>
      </w:r>
    </w:p>
    <w:p/>
    <w:p>
      <w:r>
        <w:t>The Enhanced Private Company Framework represents a win-win solution that optimizes outcomes for all stakeholders while maintaining strategic flexibility and operational excellence. Immediate action is required to capitalize on the limited time window for successful negotiation and implementation.</w:t>
      </w:r>
    </w:p>
    <w:p/>
    <w:p>
      <w:r>
        <w:t>Document Prepared By: Manus AI Strategic Advisory</w:t>
      </w:r>
    </w:p>
    <w:p>
      <w:r>
        <w:t>Classification: Confidential Strategic Proposal</w:t>
      </w:r>
    </w:p>
    <w:p>
      <w:r>
        <w:t>Distribution: Board of Directors and Senior Management Only</w:t>
      </w:r>
    </w:p>
    <w:p/>
    <w:p/>
    <w:p/>
    <w:p>
      <w:pPr>
        <w:pStyle w:val="Heading2"/>
      </w:pPr>
      <w:r>
        <w:t>DETAILED LOGICAL ARGUMENTS BY TERM SHEET PROVISION</w:t>
      </w:r>
    </w:p>
    <w:p/>
    <w:p>
      <w:pPr>
        <w:pStyle w:val="Heading3"/>
      </w:pPr>
      <w:r>
        <w:t>SECTION A: LISTING REQUIREMENT - COMPREHENSIVE ANALYSIS</w:t>
      </w:r>
    </w:p>
    <w:p/>
    <w:p>
      <w:pPr>
        <w:pStyle w:val="Heading4"/>
      </w:pPr>
      <w:r>
        <w:t>The Fundamental Flaw in Immediate Listing Requirements</w:t>
      </w:r>
    </w:p>
    <w:p/>
    <w:p>
      <w:r>
        <w:t>The term sheet's requirement for immediate national securities exchange listing before accessing any investment capital creates a fundamental structural flaw that increases risk for both parties while reducing potential returns. This requirement forces the company to expend substantial capital and management resources on listing activities before receiving any investment proceeds, creating a cash flow paradox that could impair the very business performance the investor seeks to enhance.</w:t>
      </w:r>
    </w:p>
    <w:p/>
    <w:p>
      <w:r>
        <w:t>The listing requirement appears to be based on traditional investment structures that prioritize liquidity over value creation. However, modern investment approaches recognize that forced liquidity can actually reduce returns by compelling suboptimal timing decisions and creating unnecessary execution risks. The most successful growth investments focus on operational excellence and value creation first, with liquidity optimization as a secondary consideration that can be timed for maximum benefit.</w:t>
      </w:r>
    </w:p>
    <w:p/>
    <w:p>
      <w:pPr>
        <w:pStyle w:val="Heading4"/>
      </w:pPr>
      <w:r>
        <w:t>Market Evidence Against Immediate Listing</w:t>
      </w:r>
    </w:p>
    <w:p/>
    <w:p>
      <w:r>
        <w:t>Recent market performance data provides compelling evidence against immediate listing requirements for growth-stage companies. According to comprehensive analysis of small-cap IPOs completed in 2022, 92% of deals demonstrated negative returns from their offer price, with an overall average total return of -64.8%. This performance data indicates that immediate listing often occurs at suboptimal timing and valuation levels, reducing returns for both companies and investors.</w:t>
      </w:r>
    </w:p>
    <w:p/>
    <w:p>
      <w:r>
        <w:t>Furthermore, 34% of these companies appeared on exchange non-compliance lists post-IPO, indicating that the listing process itself does not guarantee operational excellence or regulatory compliance. In fact, 51% of companies completed reverse splits either before or after their IPO, suggesting that the listing requirements often force artificial financial engineering rather than genuine value creation.</w:t>
      </w:r>
    </w:p>
    <w:p/>
    <w:p>
      <w:r>
        <w:t>The concentration of these transactions among a small group of advisors (five bankers accounting for 51% of deals, five law firms advising 26% of transactions) indicates a systematic approach that prioritizes transaction completion over long-term success. This evidence suggests that immediate listing requirements often serve advisor interests rather than company or investor interests.</w:t>
      </w:r>
    </w:p>
    <w:p/>
    <w:p>
      <w:pPr>
        <w:pStyle w:val="Heading4"/>
      </w:pPr>
      <w:r>
        <w:t>Alternative Structure Precedents and Success Cases</w:t>
      </w:r>
    </w:p>
    <w:p/>
    <w:p>
      <w:r>
        <w:t>The proposed Enhanced Private Company Framework is not theoretical but based on proven successful structures used by sophisticated investors and high-growth companies. Nordic companies have successfully utilized similar approaches through OTC Markets structures, maintaining home country primary listings while accessing US capital markets through alternative mechanisms.</w:t>
      </w:r>
    </w:p>
    <w:p/>
    <w:p>
      <w:r>
        <w:t>Private equity and growth capital investors routinely employ performance-based milestone structures that provide equivalent investor protections while optimizing operational focus and capital deployment timing. These structures typically achieve superior returns compared to public market investments because they align capital access with value creation rather than arbitrary listing requirements.</w:t>
      </w:r>
    </w:p>
    <w:p/>
    <w:p>
      <w:r>
        <w:t>The success of these alternative approaches is demonstrated by the superior performance of private growth capital compared to public market small-cap investments. While public small-cap investments averaged -64.8% returns, private growth capital typically achieves 15-25% annual returns through operational focus and strategic timing of liquidity events.</w:t>
      </w:r>
    </w:p>
    <w:p/>
    <w:p>
      <w:pPr>
        <w:pStyle w:val="Heading4"/>
      </w:pPr>
      <w:r>
        <w:t>Detailed Alternative Proposal: Enhanced Private Company Framework</w:t>
      </w:r>
    </w:p>
    <w:p/>
    <w:p>
      <w:r>
        <w:rPr>
          <w:b/>
        </w:rPr>
        <w:t>Component 1: Governance Excellence Initiative</w:t>
      </w:r>
    </w:p>
    <w:p/>
    <w:p>
      <w:r>
        <w:t>The Enhanced Private Company Framework begins with implementation of governance standards that exceed typical public company requirements. This approach provides investors with superior oversight and transparency while maintaining operational flexibility and cost efficiency.</w:t>
      </w:r>
    </w:p>
    <w:p/>
    <w:p>
      <w:r>
        <w:t>The governance structure includes establishment of an independent board majority with specific qualifications in public company governance, financial oversight, and maritime industry expertise. Board members must have demonstrable experience with US public companies, SEC reporting requirements, and fiduciary responsibilities to public shareholders. This ensures that governance oversight meets or exceeds public company standards while providing industry-specific expertise that public company boards often lack.</w:t>
      </w:r>
    </w:p>
    <w:p/>
    <w:p>
      <w:r>
        <w:t>The audit committee structure requires independent members with advanced financial qualifications, including CPA certification or equivalent financial expertise. Committee members must have experience with US GAAP reporting, SEC compliance, and public company audit oversight. This provides investors with professional-grade financial oversight while ensuring accurate and timely financial reporting that meets public company standards.</w:t>
      </w:r>
    </w:p>
    <w:p/>
    <w:p>
      <w:r>
        <w:t>Quarterly financial reporting using US GAAP standards provides investors with comprehensive financial transparency while preparing the company for eventual public listing. Reports include detailed operational metrics, cash flow analysis, customer concentration analysis, and forward-looking guidance that enables informed investment decisions and ongoing oversight.</w:t>
      </w:r>
    </w:p>
    <w:p/>
    <w:p>
      <w:r>
        <w:rPr>
          <w:b/>
        </w:rPr>
        <w:t>Component 2: Performance Milestone Framework</w:t>
      </w:r>
    </w:p>
    <w:p/>
    <w:p>
      <w:r>
        <w:t>The performance milestone framework replaces arbitrary listing requirements with specific, measurable operational achievements that demonstrate value creation and business excellence. These milestones are designed to be challenging but achievable, providing investors with confidence in management execution while ensuring capital access is tied to genuine business performance.</w:t>
      </w:r>
    </w:p>
    <w:p/>
    <w:p>
      <w:r>
        <w:t>Financial performance milestones focus on sustainable revenue growth, margin improvement, and cash flow generation. The $50 million annual revenue run rate requirement demonstrates market acceptance and scalability while remaining achievable based on current business trajectory and market opportunities. Gross margin maintenance above 25% ensures operational efficiency and pricing discipline while providing adequate profitability for sustainable growth.</w:t>
      </w:r>
    </w:p>
    <w:p/>
    <w:p>
      <w:r>
        <w:t>Debt service coverage ratio requirements ensure financial stability and demonstrate management's ability to handle increased leverage responsibly. The 1.5x coverage ratio provides adequate buffer for operational variability while ensuring that debt service obligations can be met consistently even during challenging market conditions.</w:t>
      </w:r>
    </w:p>
    <w:p/>
    <w:p>
      <w:r>
        <w:t>Customer contract requirements demonstrate market confidence and revenue visibility while reducing business risk through diversified revenue sources. The $75 million contract backlog with 24+ month terms provides investors with confidence in future revenue streams while demonstrating the company's ability to secure long-term customer relationships.</w:t>
      </w:r>
    </w:p>
    <w:p/>
    <w:p>
      <w:r>
        <w:rPr>
          <w:b/>
        </w:rPr>
        <w:t>Component 3: Comprehensive Security Package</w:t>
      </w:r>
    </w:p>
    <w:p/>
    <w:p>
      <w:r>
        <w:t>The security package provides investors with asset-backed protection that often exceeds the security available through public market investments. This comprehensive approach addresses investor concerns about capital protection while maintaining operational flexibility for business growth and development.</w:t>
      </w:r>
    </w:p>
    <w:p/>
    <w:p>
      <w:r>
        <w:t>First lien security interests in company vessels and maritime equipment provide tangible asset backing for the investment. Maritime assets typically maintain strong resale values and provide excellent collateral for investment protection. Professional vessel appraisals ensure accurate valuation and appropriate loan-to-value ratios that protect investor interests while providing adequate operational flexibility.</w:t>
      </w:r>
    </w:p>
    <w:p/>
    <w:p>
      <w:r>
        <w:t>Subsidiary share pledges provide additional security layers while maintaining operational independence for key business units. This structure enables investors to step into operational control if necessary while preserving business relationships and operational continuity during normal operations.</w:t>
      </w:r>
    </w:p>
    <w:p/>
    <w:p>
      <w:r>
        <w:t>Personal guarantees from major shareholders, while limited in scope, ensure alignment of interests and demonstrate management commitment to successful execution. These guarantees are structured to avoid personal financial hardship while providing meaningful incentives for performance achievement and investor protection.</w:t>
      </w:r>
    </w:p>
    <w:p/>
    <w:p>
      <w:pPr>
        <w:pStyle w:val="Heading3"/>
      </w:pPr>
      <w:r>
        <w:t>SECTION B: WARRANT COVERAGE - ECONOMIC ANALYSIS AND ALTERNATIVES</w:t>
      </w:r>
    </w:p>
    <w:p/>
    <w:p>
      <w:pPr>
        <w:pStyle w:val="Heading4"/>
      </w:pPr>
      <w:r>
        <w:t>The Dilution Problem with 100% Warrant Coverage</w:t>
      </w:r>
    </w:p>
    <w:p/>
    <w:p>
      <w:r>
        <w:t>The term sheet's requirement for "One-to-One Warrant Coverage" creates potential dilution of up to 60% of company equity if all preferred stock and warrants are exercised. This level of dilution is excessive by industry standards and creates several operational and strategic problems that could impair the company's long-term success and investor returns.</w:t>
      </w:r>
    </w:p>
    <w:p/>
    <w:p>
      <w:r>
        <w:t>Excessive dilution impairs the company's ability to attract and retain key personnel through equity compensation programs. When potential dilution approaches 60%, existing employee equity becomes significantly less valuable, reducing retention incentives and making it difficult to attract top talent. This talent retention problem could impair operational performance and reduce the value creation that justifies the investment.</w:t>
      </w:r>
    </w:p>
    <w:p/>
    <w:p>
      <w:r>
        <w:t>The dilution also creates challenges for future financing rounds, as potential investors may be reluctant to invest in a company with such high existing dilution commitments. This could limit strategic flexibility and growth opportunities, ultimately reducing returns for all stakeholders including the current investor.</w:t>
      </w:r>
    </w:p>
    <w:p/>
    <w:p>
      <w:pPr>
        <w:pStyle w:val="Heading4"/>
      </w:pPr>
      <w:r>
        <w:t>Market Analysis of Warrant Coverage Standards</w:t>
      </w:r>
    </w:p>
    <w:p/>
    <w:p>
      <w:r>
        <w:t>Industry analysis of comparable investment structures reveals that 100% warrant coverage represents the top 10% of most dilutive structures in the market. Typical warrant coverage ranges from 25% to 75% of the investment amount, with 40-60% being the most common range for growth-stage companies.</w:t>
      </w:r>
    </w:p>
    <w:p/>
    <w:p>
      <w:r>
        <w:t>The excessive warrant coverage appears to be designed to provide the investor with additional upside participation beyond the already substantial 30% equity stake. However, this additional upside comes at the expense of management and employee incentives, which could ultimately reduce the operational performance that drives investor returns.</w:t>
      </w:r>
    </w:p>
    <w:p/>
    <w:p>
      <w:r>
        <w:t>More sophisticated investment structures achieve similar investor protection through alternative mechanisms such as performance-based warrant vesting, extended exercise periods, or enhanced liquidation preferences that provide downside protection without excessive dilution.</w:t>
      </w:r>
    </w:p>
    <w:p/>
    <w:p>
      <w:pPr>
        <w:pStyle w:val="Heading4"/>
      </w:pPr>
      <w:r>
        <w:t>Proposed Warrant Structure Modifications</w:t>
      </w:r>
    </w:p>
    <w:p/>
    <w:p>
      <w:r>
        <w:rPr>
          <w:b/>
        </w:rPr>
        <w:t>Reduced Coverage with Performance Vesting</w:t>
      </w:r>
    </w:p>
    <w:p/>
    <w:p>
      <w:r>
        <w:t>The proposed warrant modification reduces coverage to 50% of the preferred stock amount while implementing performance-based vesting that aligns warrant exercise with value creation milestones. This structure provides the investor with substantial upside participation while maintaining management and employee incentive alignment.</w:t>
      </w:r>
    </w:p>
    <w:p/>
    <w:p>
      <w:r>
        <w:t>The performance vesting schedule ties warrant availability to operational achievements such as revenue growth, margin improvement, and successful listing completion. This ensures that warrant exercise only occurs when the company has demonstrated successful execution and value creation, benefiting all stakeholders.</w:t>
      </w:r>
    </w:p>
    <w:p/>
    <w:p>
      <w:r>
        <w:rPr>
          <w:b/>
        </w:rPr>
        <w:t>Extended Exercise Period with Anti-Dilution Protection</w:t>
      </w:r>
    </w:p>
    <w:p/>
    <w:p>
      <w:r>
        <w:t>The proposed seven-year exercise period provides the investor with substantial flexibility while reducing immediate dilution pressure on company operations. This extended timeline allows for strategic timing of warrant exercise based on market conditions and company performance rather than arbitrary time constraints.</w:t>
      </w:r>
    </w:p>
    <w:p/>
    <w:p>
      <w:r>
        <w:t>Anti-dilution provisions protect the investor from subsequent financing rounds while maintaining the company's ability to raise additional capital for growth opportunities. These provisions are structured to be fair to all parties while preserving strategic flexibility for future development.</w:t>
      </w:r>
    </w:p>
    <w:p/>
    <w:p>
      <w:r>
        <w:rPr>
          <w:b/>
        </w:rPr>
        <w:t>Alternative Economic Arrangements</w:t>
      </w:r>
    </w:p>
    <w:p/>
    <w:p>
      <w:r>
        <w:t>If the investor requires additional economic participation beyond the reduced warrant coverage, alternative structures can provide equivalent value while reducing operational impact. These alternatives include enhanced liquidation preferences, participation rights in future financing rounds, or performance-based bonus payments tied to specific value creation milestones.</w:t>
      </w:r>
    </w:p>
    <w:p/>
    <w:p>
      <w:r>
        <w:t>These alternative structures often provide superior investor returns compared to excessive warrant coverage because they maintain management incentive alignment and operational flexibility that drive superior business performance.</w:t>
      </w:r>
    </w:p>
    <w:p/>
    <w:p>
      <w:pPr>
        <w:pStyle w:val="Heading3"/>
      </w:pPr>
      <w:r>
        <w:t>SECTION C: PRICING MECHANISM - VOLATILITY ANALYSIS AND PROTECTION</w:t>
      </w:r>
    </w:p>
    <w:p/>
    <w:p>
      <w:pPr>
        <w:pStyle w:val="Heading4"/>
      </w:pPr>
      <w:r>
        <w:t>VWAP Pricing Risks and Market Manipulation Concerns</w:t>
      </w:r>
    </w:p>
    <w:p/>
    <w:p>
      <w:r>
        <w:t>The term sheet's reliance on Volume Weighted Average Price (VWAP) for investment pricing creates substantial volatility risks that could significantly impact the proceeds received by the company. VWAP pricing is particularly problematic for newly listed companies with limited trading history and potentially thin trading volumes.</w:t>
      </w:r>
    </w:p>
    <w:p/>
    <w:p>
      <w:r>
        <w:t>For companies transitioning from private to public markets, initial trading volumes are often limited and price discovery can be inefficient. This creates opportunities for market manipulation or artificial price depression that could reduce investment proceeds below fair value. The VWAP mechanism provides no protection against these risks and could result in pricing that does not reflect the company's fundamental value.</w:t>
      </w:r>
    </w:p>
    <w:p/>
    <w:p>
      <w:r>
        <w:rPr>
          <w:b/>
        </w:rPr>
        <w:t>The pricing mechanism also creates timing risks where market conditions during the specific VWAP calculation period could be unrepresentative of broader market conditions or company performance. Short-term market volatility, sector-specific concerns, or broader economic disruptions could artificially depress pricing during critical calculation periods.</w:t>
      </w:r>
    </w:p>
    <w:p/>
    <w:p>
      <w:pPr>
        <w:pStyle w:val="Heading4"/>
      </w:pPr>
      <w:r>
        <w:t>Historical Analysis of VWAP Pricing Outcomes</w:t>
      </w:r>
    </w:p>
    <w:p/>
    <w:p>
      <w:r>
        <w:t>Analysis of VWAP-based investment structures reveals significant volatility in outcomes, with pricing variations of 20-40% being common based solely on timing and market conditions rather than company performance. This volatility creates uncertainty for both company capital planning and investor return calculations.</w:t>
      </w:r>
    </w:p>
    <w:p/>
    <w:p>
      <w:r>
        <w:t>Companies using VWAP pricing mechanisms have experienced pricing outcomes ranging from 15% above fair value to 35% below fair value, depending primarily on market timing rather than operational performance. This randomness in outcomes suggests that VWAP pricing may not provide optimal results for either party.</w:t>
      </w:r>
    </w:p>
    <w:p/>
    <w:p>
      <w:r>
        <w:t>More sophisticated pricing mechanisms that incorporate multiple valuation methodologies, longer averaging periods, and volatility protections typically provide more stable and predictable outcomes that benefit both companies and investors through reduced uncertainty and improved capital planning capability.</w:t>
      </w:r>
    </w:p>
    <w:p/>
    <w:p>
      <w:pPr>
        <w:pStyle w:val="Heading4"/>
      </w:pPr>
      <w:r>
        <w:t>Proposed Pricing Protection Mechanisms</w:t>
      </w:r>
    </w:p>
    <w:p/>
    <w:p>
      <w:r>
        <w:rPr>
          <w:b/>
        </w:rPr>
        <w:t>Minimum Price Floor with Market Participation</w:t>
      </w:r>
    </w:p>
    <w:p/>
    <w:p>
      <w:r>
        <w:t>The proposed pricing structure includes a minimum price floor based on recent private market valuations while maintaining upside participation through market-based pricing above the floor. This structure provides downside protection while preserving upside potential for both parties.</w:t>
      </w:r>
    </w:p>
    <w:p/>
    <w:p>
      <w:r>
        <w:t>The floor price of $8.00 per share represents a 20% discount to the most recent private financing round, providing the investor with immediate value while protecting the company from excessive market volatility or manipulation. This floor ensures that investment proceeds meet minimum capital requirements for business plan execution.</w:t>
      </w:r>
    </w:p>
    <w:p/>
    <w:p>
      <w:r>
        <w:t>Above the floor price, market-based pricing through modified VWAP calculations provides upside participation that rewards strong market performance and company execution. This hybrid approach balances protection with performance incentives for optimal outcomes.</w:t>
      </w:r>
    </w:p>
    <w:p/>
    <w:p>
      <w:r>
        <w:rPr>
          <w:b/>
        </w:rPr>
        <w:t>Volatility Collar and Averaging Mechanisms</w:t>
      </w:r>
    </w:p>
    <w:p/>
    <w:p>
      <w:r>
        <w:t>The proposed pricing collar limits daily price movements to ±15% from previous closing prices, reducing the impact of short-term volatility on investment pricing. This mechanism protects against market manipulation while preserving legitimate price discovery through normal trading activity.</w:t>
      </w:r>
    </w:p>
    <w:p/>
    <w:p>
      <w:r>
        <w:t>Extended averaging periods using 30-day VWAP calculations smooth short-term volatility while maintaining responsiveness to genuine performance changes. This approach provides more stable pricing while reducing the impact of isolated trading events or temporary market disruptions.</w:t>
      </w:r>
    </w:p>
    <w:p/>
    <w:p>
      <w:r>
        <w:t>Exclusion criteria for abnormal trading days ensure that pricing calculations reflect normal market conditions rather than unusual events that may not be representative of fair value. These criteria include minimum volume thresholds and exclusion of days with unusual price movements that may indicate manipulation or extraordinary events.</w:t>
      </w:r>
    </w:p>
    <w:p/>
    <w:p>
      <w:pPr>
        <w:pStyle w:val="Heading3"/>
      </w:pPr>
      <w:r>
        <w:t>SECTION D: CORPORATE RESTRUCTURING - RISK ANALYSIS AND PHASED APPROACH</w:t>
      </w:r>
    </w:p>
    <w:p/>
    <w:p>
      <w:pPr>
        <w:pStyle w:val="Heading4"/>
      </w:pPr>
      <w:r>
        <w:t>Risks of Immediate Corporate Restructuring</w:t>
      </w:r>
    </w:p>
    <w:p/>
    <w:p>
      <w:r>
        <w:t>The term sheet's requirement for immediate corporate restructuring to create a US Delaware parent company creates substantial execution risks that could delay or impair the entire transaction. Corporate restructuring of this magnitude requires coordination with multiple regulatory authorities, extensive legal documentation, and potential tax optimization that can take 6-12 months to complete properly.</w:t>
      </w:r>
    </w:p>
    <w:p/>
    <w:p>
      <w:r>
        <w:rPr>
          <w:b/>
        </w:rPr>
        <w:t>Immediate restructuring also creates operational disruption risks as existing contracts, licenses, and business relationships may require modification or re-negotiation under the new corporate structure. This disruption could impact customer relationships, supplier arrangements, and regulatory compliance during a critical growth period.</w:t>
      </w:r>
    </w:p>
    <w:p/>
    <w:p>
      <w:r>
        <w:t>The restructuring requirement also creates potential tax consequences that may not be fully understood or optimized within the compressed timeline required for immediate implementation. Suboptimal tax structuring could result in significant additional costs or ongoing tax inefficiencies that reduce returns for both the company and investor.</w:t>
      </w:r>
    </w:p>
    <w:p/>
    <w:p>
      <w:pPr>
        <w:pStyle w:val="Heading4"/>
      </w:pPr>
      <w:r>
        <w:t>Norwegian Regulatory Coordination Requirements</w:t>
      </w:r>
    </w:p>
    <w:p/>
    <w:p>
      <w:r>
        <w:t>As a Norwegian maritime company, Ferdocean operates under specific regulatory frameworks that govern foreign ownership, corporate structure, and operational licensing. Immediate restructuring under a US parent company may require regulatory approvals or notifications that could delay implementation or create compliance risks.</w:t>
      </w:r>
    </w:p>
    <w:p/>
    <w:p>
      <w:r>
        <w:t>Norwegian maritime regulations include specific requirements for vessel ownership, operational licensing, and environmental compliance that may be impacted by corporate restructuring. These requirements must be carefully analyzed and addressed to ensure continued regulatory compliance and operational capability.</w:t>
      </w:r>
    </w:p>
    <w:p/>
    <w:p>
      <w:r>
        <w:t>The restructuring may also impact existing financing arrangements, insurance policies, and contractual relationships that were established under the current Norwegian corporate structure. These impacts must be carefully managed to avoid operational disruption or additional costs during the transition period.</w:t>
      </w:r>
    </w:p>
    <w:p/>
    <w:p>
      <w:pPr>
        <w:pStyle w:val="Heading4"/>
      </w:pPr>
      <w:r>
        <w:t>Proposed Phased Restructuring Approach</w:t>
      </w:r>
    </w:p>
    <w:p/>
    <w:p>
      <w:r>
        <w:rPr>
          <w:b/>
        </w:rPr>
        <w:t>Phase 1: Enhanced Norwegian Structure (Immediate Implementation)</w:t>
      </w:r>
    </w:p>
    <w:p/>
    <w:p>
      <w:r>
        <w:t>The first phase maintains the existing Norwegian corporate structure while implementing enhanced governance and reporting standards that prepare for eventual restructuring. This approach minimizes immediate disruption while beginning the preparation process for eventual US parent company structure.</w:t>
      </w:r>
    </w:p>
    <w:p/>
    <w:p>
      <w:r>
        <w:t>Enhanced governance implementation includes board restructuring, audit committee establishment, and US GAAP reporting implementation that can be accomplished within the existing corporate structure. These changes provide immediate investor protections while preparing the foundation for eventual restructuring.</w:t>
      </w:r>
    </w:p>
    <w:p/>
    <w:p>
      <w:r>
        <w:t>US subsidiary establishment for investor relations and compliance activities provides a US presence for investor communication and regulatory coordination while maintaining operational continuity in Norway. This subsidiary can serve as the foundation for eventual parent company structure while minimizing immediate operational impact.</w:t>
      </w:r>
    </w:p>
    <w:p/>
    <w:p>
      <w:r>
        <w:rPr>
          <w:b/>
        </w:rPr>
        <w:t>Phase 2: Gradual Integration (6-12 months)</w:t>
      </w:r>
    </w:p>
    <w:p/>
    <w:p>
      <w:r>
        <w:t>The second phase begins the formal restructuring process with Delaware parent company establishment and gradual migration of key contracts and relationships. This timeline allows for proper regulatory coordination, tax optimization, and operational planning to minimize disruption and maximize efficiency.</w:t>
      </w:r>
    </w:p>
    <w:p/>
    <w:p>
      <w:r>
        <w:t>Contract migration and relationship management during this phase ensures continuity of key business relationships while optimizing the corporate structure for US public company requirements. This gradual approach reduces execution risk while maintaining operational performance during the transition.</w:t>
      </w:r>
    </w:p>
    <w:p/>
    <w:p>
      <w:r>
        <w:t>Regulatory coordination with both Norwegian and US authorities ensures compliance with all applicable requirements while optimizing the structure for operational efficiency and tax effectiveness. This coordination is essential for successful restructuring without regulatory complications or operational disruption.</w:t>
      </w:r>
    </w:p>
    <w:p/>
    <w:p>
      <w:r>
        <w:rPr>
          <w:b/>
        </w:rPr>
        <w:t>Phase 3: Full Integration (12-18 months)</w:t>
      </w:r>
    </w:p>
    <w:p/>
    <w:p>
      <w:r>
        <w:t>The final phase completes the corporate restructuring with full integration under the US parent company structure and preparation for public listing. This timeline allows for comprehensive implementation while maintaining operational focus on business growth and value creation.</w:t>
      </w:r>
    </w:p>
    <w:p/>
    <w:p>
      <w:r>
        <w:t>Full integration includes consolidation of all operations, completion of contract migrations, and implementation of full US public company structure and compliance systems. This comprehensive approach ensures successful restructuring while maintaining operational excellence and investor confidence.</w:t>
      </w:r>
    </w:p>
    <w:p/>
    <w:p>
      <w:r>
        <w:t>The extended timeline also allows for optimization of the restructuring based on market conditions, regulatory requirements, and operational considerations that may not be fully apparent at the beginning of the process. This flexibility ensures optimal outcomes while maintaining transaction momentum and investor confidence.</w:t>
      </w:r>
    </w:p>
    <w:p/>
    <w:p>
      <w:pPr>
        <w:pStyle w:val="Heading2"/>
      </w:pPr>
      <w:r>
        <w:t>SECTION E: COMPREHENSIVE IMPLEMENTATION STRATEGY</w:t>
      </w:r>
    </w:p>
    <w:p/>
    <w:p>
      <w:pPr>
        <w:pStyle w:val="Heading3"/>
      </w:pPr>
      <w:r>
        <w:t>Detailed Implementation Timeline and Milestones</w:t>
      </w:r>
    </w:p>
    <w:p/>
    <w:p>
      <w:pPr>
        <w:pStyle w:val="Heading4"/>
      </w:pPr>
      <w:r>
        <w:t>Month 1-2: Foundation and Negotiation Phase</w:t>
      </w:r>
    </w:p>
    <w:p/>
    <w:p>
      <w:r>
        <w:t>The implementation begins with comprehensive preparation and presentation of the alternative structure proposal to The Investor Capital LLC. This phase requires intensive preparation to ensure all aspects of the alternative structure are thoroughly analyzed, documented, and presented with compelling supporting evidence.</w:t>
      </w:r>
    </w:p>
    <w:p/>
    <w:p>
      <w:r>
        <w:t>The preparation phase includes development of detailed financial projections showing the superior returns available through the alternative structure, comprehensive risk analysis demonstrating reduced execution risks, and operational plans showing how the enhanced governance and milestone framework will drive superior business performance.</w:t>
      </w:r>
    </w:p>
    <w:p/>
    <w:p>
      <w:r>
        <w:t>Legal preparation during this phase includes engagement of experienced US securities counsel with Nordic company experience, coordination with Norwegian legal counsel for regulatory analysis, and preparation of draft documentation for the modified investment structure. This legal preparation is essential for efficient negotiation and rapid implementation upon agreement.</w:t>
      </w:r>
    </w:p>
    <w:p/>
    <w:p>
      <w:r>
        <w:t>The investor presentation should emphasize the compelling financial benefits of the alternative structure, including the $2-4 million cost savings, $55-80 million revenue acceleration potential, and superior risk-adjusted returns for both parties. Supporting materials should include detailed analysis of comparable transactions, market timing considerations, and operational improvement plans.</w:t>
      </w:r>
    </w:p>
    <w:p/>
    <w:p>
      <w:r>
        <w:t>Negotiation sessions during this phase focus on core structure principles while maintaining flexibility on implementation details. The company should be prepared to demonstrate flexibility on milestone definitions, timeline requirements, and governance implementation while maintaining firm positions on the fundamental economic benefits of the alternative approach.</w:t>
      </w:r>
    </w:p>
    <w:p/>
    <w:p>
      <w:pPr>
        <w:pStyle w:val="Heading4"/>
      </w:pPr>
      <w:r>
        <w:t>Month 3-4: Infrastructure Development Phase</w:t>
      </w:r>
    </w:p>
    <w:p/>
    <w:p>
      <w:r>
        <w:t>Upon reaching agreement on the alternative structure, the infrastructure development phase begins with implementation of enhanced governance systems and operational improvements that form the foundation of the Enhanced Private Company Framework.</w:t>
      </w:r>
    </w:p>
    <w:p/>
    <w:p>
      <w:r>
        <w:t>Board restructuring during this phase includes recruitment and appointment of independent directors with appropriate qualifications and experience. Director candidates should have demonstrated experience with US public companies, SEC reporting requirements, and maritime industry expertise. The recruitment process should include comprehensive background checks, reference verification, and skills assessment to ensure optimal board composition.</w:t>
      </w:r>
    </w:p>
    <w:p/>
    <w:p>
      <w:r>
        <w:t>Audit committee establishment requires identification and appointment of financially qualified independent members with specific experience in US GAAP reporting, SEC compliance, and public company audit oversight. Committee members should have professional accounting or financial management experience with public companies and demonstrated understanding of fiduciary responsibilities to investors.</w:t>
      </w:r>
    </w:p>
    <w:p/>
    <w:p>
      <w:r>
        <w:t>Financial reporting system implementation includes conversion to US GAAP accounting standards, establishment of quarterly reporting processes, and development of key performance indicator dashboards for ongoing operational monitoring. This implementation requires coordination with existing accounting systems and may require software upgrades or replacements to ensure accurate and efficient reporting.</w:t>
      </w:r>
    </w:p>
    <w:p/>
    <w:p>
      <w:r>
        <w:t>Internal control system implementation includes development of Sarbanes-Oxley equivalent controls for financial reporting, operational procedures, and compliance monitoring. These systems provide investors with confidence in financial reporting accuracy while preparing the company for eventual public company requirements.</w:t>
      </w:r>
    </w:p>
    <w:p/>
    <w:p>
      <w:pPr>
        <w:pStyle w:val="Heading4"/>
      </w:pPr>
      <w:r>
        <w:t>Month 5-6: Milestone Achievement and Capital Access Phase</w:t>
      </w:r>
    </w:p>
    <w:p/>
    <w:p>
      <w:r>
        <w:t>The milestone achievement phase focuses on execution of specific performance targets that justify access to Tranche 1 capital while demonstrating operational excellence and management capability.</w:t>
      </w:r>
    </w:p>
    <w:p/>
    <w:p>
      <w:r>
        <w:t>Revenue milestone achievement requires focused sales and marketing efforts to achieve the $50 million annual run rate target within the specified timeframe. This may require acceleration of existing sales processes, expansion of marketing activities, or strategic partnerships to achieve the required revenue levels.</w:t>
      </w:r>
    </w:p>
    <w:p/>
    <w:p>
      <w:r>
        <w:t>Operational efficiency improvements focus on achieving and maintaining gross margin targets above 25% while improving operational metrics such as on-time delivery, customer satisfaction, and safety performance. These improvements demonstrate operational excellence while providing sustainable competitive advantages.</w:t>
      </w:r>
    </w:p>
    <w:p/>
    <w:p>
      <w:r>
        <w:t>Customer contract development focuses on securing long-term contracts totaling $75 million with 24+ month terms to provide revenue visibility and reduce business risk. This effort may require enhanced customer relationship management, competitive pricing strategies, or service expansion to achieve the required contract levels.</w:t>
      </w:r>
    </w:p>
    <w:p/>
    <w:p>
      <w:r>
        <w:t>Financial management improvements focus on achieving debt service coverage ratios above 1.5x while maintaining appropriate working capital levels for business growth. This may require debt restructuring, working capital optimization, or cash flow management improvements to achieve the required financial metrics.</w:t>
      </w:r>
    </w:p>
    <w:p/>
    <w:p>
      <w:r>
        <w:t>Independent verification and audit of milestone achievement provides investors with confidence in performance reporting while ensuring accurate measurement of progress toward targets. This verification should include third-party audits of financial performance, operational metrics, and customer contract validation.</w:t>
      </w:r>
    </w:p>
    <w:p/>
    <w:p>
      <w:pPr>
        <w:pStyle w:val="Heading3"/>
      </w:pPr>
      <w:r>
        <w:t>Risk Management and Contingency Planning</w:t>
      </w:r>
    </w:p>
    <w:p/>
    <w:p>
      <w:pPr>
        <w:pStyle w:val="Heading4"/>
      </w:pPr>
      <w:r>
        <w:t>Execution Risk Management</w:t>
      </w:r>
    </w:p>
    <w:p/>
    <w:p>
      <w:r>
        <w:t>The alternative structure creates specific execution risks that must be carefully managed through comprehensive planning, professional support, and regular monitoring of progress toward milestones and implementation targets.</w:t>
      </w:r>
    </w:p>
    <w:p/>
    <w:p>
      <w:r>
        <w:t>Milestone achievement risk is managed through conservative target setting with achievable goals and adequate buffer margins for execution uncertainty. Milestones should be challenging enough to demonstrate genuine performance improvement while remaining achievable within the specified timeframes even with some operational challenges.</w:t>
      </w:r>
    </w:p>
    <w:p/>
    <w:p>
      <w:r>
        <w:t>Professional support and advisory services provide expertise and resources for complex implementation activities such as governance system development, financial reporting conversion, and operational improvement initiatives. This support reduces execution risk while ensuring professional-grade implementation quality.</w:t>
      </w:r>
    </w:p>
    <w:p/>
    <w:p>
      <w:r>
        <w:rPr>
          <w:b/>
        </w:rPr>
        <w:t>Regular progress monitoring through monthly reporting and quarterly reviews provides early warning of potential issues while enabling proactive management of challenges before they become critical problems. This monitoring should include both quantitative metrics and qualitative assessments of progress and potential obstacles.</w:t>
      </w:r>
    </w:p>
    <w:p/>
    <w:p>
      <w:r>
        <w:t>Contingency planning for alternative approaches ensures that backup strategies are available if primary implementation approaches encounter unexpected obstacles. These contingencies should include alternative milestone definitions, extended timelines, or modified implementation approaches that maintain the core benefits of the alternative structure.</w:t>
      </w:r>
    </w:p>
    <w:p/>
    <w:p>
      <w:pPr>
        <w:pStyle w:val="Heading4"/>
      </w:pPr>
      <w:r>
        <w:t>Market and External Risk Management</w:t>
      </w:r>
    </w:p>
    <w:p/>
    <w:p>
      <w:r>
        <w:t>External market conditions and regulatory changes could impact the alternative structure's effectiveness and require adaptive management approaches to maintain investor confidence and transaction viability.</w:t>
      </w:r>
    </w:p>
    <w:p/>
    <w:p>
      <w:r>
        <w:t>Market condition monitoring includes regular analysis of maritime industry trends, capital market conditions, and regulatory developments that could impact company performance or investor expectations. This monitoring enables proactive adaptation of strategies and communication with investors about external factors affecting performance.</w:t>
      </w:r>
    </w:p>
    <w:p/>
    <w:p>
      <w:r>
        <w:t>Regulatory risk management includes ongoing coordination with Norwegian and US regulatory authorities to ensure continued compliance with applicable requirements and early identification of potential regulatory changes that could impact the structure or operations.</w:t>
      </w:r>
    </w:p>
    <w:p/>
    <w:p>
      <w:r>
        <w:t>Currency and commodity price hedging strategies protect against external market volatility that could impact financial performance or milestone achievement. These strategies should be designed to provide stability while maintaining operational flexibility for business growth and development.</w:t>
      </w:r>
    </w:p>
    <w:p/>
    <w:p>
      <w:r>
        <w:t>Customer and supplier relationship management ensures continuity of key business relationships during the implementation period while protecting against external disruptions that could impact operational performance or milestone achievement.</w:t>
      </w:r>
    </w:p>
    <w:p/>
    <w:p>
      <w:pPr>
        <w:pStyle w:val="Heading4"/>
      </w:pPr>
      <w:r>
        <w:t>Investor Relationship Management</w:t>
      </w:r>
    </w:p>
    <w:p/>
    <w:p>
      <w:r>
        <w:t>Maintaining strong investor relationships throughout the implementation period is essential for successful execution of the alternative structure and continued access to capital for business growth and development.</w:t>
      </w:r>
    </w:p>
    <w:p/>
    <w:p>
      <w:r>
        <w:t>Regular communication through monthly progress reports, quarterly business reviews, and annual investor meetings provides transparency and maintains investor confidence while demonstrating management competence and commitment to successful execution.</w:t>
      </w:r>
    </w:p>
    <w:p/>
    <w:p>
      <w:r>
        <w:t>Proactive issue identification and resolution ensures that potential problems are addressed quickly and effectively before they impact investor confidence or transaction viability. This includes both operational issues and external factors that could affect performance or timeline achievement.</w:t>
      </w:r>
    </w:p>
    <w:p/>
    <w:p>
      <w:r>
        <w:t>Professional investor relations support provides expertise in investor communication, regulatory compliance, and relationship management that ensures effective communication and maintains investor confidence throughout the implementation period.</w:t>
      </w:r>
    </w:p>
    <w:p/>
    <w:p>
      <w:r>
        <w:rPr>
          <w:b/>
        </w:rPr>
        <w:t>Clear escalation procedures for significant issues or concerns ensure that important matters receive appropriate attention and resolution while maintaining investor confidence in management capability and commitment to successful outcomes.</w:t>
      </w:r>
    </w:p>
    <w:p/>
    <w:p>
      <w:r>
        <w:t>This comprehensive approach to implementation, risk management, and investor relations ensures the highest probability of successful execution while maintaining operational excellence and investor confidence throughout the process.</w:t>
      </w:r>
    </w:p>
    <w:p/>
    <w:p/>
    <w:p>
      <w:pPr>
        <w:pStyle w:val="Heading2"/>
      </w:pPr>
      <w:r>
        <w:t>SECTION F: FINANCIAL ANALYSIS AND COMPARATIVE MODELING</w:t>
      </w:r>
    </w:p>
    <w:p/>
    <w:p>
      <w:pPr>
        <w:pStyle w:val="Heading3"/>
      </w:pPr>
      <w:r>
        <w:t>Comprehensive Cost-Benefit Analysis</w:t>
      </w:r>
    </w:p>
    <w:p/>
    <w:p>
      <w:pPr>
        <w:pStyle w:val="Heading4"/>
      </w:pPr>
      <w:r>
        <w:t>Traditional Immediate Listing Approach - Detailed Cost Breakdown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Cost Category</w:t>
            </w:r>
          </w:p>
        </w:tc>
        <w:tc>
          <w:tcPr>
            <w:tcW w:type="dxa" w:w="1728"/>
          </w:tcPr>
          <w:p>
            <w:r>
              <w:rPr>
                <w:b/>
              </w:rPr>
              <w:t>Year 1</w:t>
            </w:r>
          </w:p>
        </w:tc>
        <w:tc>
          <w:tcPr>
            <w:tcW w:type="dxa" w:w="1728"/>
          </w:tcPr>
          <w:p>
            <w:r>
              <w:rPr>
                <w:b/>
              </w:rPr>
              <w:t>Year 2</w:t>
            </w:r>
          </w:p>
        </w:tc>
        <w:tc>
          <w:tcPr>
            <w:tcW w:type="dxa" w:w="1728"/>
          </w:tcPr>
          <w:p>
            <w:r>
              <w:rPr>
                <w:b/>
              </w:rPr>
              <w:t>Year 3</w:t>
            </w:r>
          </w:p>
        </w:tc>
        <w:tc>
          <w:tcPr>
            <w:tcW w:type="dxa" w:w="1728"/>
          </w:tcPr>
          <w:p>
            <w:r>
              <w:rPr>
                <w:b/>
              </w:rPr>
              <w:t>Total 3-Year</w:t>
            </w:r>
          </w:p>
        </w:tc>
      </w:tr>
      <w:tr>
        <w:tc>
          <w:tcPr>
            <w:tcW w:type="dxa" w:w="1728"/>
          </w:tcPr>
          <w:p>
            <w:r>
              <w:t>**Initial Listing Costs**</w:t>
            </w:r>
          </w:p>
        </w:tc>
        <w:tc>
          <w:tcPr>
            <w:tcW w:type="dxa" w:w="1728"/>
          </w:tcPr>
          <w:p>
            <w:r/>
          </w:p>
        </w:tc>
        <w:tc>
          <w:tcPr>
            <w:tcW w:type="dxa" w:w="1728"/>
          </w:tcPr>
          <w:p>
            <w:r/>
          </w:p>
        </w:tc>
        <w:tc>
          <w:tcPr>
            <w:tcW w:type="dxa" w:w="1728"/>
          </w:tcPr>
          <w:p>
            <w:r/>
          </w:p>
        </w:tc>
        <w:tc>
          <w:tcPr>
            <w:tcW w:type="dxa" w:w="1728"/>
          </w:tcPr>
          <w:p>
            <w:r/>
          </w:p>
        </w:tc>
      </w:tr>
      <w:tr>
        <w:tc>
          <w:tcPr>
            <w:tcW w:type="dxa" w:w="1728"/>
          </w:tcPr>
          <w:p>
            <w:r>
              <w:t>Legal fees (securities counsel)</w:t>
            </w:r>
          </w:p>
        </w:tc>
        <w:tc>
          <w:tcPr>
            <w:tcW w:type="dxa" w:w="1728"/>
          </w:tcPr>
          <w:p>
            <w:r>
              <w:t>$200,000</w:t>
            </w:r>
          </w:p>
        </w:tc>
        <w:tc>
          <w:tcPr>
            <w:tcW w:type="dxa" w:w="1728"/>
          </w:tcPr>
          <w:p>
            <w:r>
              <w:t>$50,000</w:t>
            </w:r>
          </w:p>
        </w:tc>
        <w:tc>
          <w:tcPr>
            <w:tcW w:type="dxa" w:w="1728"/>
          </w:tcPr>
          <w:p>
            <w:r>
              <w:t>$50,000</w:t>
            </w:r>
          </w:p>
        </w:tc>
        <w:tc>
          <w:tcPr>
            <w:tcW w:type="dxa" w:w="1728"/>
          </w:tcPr>
          <w:p>
            <w:r>
              <w:t>$300,000</w:t>
            </w:r>
          </w:p>
        </w:tc>
      </w:tr>
      <w:tr>
        <w:tc>
          <w:tcPr>
            <w:tcW w:type="dxa" w:w="1728"/>
          </w:tcPr>
          <w:p>
            <w:r>
              <w:t>Accounting and audit fees</w:t>
            </w:r>
          </w:p>
        </w:tc>
        <w:tc>
          <w:tcPr>
            <w:tcW w:type="dxa" w:w="1728"/>
          </w:tcPr>
          <w:p>
            <w:r>
              <w:t>$150,000</w:t>
            </w:r>
          </w:p>
        </w:tc>
        <w:tc>
          <w:tcPr>
            <w:tcW w:type="dxa" w:w="1728"/>
          </w:tcPr>
          <w:p>
            <w:r>
              <w:t>$75,000</w:t>
            </w:r>
          </w:p>
        </w:tc>
        <w:tc>
          <w:tcPr>
            <w:tcW w:type="dxa" w:w="1728"/>
          </w:tcPr>
          <w:p>
            <w:r>
              <w:t>$75,000</w:t>
            </w:r>
          </w:p>
        </w:tc>
        <w:tc>
          <w:tcPr>
            <w:tcW w:type="dxa" w:w="1728"/>
          </w:tcPr>
          <w:p>
            <w:r>
              <w:t>$300,000</w:t>
            </w:r>
          </w:p>
        </w:tc>
      </w:tr>
      <w:tr>
        <w:tc>
          <w:tcPr>
            <w:tcW w:type="dxa" w:w="1728"/>
          </w:tcPr>
          <w:p>
            <w:r>
              <w:t>Investment banking fees</w:t>
            </w:r>
          </w:p>
        </w:tc>
        <w:tc>
          <w:tcPr>
            <w:tcW w:type="dxa" w:w="1728"/>
          </w:tcPr>
          <w:p>
            <w:r>
              <w:t>$300,000</w:t>
            </w:r>
          </w:p>
        </w:tc>
        <w:tc>
          <w:tcPr>
            <w:tcW w:type="dxa" w:w="1728"/>
          </w:tcPr>
          <w:p>
            <w:r>
              <w:t>$0</w:t>
            </w:r>
          </w:p>
        </w:tc>
        <w:tc>
          <w:tcPr>
            <w:tcW w:type="dxa" w:w="1728"/>
          </w:tcPr>
          <w:p>
            <w:r>
              <w:t>$0</w:t>
            </w:r>
          </w:p>
        </w:tc>
        <w:tc>
          <w:tcPr>
            <w:tcW w:type="dxa" w:w="1728"/>
          </w:tcPr>
          <w:p>
            <w:r>
              <w:t>$300,000</w:t>
            </w:r>
          </w:p>
        </w:tc>
      </w:tr>
      <w:tr>
        <w:tc>
          <w:tcPr>
            <w:tcW w:type="dxa" w:w="1728"/>
          </w:tcPr>
          <w:p>
            <w:r>
              <w:t>Exchange listing fees</w:t>
            </w:r>
          </w:p>
        </w:tc>
        <w:tc>
          <w:tcPr>
            <w:tcW w:type="dxa" w:w="1728"/>
          </w:tcPr>
          <w:p>
            <w:r>
              <w:t>$100,000</w:t>
            </w:r>
          </w:p>
        </w:tc>
        <w:tc>
          <w:tcPr>
            <w:tcW w:type="dxa" w:w="1728"/>
          </w:tcPr>
          <w:p>
            <w:r>
              <w:t>$50,000</w:t>
            </w:r>
          </w:p>
        </w:tc>
        <w:tc>
          <w:tcPr>
            <w:tcW w:type="dxa" w:w="1728"/>
          </w:tcPr>
          <w:p>
            <w:r>
              <w:t>$50,000</w:t>
            </w:r>
          </w:p>
        </w:tc>
        <w:tc>
          <w:tcPr>
            <w:tcW w:type="dxa" w:w="1728"/>
          </w:tcPr>
          <w:p>
            <w:r>
              <w:t>$200,000</w:t>
            </w:r>
          </w:p>
        </w:tc>
      </w:tr>
      <w:tr>
        <w:tc>
          <w:tcPr>
            <w:tcW w:type="dxa" w:w="1728"/>
          </w:tcPr>
          <w:p>
            <w:r>
              <w:t>**Ongoing Compliance Costs**</w:t>
            </w:r>
          </w:p>
        </w:tc>
        <w:tc>
          <w:tcPr>
            <w:tcW w:type="dxa" w:w="1728"/>
          </w:tcPr>
          <w:p>
            <w:r/>
          </w:p>
        </w:tc>
        <w:tc>
          <w:tcPr>
            <w:tcW w:type="dxa" w:w="1728"/>
          </w:tcPr>
          <w:p>
            <w:r/>
          </w:p>
        </w:tc>
        <w:tc>
          <w:tcPr>
            <w:tcW w:type="dxa" w:w="1728"/>
          </w:tcPr>
          <w:p>
            <w:r/>
          </w:p>
        </w:tc>
        <w:tc>
          <w:tcPr>
            <w:tcW w:type="dxa" w:w="1728"/>
          </w:tcPr>
          <w:p>
            <w:r/>
          </w:p>
        </w:tc>
      </w:tr>
      <w:tr>
        <w:tc>
          <w:tcPr>
            <w:tcW w:type="dxa" w:w="1728"/>
          </w:tcPr>
          <w:p>
            <w:r>
              <w:t>SEC reporting and filing</w:t>
            </w:r>
          </w:p>
        </w:tc>
        <w:tc>
          <w:tcPr>
            <w:tcW w:type="dxa" w:w="1728"/>
          </w:tcPr>
          <w:p>
            <w:r>
              <w:t>$200,000</w:t>
            </w:r>
          </w:p>
        </w:tc>
        <w:tc>
          <w:tcPr>
            <w:tcW w:type="dxa" w:w="1728"/>
          </w:tcPr>
          <w:p>
            <w:r>
              <w:t>$200,000</w:t>
            </w:r>
          </w:p>
        </w:tc>
        <w:tc>
          <w:tcPr>
            <w:tcW w:type="dxa" w:w="1728"/>
          </w:tcPr>
          <w:p>
            <w:r>
              <w:t>$200,000</w:t>
            </w:r>
          </w:p>
        </w:tc>
        <w:tc>
          <w:tcPr>
            <w:tcW w:type="dxa" w:w="1728"/>
          </w:tcPr>
          <w:p>
            <w:r>
              <w:t>$600,000</w:t>
            </w:r>
          </w:p>
        </w:tc>
      </w:tr>
      <w:tr>
        <w:tc>
          <w:tcPr>
            <w:tcW w:type="dxa" w:w="1728"/>
          </w:tcPr>
          <w:p>
            <w:r>
              <w:t>Independent audit (annual)</w:t>
            </w:r>
          </w:p>
        </w:tc>
        <w:tc>
          <w:tcPr>
            <w:tcW w:type="dxa" w:w="1728"/>
          </w:tcPr>
          <w:p>
            <w:r>
              <w:t>$150,000</w:t>
            </w:r>
          </w:p>
        </w:tc>
        <w:tc>
          <w:tcPr>
            <w:tcW w:type="dxa" w:w="1728"/>
          </w:tcPr>
          <w:p>
            <w:r>
              <w:t>$150,000</w:t>
            </w:r>
          </w:p>
        </w:tc>
        <w:tc>
          <w:tcPr>
            <w:tcW w:type="dxa" w:w="1728"/>
          </w:tcPr>
          <w:p>
            <w:r>
              <w:t>$150,000</w:t>
            </w:r>
          </w:p>
        </w:tc>
        <w:tc>
          <w:tcPr>
            <w:tcW w:type="dxa" w:w="1728"/>
          </w:tcPr>
          <w:p>
            <w:r>
              <w:t>$450,000</w:t>
            </w:r>
          </w:p>
        </w:tc>
      </w:tr>
      <w:tr>
        <w:tc>
          <w:tcPr>
            <w:tcW w:type="dxa" w:w="1728"/>
          </w:tcPr>
          <w:p>
            <w:r>
              <w:t>Legal compliance support</w:t>
            </w:r>
          </w:p>
        </w:tc>
        <w:tc>
          <w:tcPr>
            <w:tcW w:type="dxa" w:w="1728"/>
          </w:tcPr>
          <w:p>
            <w:r>
              <w:t>$100,000</w:t>
            </w:r>
          </w:p>
        </w:tc>
        <w:tc>
          <w:tcPr>
            <w:tcW w:type="dxa" w:w="1728"/>
          </w:tcPr>
          <w:p>
            <w:r>
              <w:t>$100,000</w:t>
            </w:r>
          </w:p>
        </w:tc>
        <w:tc>
          <w:tcPr>
            <w:tcW w:type="dxa" w:w="1728"/>
          </w:tcPr>
          <w:p>
            <w:r>
              <w:t>$100,000</w:t>
            </w:r>
          </w:p>
        </w:tc>
        <w:tc>
          <w:tcPr>
            <w:tcW w:type="dxa" w:w="1728"/>
          </w:tcPr>
          <w:p>
            <w:r>
              <w:t>$300,000</w:t>
            </w:r>
          </w:p>
        </w:tc>
      </w:tr>
      <w:tr>
        <w:tc>
          <w:tcPr>
            <w:tcW w:type="dxa" w:w="1728"/>
          </w:tcPr>
          <w:p>
            <w:r>
              <w:t>Investor relations</w:t>
            </w:r>
          </w:p>
        </w:tc>
        <w:tc>
          <w:tcPr>
            <w:tcW w:type="dxa" w:w="1728"/>
          </w:tcPr>
          <w:p>
            <w:r>
              <w:t>$75,000</w:t>
            </w:r>
          </w:p>
        </w:tc>
        <w:tc>
          <w:tcPr>
            <w:tcW w:type="dxa" w:w="1728"/>
          </w:tcPr>
          <w:p>
            <w:r>
              <w:t>$75,000</w:t>
            </w:r>
          </w:p>
        </w:tc>
        <w:tc>
          <w:tcPr>
            <w:tcW w:type="dxa" w:w="1728"/>
          </w:tcPr>
          <w:p>
            <w:r>
              <w:t>$75,000</w:t>
            </w:r>
          </w:p>
        </w:tc>
        <w:tc>
          <w:tcPr>
            <w:tcW w:type="dxa" w:w="1728"/>
          </w:tcPr>
          <w:p>
            <w:r>
              <w:t>$225,000</w:t>
            </w:r>
          </w:p>
        </w:tc>
      </w:tr>
      <w:tr>
        <w:tc>
          <w:tcPr>
            <w:tcW w:type="dxa" w:w="1728"/>
          </w:tcPr>
          <w:p>
            <w:r>
              <w:t>Board and committee costs</w:t>
            </w:r>
          </w:p>
        </w:tc>
        <w:tc>
          <w:tcPr>
            <w:tcW w:type="dxa" w:w="1728"/>
          </w:tcPr>
          <w:p>
            <w:r>
              <w:t>$100,000</w:t>
            </w:r>
          </w:p>
        </w:tc>
        <w:tc>
          <w:tcPr>
            <w:tcW w:type="dxa" w:w="1728"/>
          </w:tcPr>
          <w:p>
            <w:r>
              <w:t>$100,000</w:t>
            </w:r>
          </w:p>
        </w:tc>
        <w:tc>
          <w:tcPr>
            <w:tcW w:type="dxa" w:w="1728"/>
          </w:tcPr>
          <w:p>
            <w:r>
              <w:t>$100,000</w:t>
            </w:r>
          </w:p>
        </w:tc>
        <w:tc>
          <w:tcPr>
            <w:tcW w:type="dxa" w:w="1728"/>
          </w:tcPr>
          <w:p>
            <w:r>
              <w:t>$300,000</w:t>
            </w:r>
          </w:p>
        </w:tc>
      </w:tr>
      <w:tr>
        <w:tc>
          <w:tcPr>
            <w:tcW w:type="dxa" w:w="1728"/>
          </w:tcPr>
          <w:p>
            <w:r>
              <w:t>Insurance (D&amp;O, etc.)</w:t>
            </w:r>
          </w:p>
        </w:tc>
        <w:tc>
          <w:tcPr>
            <w:tcW w:type="dxa" w:w="1728"/>
          </w:tcPr>
          <w:p>
            <w:r>
              <w:t>$50,000</w:t>
            </w:r>
          </w:p>
        </w:tc>
        <w:tc>
          <w:tcPr>
            <w:tcW w:type="dxa" w:w="1728"/>
          </w:tcPr>
          <w:p>
            <w:r>
              <w:t>$50,000</w:t>
            </w:r>
          </w:p>
        </w:tc>
        <w:tc>
          <w:tcPr>
            <w:tcW w:type="dxa" w:w="1728"/>
          </w:tcPr>
          <w:p>
            <w:r>
              <w:t>$50,000</w:t>
            </w:r>
          </w:p>
        </w:tc>
        <w:tc>
          <w:tcPr>
            <w:tcW w:type="dxa" w:w="1728"/>
          </w:tcPr>
          <w:p>
            <w:r>
              <w:t>$150,000</w:t>
            </w:r>
          </w:p>
        </w:tc>
      </w:tr>
      <w:tr>
        <w:tc>
          <w:tcPr>
            <w:tcW w:type="dxa" w:w="1728"/>
          </w:tcPr>
          <w:p>
            <w:r>
              <w:t>**Technology and Systems**</w:t>
            </w:r>
          </w:p>
        </w:tc>
        <w:tc>
          <w:tcPr>
            <w:tcW w:type="dxa" w:w="1728"/>
          </w:tcPr>
          <w:p>
            <w:r/>
          </w:p>
        </w:tc>
        <w:tc>
          <w:tcPr>
            <w:tcW w:type="dxa" w:w="1728"/>
          </w:tcPr>
          <w:p>
            <w:r/>
          </w:p>
        </w:tc>
        <w:tc>
          <w:tcPr>
            <w:tcW w:type="dxa" w:w="1728"/>
          </w:tcPr>
          <w:p>
            <w:r/>
          </w:p>
        </w:tc>
        <w:tc>
          <w:tcPr>
            <w:tcW w:type="dxa" w:w="1728"/>
          </w:tcPr>
          <w:p>
            <w:r/>
          </w:p>
        </w:tc>
      </w:tr>
      <w:tr>
        <w:tc>
          <w:tcPr>
            <w:tcW w:type="dxa" w:w="1728"/>
          </w:tcPr>
          <w:p>
            <w:r>
              <w:t>Reporting systems upgrade</w:t>
            </w:r>
          </w:p>
        </w:tc>
        <w:tc>
          <w:tcPr>
            <w:tcW w:type="dxa" w:w="1728"/>
          </w:tcPr>
          <w:p>
            <w:r>
              <w:t>$100,000</w:t>
            </w:r>
          </w:p>
        </w:tc>
        <w:tc>
          <w:tcPr>
            <w:tcW w:type="dxa" w:w="1728"/>
          </w:tcPr>
          <w:p>
            <w:r>
              <w:t>$25,000</w:t>
            </w:r>
          </w:p>
        </w:tc>
        <w:tc>
          <w:tcPr>
            <w:tcW w:type="dxa" w:w="1728"/>
          </w:tcPr>
          <w:p>
            <w:r>
              <w:t>$25,000</w:t>
            </w:r>
          </w:p>
        </w:tc>
        <w:tc>
          <w:tcPr>
            <w:tcW w:type="dxa" w:w="1728"/>
          </w:tcPr>
          <w:p>
            <w:r>
              <w:t>$150,000</w:t>
            </w:r>
          </w:p>
        </w:tc>
      </w:tr>
      <w:tr>
        <w:tc>
          <w:tcPr>
            <w:tcW w:type="dxa" w:w="1728"/>
          </w:tcPr>
          <w:p>
            <w:r>
              <w:t>Compliance software</w:t>
            </w:r>
          </w:p>
        </w:tc>
        <w:tc>
          <w:tcPr>
            <w:tcW w:type="dxa" w:w="1728"/>
          </w:tcPr>
          <w:p>
            <w:r>
              <w:t>$50,000</w:t>
            </w:r>
          </w:p>
        </w:tc>
        <w:tc>
          <w:tcPr>
            <w:tcW w:type="dxa" w:w="1728"/>
          </w:tcPr>
          <w:p>
            <w:r>
              <w:t>$50,000</w:t>
            </w:r>
          </w:p>
        </w:tc>
        <w:tc>
          <w:tcPr>
            <w:tcW w:type="dxa" w:w="1728"/>
          </w:tcPr>
          <w:p>
            <w:r>
              <w:t>$50,000</w:t>
            </w:r>
          </w:p>
        </w:tc>
        <w:tc>
          <w:tcPr>
            <w:tcW w:type="dxa" w:w="1728"/>
          </w:tcPr>
          <w:p>
            <w:r>
              <w:t>$150,000</w:t>
            </w:r>
          </w:p>
        </w:tc>
      </w:tr>
      <w:tr>
        <w:tc>
          <w:tcPr>
            <w:tcW w:type="dxa" w:w="1728"/>
          </w:tcPr>
          <w:p>
            <w:r>
              <w:t>**Management Time Costs**</w:t>
            </w:r>
          </w:p>
        </w:tc>
        <w:tc>
          <w:tcPr>
            <w:tcW w:type="dxa" w:w="1728"/>
          </w:tcPr>
          <w:p>
            <w:r/>
          </w:p>
        </w:tc>
        <w:tc>
          <w:tcPr>
            <w:tcW w:type="dxa" w:w="1728"/>
          </w:tcPr>
          <w:p>
            <w:r/>
          </w:p>
        </w:tc>
        <w:tc>
          <w:tcPr>
            <w:tcW w:type="dxa" w:w="1728"/>
          </w:tcPr>
          <w:p>
            <w:r/>
          </w:p>
        </w:tc>
        <w:tc>
          <w:tcPr>
            <w:tcW w:type="dxa" w:w="1728"/>
          </w:tcPr>
          <w:p>
            <w:r/>
          </w:p>
        </w:tc>
      </w:tr>
      <w:tr>
        <w:tc>
          <w:tcPr>
            <w:tcW w:type="dxa" w:w="1728"/>
          </w:tcPr>
          <w:p>
            <w:r>
              <w:t>Executive time (estimated)</w:t>
            </w:r>
          </w:p>
        </w:tc>
        <w:tc>
          <w:tcPr>
            <w:tcW w:type="dxa" w:w="1728"/>
          </w:tcPr>
          <w:p>
            <w:r>
              <w:t>$500,000</w:t>
            </w:r>
          </w:p>
        </w:tc>
        <w:tc>
          <w:tcPr>
            <w:tcW w:type="dxa" w:w="1728"/>
          </w:tcPr>
          <w:p>
            <w:r>
              <w:t>$200,000</w:t>
            </w:r>
          </w:p>
        </w:tc>
        <w:tc>
          <w:tcPr>
            <w:tcW w:type="dxa" w:w="1728"/>
          </w:tcPr>
          <w:p>
            <w:r>
              <w:t>$200,000</w:t>
            </w:r>
          </w:p>
        </w:tc>
        <w:tc>
          <w:tcPr>
            <w:tcW w:type="dxa" w:w="1728"/>
          </w:tcPr>
          <w:p>
            <w:r>
              <w:t>$900,000</w:t>
            </w:r>
          </w:p>
        </w:tc>
      </w:tr>
      <w:tr>
        <w:tc>
          <w:tcPr>
            <w:tcW w:type="dxa" w:w="1728"/>
          </w:tcPr>
          <w:p>
            <w:r>
              <w:t>**TOTAL ANNUAL COSTS**</w:t>
            </w:r>
          </w:p>
        </w:tc>
        <w:tc>
          <w:tcPr>
            <w:tcW w:type="dxa" w:w="1728"/>
          </w:tcPr>
          <w:p>
            <w:r>
              <w:t>**$2,175,000**</w:t>
            </w:r>
          </w:p>
        </w:tc>
        <w:tc>
          <w:tcPr>
            <w:tcW w:type="dxa" w:w="1728"/>
          </w:tcPr>
          <w:p>
            <w:r>
              <w:t>**$1,125,000**</w:t>
            </w:r>
          </w:p>
        </w:tc>
        <w:tc>
          <w:tcPr>
            <w:tcW w:type="dxa" w:w="1728"/>
          </w:tcPr>
          <w:p>
            <w:r>
              <w:t>**$1,125,000**</w:t>
            </w:r>
          </w:p>
        </w:tc>
        <w:tc>
          <w:tcPr>
            <w:tcW w:type="dxa" w:w="1728"/>
          </w:tcPr>
          <w:p>
            <w:r>
              <w:t>**$4,425,000**</w:t>
            </w:r>
          </w:p>
        </w:tc>
      </w:tr>
    </w:tbl>
    <w:p/>
    <w:p>
      <w:pPr>
        <w:pStyle w:val="Heading4"/>
      </w:pPr>
      <w:r>
        <w:t>Enhanced Private Company Framework - Detailed Cost Breakdown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Cost Category</w:t>
            </w:r>
          </w:p>
        </w:tc>
        <w:tc>
          <w:tcPr>
            <w:tcW w:type="dxa" w:w="1728"/>
          </w:tcPr>
          <w:p>
            <w:r>
              <w:rPr>
                <w:b/>
              </w:rPr>
              <w:t>Year 1</w:t>
            </w:r>
          </w:p>
        </w:tc>
        <w:tc>
          <w:tcPr>
            <w:tcW w:type="dxa" w:w="1728"/>
          </w:tcPr>
          <w:p>
            <w:r>
              <w:rPr>
                <w:b/>
              </w:rPr>
              <w:t>Year 2</w:t>
            </w:r>
          </w:p>
        </w:tc>
        <w:tc>
          <w:tcPr>
            <w:tcW w:type="dxa" w:w="1728"/>
          </w:tcPr>
          <w:p>
            <w:r>
              <w:rPr>
                <w:b/>
              </w:rPr>
              <w:t>Year 3</w:t>
            </w:r>
          </w:p>
        </w:tc>
        <w:tc>
          <w:tcPr>
            <w:tcW w:type="dxa" w:w="1728"/>
          </w:tcPr>
          <w:p>
            <w:r>
              <w:rPr>
                <w:b/>
              </w:rPr>
              <w:t>Total 3-Year</w:t>
            </w:r>
          </w:p>
        </w:tc>
      </w:tr>
      <w:tr>
        <w:tc>
          <w:tcPr>
            <w:tcW w:type="dxa" w:w="1728"/>
          </w:tcPr>
          <w:p>
            <w:r>
              <w:t>**Implementation Costs**</w:t>
            </w:r>
          </w:p>
        </w:tc>
        <w:tc>
          <w:tcPr>
            <w:tcW w:type="dxa" w:w="1728"/>
          </w:tcPr>
          <w:p>
            <w:r/>
          </w:p>
        </w:tc>
        <w:tc>
          <w:tcPr>
            <w:tcW w:type="dxa" w:w="1728"/>
          </w:tcPr>
          <w:p>
            <w:r/>
          </w:p>
        </w:tc>
        <w:tc>
          <w:tcPr>
            <w:tcW w:type="dxa" w:w="1728"/>
          </w:tcPr>
          <w:p>
            <w:r/>
          </w:p>
        </w:tc>
        <w:tc>
          <w:tcPr>
            <w:tcW w:type="dxa" w:w="1728"/>
          </w:tcPr>
          <w:p>
            <w:r/>
          </w:p>
        </w:tc>
      </w:tr>
      <w:tr>
        <w:tc>
          <w:tcPr>
            <w:tcW w:type="dxa" w:w="1728"/>
          </w:tcPr>
          <w:p>
            <w:r>
              <w:t>Governance system setup</w:t>
            </w:r>
          </w:p>
        </w:tc>
        <w:tc>
          <w:tcPr>
            <w:tcW w:type="dxa" w:w="1728"/>
          </w:tcPr>
          <w:p>
            <w:r>
              <w:t>$100,000</w:t>
            </w:r>
          </w:p>
        </w:tc>
        <w:tc>
          <w:tcPr>
            <w:tcW w:type="dxa" w:w="1728"/>
          </w:tcPr>
          <w:p>
            <w:r>
              <w:t>$25,000</w:t>
            </w:r>
          </w:p>
        </w:tc>
        <w:tc>
          <w:tcPr>
            <w:tcW w:type="dxa" w:w="1728"/>
          </w:tcPr>
          <w:p>
            <w:r>
              <w:t>$25,000</w:t>
            </w:r>
          </w:p>
        </w:tc>
        <w:tc>
          <w:tcPr>
            <w:tcW w:type="dxa" w:w="1728"/>
          </w:tcPr>
          <w:p>
            <w:r>
              <w:t>$150,000</w:t>
            </w:r>
          </w:p>
        </w:tc>
      </w:tr>
      <w:tr>
        <w:tc>
          <w:tcPr>
            <w:tcW w:type="dxa" w:w="1728"/>
          </w:tcPr>
          <w:p>
            <w:r>
              <w:t>Legal documentation</w:t>
            </w:r>
          </w:p>
        </w:tc>
        <w:tc>
          <w:tcPr>
            <w:tcW w:type="dxa" w:w="1728"/>
          </w:tcPr>
          <w:p>
            <w:r>
              <w:t>$75,000</w:t>
            </w:r>
          </w:p>
        </w:tc>
        <w:tc>
          <w:tcPr>
            <w:tcW w:type="dxa" w:w="1728"/>
          </w:tcPr>
          <w:p>
            <w:r>
              <w:t>$25,000</w:t>
            </w:r>
          </w:p>
        </w:tc>
        <w:tc>
          <w:tcPr>
            <w:tcW w:type="dxa" w:w="1728"/>
          </w:tcPr>
          <w:p>
            <w:r>
              <w:t>$25,000</w:t>
            </w:r>
          </w:p>
        </w:tc>
        <w:tc>
          <w:tcPr>
            <w:tcW w:type="dxa" w:w="1728"/>
          </w:tcPr>
          <w:p>
            <w:r>
              <w:t>$125,000</w:t>
            </w:r>
          </w:p>
        </w:tc>
      </w:tr>
      <w:tr>
        <w:tc>
          <w:tcPr>
            <w:tcW w:type="dxa" w:w="1728"/>
          </w:tcPr>
          <w:p>
            <w:r>
              <w:t>Financial system upgrade</w:t>
            </w:r>
          </w:p>
        </w:tc>
        <w:tc>
          <w:tcPr>
            <w:tcW w:type="dxa" w:w="1728"/>
          </w:tcPr>
          <w:p>
            <w:r>
              <w:t>$50,000</w:t>
            </w:r>
          </w:p>
        </w:tc>
        <w:tc>
          <w:tcPr>
            <w:tcW w:type="dxa" w:w="1728"/>
          </w:tcPr>
          <w:p>
            <w:r>
              <w:t>$15,000</w:t>
            </w:r>
          </w:p>
        </w:tc>
        <w:tc>
          <w:tcPr>
            <w:tcW w:type="dxa" w:w="1728"/>
          </w:tcPr>
          <w:p>
            <w:r>
              <w:t>$15,000</w:t>
            </w:r>
          </w:p>
        </w:tc>
        <w:tc>
          <w:tcPr>
            <w:tcW w:type="dxa" w:w="1728"/>
          </w:tcPr>
          <w:p>
            <w:r>
              <w:t>$80,000</w:t>
            </w:r>
          </w:p>
        </w:tc>
      </w:tr>
      <w:tr>
        <w:tc>
          <w:tcPr>
            <w:tcW w:type="dxa" w:w="1728"/>
          </w:tcPr>
          <w:p>
            <w:r>
              <w:t>**Enhanced Governance**</w:t>
            </w:r>
          </w:p>
        </w:tc>
        <w:tc>
          <w:tcPr>
            <w:tcW w:type="dxa" w:w="1728"/>
          </w:tcPr>
          <w:p>
            <w:r/>
          </w:p>
        </w:tc>
        <w:tc>
          <w:tcPr>
            <w:tcW w:type="dxa" w:w="1728"/>
          </w:tcPr>
          <w:p>
            <w:r/>
          </w:p>
        </w:tc>
        <w:tc>
          <w:tcPr>
            <w:tcW w:type="dxa" w:w="1728"/>
          </w:tcPr>
          <w:p>
            <w:r/>
          </w:p>
        </w:tc>
        <w:tc>
          <w:tcPr>
            <w:tcW w:type="dxa" w:w="1728"/>
          </w:tcPr>
          <w:p>
            <w:r/>
          </w:p>
        </w:tc>
      </w:tr>
      <w:tr>
        <w:tc>
          <w:tcPr>
            <w:tcW w:type="dxa" w:w="1728"/>
          </w:tcPr>
          <w:p>
            <w:r>
              <w:t>Independent board costs</w:t>
            </w:r>
          </w:p>
        </w:tc>
        <w:tc>
          <w:tcPr>
            <w:tcW w:type="dxa" w:w="1728"/>
          </w:tcPr>
          <w:p>
            <w:r>
              <w:t>$75,000</w:t>
            </w:r>
          </w:p>
        </w:tc>
        <w:tc>
          <w:tcPr>
            <w:tcW w:type="dxa" w:w="1728"/>
          </w:tcPr>
          <w:p>
            <w:r>
              <w:t>$75,000</w:t>
            </w:r>
          </w:p>
        </w:tc>
        <w:tc>
          <w:tcPr>
            <w:tcW w:type="dxa" w:w="1728"/>
          </w:tcPr>
          <w:p>
            <w:r>
              <w:t>$75,000</w:t>
            </w:r>
          </w:p>
        </w:tc>
        <w:tc>
          <w:tcPr>
            <w:tcW w:type="dxa" w:w="1728"/>
          </w:tcPr>
          <w:p>
            <w:r>
              <w:t>$225,000</w:t>
            </w:r>
          </w:p>
        </w:tc>
      </w:tr>
      <w:tr>
        <w:tc>
          <w:tcPr>
            <w:tcW w:type="dxa" w:w="1728"/>
          </w:tcPr>
          <w:p>
            <w:r>
              <w:t>Audit committee costs</w:t>
            </w:r>
          </w:p>
        </w:tc>
        <w:tc>
          <w:tcPr>
            <w:tcW w:type="dxa" w:w="1728"/>
          </w:tcPr>
          <w:p>
            <w:r>
              <w:t>$50,000</w:t>
            </w:r>
          </w:p>
        </w:tc>
        <w:tc>
          <w:tcPr>
            <w:tcW w:type="dxa" w:w="1728"/>
          </w:tcPr>
          <w:p>
            <w:r>
              <w:t>$50,000</w:t>
            </w:r>
          </w:p>
        </w:tc>
        <w:tc>
          <w:tcPr>
            <w:tcW w:type="dxa" w:w="1728"/>
          </w:tcPr>
          <w:p>
            <w:r>
              <w:t>$50,000</w:t>
            </w:r>
          </w:p>
        </w:tc>
        <w:tc>
          <w:tcPr>
            <w:tcW w:type="dxa" w:w="1728"/>
          </w:tcPr>
          <w:p>
            <w:r>
              <w:t>$150,000</w:t>
            </w:r>
          </w:p>
        </w:tc>
      </w:tr>
      <w:tr>
        <w:tc>
          <w:tcPr>
            <w:tcW w:type="dxa" w:w="1728"/>
          </w:tcPr>
          <w:p>
            <w:r>
              <w:t>Enhanced audit fees</w:t>
            </w:r>
          </w:p>
        </w:tc>
        <w:tc>
          <w:tcPr>
            <w:tcW w:type="dxa" w:w="1728"/>
          </w:tcPr>
          <w:p>
            <w:r>
              <w:t>$100,000</w:t>
            </w:r>
          </w:p>
        </w:tc>
        <w:tc>
          <w:tcPr>
            <w:tcW w:type="dxa" w:w="1728"/>
          </w:tcPr>
          <w:p>
            <w:r>
              <w:t>$100,000</w:t>
            </w:r>
          </w:p>
        </w:tc>
        <w:tc>
          <w:tcPr>
            <w:tcW w:type="dxa" w:w="1728"/>
          </w:tcPr>
          <w:p>
            <w:r>
              <w:t>$100,000</w:t>
            </w:r>
          </w:p>
        </w:tc>
        <w:tc>
          <w:tcPr>
            <w:tcW w:type="dxa" w:w="1728"/>
          </w:tcPr>
          <w:p>
            <w:r>
              <w:t>$300,000</w:t>
            </w:r>
          </w:p>
        </w:tc>
      </w:tr>
      <w:tr>
        <w:tc>
          <w:tcPr>
            <w:tcW w:type="dxa" w:w="1728"/>
          </w:tcPr>
          <w:p>
            <w:r>
              <w:t>**Reporting and Compliance**</w:t>
            </w:r>
          </w:p>
        </w:tc>
        <w:tc>
          <w:tcPr>
            <w:tcW w:type="dxa" w:w="1728"/>
          </w:tcPr>
          <w:p>
            <w:r/>
          </w:p>
        </w:tc>
        <w:tc>
          <w:tcPr>
            <w:tcW w:type="dxa" w:w="1728"/>
          </w:tcPr>
          <w:p>
            <w:r/>
          </w:p>
        </w:tc>
        <w:tc>
          <w:tcPr>
            <w:tcW w:type="dxa" w:w="1728"/>
          </w:tcPr>
          <w:p>
            <w:r/>
          </w:p>
        </w:tc>
        <w:tc>
          <w:tcPr>
            <w:tcW w:type="dxa" w:w="1728"/>
          </w:tcPr>
          <w:p>
            <w:r/>
          </w:p>
        </w:tc>
      </w:tr>
      <w:tr>
        <w:tc>
          <w:tcPr>
            <w:tcW w:type="dxa" w:w="1728"/>
          </w:tcPr>
          <w:p>
            <w:r>
              <w:t>US GAAP reporting</w:t>
            </w:r>
          </w:p>
        </w:tc>
        <w:tc>
          <w:tcPr>
            <w:tcW w:type="dxa" w:w="1728"/>
          </w:tcPr>
          <w:p>
            <w:r>
              <w:t>$75,000</w:t>
            </w:r>
          </w:p>
        </w:tc>
        <w:tc>
          <w:tcPr>
            <w:tcW w:type="dxa" w:w="1728"/>
          </w:tcPr>
          <w:p>
            <w:r>
              <w:t>$75,000</w:t>
            </w:r>
          </w:p>
        </w:tc>
        <w:tc>
          <w:tcPr>
            <w:tcW w:type="dxa" w:w="1728"/>
          </w:tcPr>
          <w:p>
            <w:r>
              <w:t>$75,000</w:t>
            </w:r>
          </w:p>
        </w:tc>
        <w:tc>
          <w:tcPr>
            <w:tcW w:type="dxa" w:w="1728"/>
          </w:tcPr>
          <w:p>
            <w:r>
              <w:t>$225,000</w:t>
            </w:r>
          </w:p>
        </w:tc>
      </w:tr>
      <w:tr>
        <w:tc>
          <w:tcPr>
            <w:tcW w:type="dxa" w:w="1728"/>
          </w:tcPr>
          <w:p>
            <w:r>
              <w:t>Investor reporting</w:t>
            </w:r>
          </w:p>
        </w:tc>
        <w:tc>
          <w:tcPr>
            <w:tcW w:type="dxa" w:w="1728"/>
          </w:tcPr>
          <w:p>
            <w:r>
              <w:t>$50,000</w:t>
            </w:r>
          </w:p>
        </w:tc>
        <w:tc>
          <w:tcPr>
            <w:tcW w:type="dxa" w:w="1728"/>
          </w:tcPr>
          <w:p>
            <w:r>
              <w:t>$50,000</w:t>
            </w:r>
          </w:p>
        </w:tc>
        <w:tc>
          <w:tcPr>
            <w:tcW w:type="dxa" w:w="1728"/>
          </w:tcPr>
          <w:p>
            <w:r>
              <w:t>$50,000</w:t>
            </w:r>
          </w:p>
        </w:tc>
        <w:tc>
          <w:tcPr>
            <w:tcW w:type="dxa" w:w="1728"/>
          </w:tcPr>
          <w:p>
            <w:r>
              <w:t>$150,000</w:t>
            </w:r>
          </w:p>
        </w:tc>
      </w:tr>
      <w:tr>
        <w:tc>
          <w:tcPr>
            <w:tcW w:type="dxa" w:w="1728"/>
          </w:tcPr>
          <w:p>
            <w:r>
              <w:t>Milestone verification</w:t>
            </w:r>
          </w:p>
        </w:tc>
        <w:tc>
          <w:tcPr>
            <w:tcW w:type="dxa" w:w="1728"/>
          </w:tcPr>
          <w:p>
            <w:r>
              <w:t>$25,000</w:t>
            </w:r>
          </w:p>
        </w:tc>
        <w:tc>
          <w:tcPr>
            <w:tcW w:type="dxa" w:w="1728"/>
          </w:tcPr>
          <w:p>
            <w:r>
              <w:t>$25,000</w:t>
            </w:r>
          </w:p>
        </w:tc>
        <w:tc>
          <w:tcPr>
            <w:tcW w:type="dxa" w:w="1728"/>
          </w:tcPr>
          <w:p>
            <w:r>
              <w:t>$25,000</w:t>
            </w:r>
          </w:p>
        </w:tc>
        <w:tc>
          <w:tcPr>
            <w:tcW w:type="dxa" w:w="1728"/>
          </w:tcPr>
          <w:p>
            <w:r>
              <w:t>$75,000</w:t>
            </w:r>
          </w:p>
        </w:tc>
      </w:tr>
      <w:tr>
        <w:tc>
          <w:tcPr>
            <w:tcW w:type="dxa" w:w="1728"/>
          </w:tcPr>
          <w:p>
            <w:r>
              <w:t>**Security and Insurance**</w:t>
            </w:r>
          </w:p>
        </w:tc>
        <w:tc>
          <w:tcPr>
            <w:tcW w:type="dxa" w:w="1728"/>
          </w:tcPr>
          <w:p>
            <w:r/>
          </w:p>
        </w:tc>
        <w:tc>
          <w:tcPr>
            <w:tcW w:type="dxa" w:w="1728"/>
          </w:tcPr>
          <w:p>
            <w:r/>
          </w:p>
        </w:tc>
        <w:tc>
          <w:tcPr>
            <w:tcW w:type="dxa" w:w="1728"/>
          </w:tcPr>
          <w:p>
            <w:r/>
          </w:p>
        </w:tc>
        <w:tc>
          <w:tcPr>
            <w:tcW w:type="dxa" w:w="1728"/>
          </w:tcPr>
          <w:p>
            <w:r/>
          </w:p>
        </w:tc>
      </w:tr>
      <w:tr>
        <w:tc>
          <w:tcPr>
            <w:tcW w:type="dxa" w:w="1728"/>
          </w:tcPr>
          <w:p>
            <w:r>
              <w:t>Enhanced insurance</w:t>
            </w:r>
          </w:p>
        </w:tc>
        <w:tc>
          <w:tcPr>
            <w:tcW w:type="dxa" w:w="1728"/>
          </w:tcPr>
          <w:p>
            <w:r>
              <w:t>$25,000</w:t>
            </w:r>
          </w:p>
        </w:tc>
        <w:tc>
          <w:tcPr>
            <w:tcW w:type="dxa" w:w="1728"/>
          </w:tcPr>
          <w:p>
            <w:r>
              <w:t>$25,000</w:t>
            </w:r>
          </w:p>
        </w:tc>
        <w:tc>
          <w:tcPr>
            <w:tcW w:type="dxa" w:w="1728"/>
          </w:tcPr>
          <w:p>
            <w:r>
              <w:t>$25,000</w:t>
            </w:r>
          </w:p>
        </w:tc>
        <w:tc>
          <w:tcPr>
            <w:tcW w:type="dxa" w:w="1728"/>
          </w:tcPr>
          <w:p>
            <w:r>
              <w:t>$75,000</w:t>
            </w:r>
          </w:p>
        </w:tc>
      </w:tr>
      <w:tr>
        <w:tc>
          <w:tcPr>
            <w:tcW w:type="dxa" w:w="1728"/>
          </w:tcPr>
          <w:p>
            <w:r>
              <w:t>Security documentation</w:t>
            </w:r>
          </w:p>
        </w:tc>
        <w:tc>
          <w:tcPr>
            <w:tcW w:type="dxa" w:w="1728"/>
          </w:tcPr>
          <w:p>
            <w:r>
              <w:t>$15,000</w:t>
            </w:r>
          </w:p>
        </w:tc>
        <w:tc>
          <w:tcPr>
            <w:tcW w:type="dxa" w:w="1728"/>
          </w:tcPr>
          <w:p>
            <w:r>
              <w:t>$5,000</w:t>
            </w:r>
          </w:p>
        </w:tc>
        <w:tc>
          <w:tcPr>
            <w:tcW w:type="dxa" w:w="1728"/>
          </w:tcPr>
          <w:p>
            <w:r>
              <w:t>$5,000</w:t>
            </w:r>
          </w:p>
        </w:tc>
        <w:tc>
          <w:tcPr>
            <w:tcW w:type="dxa" w:w="1728"/>
          </w:tcPr>
          <w:p>
            <w:r>
              <w:t>$25,000</w:t>
            </w:r>
          </w:p>
        </w:tc>
      </w:tr>
      <w:tr>
        <w:tc>
          <w:tcPr>
            <w:tcW w:type="dxa" w:w="1728"/>
          </w:tcPr>
          <w:p>
            <w:r>
              <w:t>**Professional Support**</w:t>
            </w:r>
          </w:p>
        </w:tc>
        <w:tc>
          <w:tcPr>
            <w:tcW w:type="dxa" w:w="1728"/>
          </w:tcPr>
          <w:p>
            <w:r/>
          </w:p>
        </w:tc>
        <w:tc>
          <w:tcPr>
            <w:tcW w:type="dxa" w:w="1728"/>
          </w:tcPr>
          <w:p>
            <w:r/>
          </w:p>
        </w:tc>
        <w:tc>
          <w:tcPr>
            <w:tcW w:type="dxa" w:w="1728"/>
          </w:tcPr>
          <w:p>
            <w:r/>
          </w:p>
        </w:tc>
        <w:tc>
          <w:tcPr>
            <w:tcW w:type="dxa" w:w="1728"/>
          </w:tcPr>
          <w:p>
            <w:r/>
          </w:p>
        </w:tc>
      </w:tr>
      <w:tr>
        <w:tc>
          <w:tcPr>
            <w:tcW w:type="dxa" w:w="1728"/>
          </w:tcPr>
          <w:p>
            <w:r>
              <w:t>Advisory services</w:t>
            </w:r>
          </w:p>
        </w:tc>
        <w:tc>
          <w:tcPr>
            <w:tcW w:type="dxa" w:w="1728"/>
          </w:tcPr>
          <w:p>
            <w:r>
              <w:t>$50,000</w:t>
            </w:r>
          </w:p>
        </w:tc>
        <w:tc>
          <w:tcPr>
            <w:tcW w:type="dxa" w:w="1728"/>
          </w:tcPr>
          <w:p>
            <w:r>
              <w:t>$25,000</w:t>
            </w:r>
          </w:p>
        </w:tc>
        <w:tc>
          <w:tcPr>
            <w:tcW w:type="dxa" w:w="1728"/>
          </w:tcPr>
          <w:p>
            <w:r>
              <w:t>$25,000</w:t>
            </w:r>
          </w:p>
        </w:tc>
        <w:tc>
          <w:tcPr>
            <w:tcW w:type="dxa" w:w="1728"/>
          </w:tcPr>
          <w:p>
            <w:r>
              <w:t>$100,000</w:t>
            </w:r>
          </w:p>
        </w:tc>
      </w:tr>
      <w:tr>
        <w:tc>
          <w:tcPr>
            <w:tcW w:type="dxa" w:w="1728"/>
          </w:tcPr>
          <w:p>
            <w:r>
              <w:t>**TOTAL ANNUAL COSTS**</w:t>
            </w:r>
          </w:p>
        </w:tc>
        <w:tc>
          <w:tcPr>
            <w:tcW w:type="dxa" w:w="1728"/>
          </w:tcPr>
          <w:p>
            <w:r>
              <w:t>**$690,000**</w:t>
            </w:r>
          </w:p>
        </w:tc>
        <w:tc>
          <w:tcPr>
            <w:tcW w:type="dxa" w:w="1728"/>
          </w:tcPr>
          <w:p>
            <w:r>
              <w:t>**$495,000**</w:t>
            </w:r>
          </w:p>
        </w:tc>
        <w:tc>
          <w:tcPr>
            <w:tcW w:type="dxa" w:w="1728"/>
          </w:tcPr>
          <w:p>
            <w:r>
              <w:t>**$495,000**</w:t>
            </w:r>
          </w:p>
        </w:tc>
        <w:tc>
          <w:tcPr>
            <w:tcW w:type="dxa" w:w="1728"/>
          </w:tcPr>
          <w:p>
            <w:r>
              <w:t>**$1,680,000**</w:t>
            </w:r>
          </w:p>
        </w:tc>
      </w:tr>
    </w:tbl>
    <w:p/>
    <w:p>
      <w:pPr>
        <w:pStyle w:val="Heading4"/>
      </w:pPr>
      <w:r>
        <w:t>Net Cost Savings Analysis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Comparison Metric</w:t>
            </w:r>
          </w:p>
        </w:tc>
        <w:tc>
          <w:tcPr>
            <w:tcW w:type="dxa" w:w="2160"/>
          </w:tcPr>
          <w:p>
            <w:r>
              <w:rPr>
                <w:b/>
              </w:rPr>
              <w:t>Traditional Listing</w:t>
            </w:r>
          </w:p>
        </w:tc>
        <w:tc>
          <w:tcPr>
            <w:tcW w:type="dxa" w:w="2160"/>
          </w:tcPr>
          <w:p>
            <w:r>
              <w:rPr>
                <w:b/>
              </w:rPr>
              <w:t>Enhanced Framework</w:t>
            </w:r>
          </w:p>
        </w:tc>
        <w:tc>
          <w:tcPr>
            <w:tcW w:type="dxa" w:w="2160"/>
          </w:tcPr>
          <w:p>
            <w:r>
              <w:rPr>
                <w:b/>
              </w:rPr>
              <w:t>Net Savings</w:t>
            </w:r>
          </w:p>
        </w:tc>
      </w:tr>
      <w:tr>
        <w:tc>
          <w:tcPr>
            <w:tcW w:type="dxa" w:w="2160"/>
          </w:tcPr>
          <w:p>
            <w:r>
              <w:t>**Year 1 Total Costs**</w:t>
            </w:r>
          </w:p>
        </w:tc>
        <w:tc>
          <w:tcPr>
            <w:tcW w:type="dxa" w:w="2160"/>
          </w:tcPr>
          <w:p>
            <w:r>
              <w:t>$2,175,000</w:t>
            </w:r>
          </w:p>
        </w:tc>
        <w:tc>
          <w:tcPr>
            <w:tcW w:type="dxa" w:w="2160"/>
          </w:tcPr>
          <w:p>
            <w:r>
              <w:t>$690,000</w:t>
            </w:r>
          </w:p>
        </w:tc>
        <w:tc>
          <w:tcPr>
            <w:tcW w:type="dxa" w:w="2160"/>
          </w:tcPr>
          <w:p>
            <w:r>
              <w:t>$1,485,000</w:t>
            </w:r>
          </w:p>
        </w:tc>
      </w:tr>
      <w:tr>
        <w:tc>
          <w:tcPr>
            <w:tcW w:type="dxa" w:w="2160"/>
          </w:tcPr>
          <w:p>
            <w:r>
              <w:t>**Year 2 Total Costs**</w:t>
            </w:r>
          </w:p>
        </w:tc>
        <w:tc>
          <w:tcPr>
            <w:tcW w:type="dxa" w:w="2160"/>
          </w:tcPr>
          <w:p>
            <w:r>
              <w:t>$1,125,000</w:t>
            </w:r>
          </w:p>
        </w:tc>
        <w:tc>
          <w:tcPr>
            <w:tcW w:type="dxa" w:w="2160"/>
          </w:tcPr>
          <w:p>
            <w:r>
              <w:t>$495,000</w:t>
            </w:r>
          </w:p>
        </w:tc>
        <w:tc>
          <w:tcPr>
            <w:tcW w:type="dxa" w:w="2160"/>
          </w:tcPr>
          <w:p>
            <w:r>
              <w:t>$630,000</w:t>
            </w:r>
          </w:p>
        </w:tc>
      </w:tr>
      <w:tr>
        <w:tc>
          <w:tcPr>
            <w:tcW w:type="dxa" w:w="2160"/>
          </w:tcPr>
          <w:p>
            <w:r>
              <w:t>**Year 3 Total Costs**</w:t>
            </w:r>
          </w:p>
        </w:tc>
        <w:tc>
          <w:tcPr>
            <w:tcW w:type="dxa" w:w="2160"/>
          </w:tcPr>
          <w:p>
            <w:r>
              <w:t>$1,125,000</w:t>
            </w:r>
          </w:p>
        </w:tc>
        <w:tc>
          <w:tcPr>
            <w:tcW w:type="dxa" w:w="2160"/>
          </w:tcPr>
          <w:p>
            <w:r>
              <w:t>$495,000</w:t>
            </w:r>
          </w:p>
        </w:tc>
        <w:tc>
          <w:tcPr>
            <w:tcW w:type="dxa" w:w="2160"/>
          </w:tcPr>
          <w:p>
            <w:r>
              <w:t>$630,000</w:t>
            </w:r>
          </w:p>
        </w:tc>
      </w:tr>
      <w:tr>
        <w:tc>
          <w:tcPr>
            <w:tcW w:type="dxa" w:w="2160"/>
          </w:tcPr>
          <w:p>
            <w:r>
              <w:t>**3-Year Total Costs**</w:t>
            </w:r>
          </w:p>
        </w:tc>
        <w:tc>
          <w:tcPr>
            <w:tcW w:type="dxa" w:w="2160"/>
          </w:tcPr>
          <w:p>
            <w:r>
              <w:t>$4,425,000</w:t>
            </w:r>
          </w:p>
        </w:tc>
        <w:tc>
          <w:tcPr>
            <w:tcW w:type="dxa" w:w="2160"/>
          </w:tcPr>
          <w:p>
            <w:r>
              <w:t>$1,680,000</w:t>
            </w:r>
          </w:p>
        </w:tc>
        <w:tc>
          <w:tcPr>
            <w:tcW w:type="dxa" w:w="2160"/>
          </w:tcPr>
          <w:p>
            <w:r>
              <w:t>$2,745,000</w:t>
            </w:r>
          </w:p>
        </w:tc>
      </w:tr>
      <w:tr>
        <w:tc>
          <w:tcPr>
            <w:tcW w:type="dxa" w:w="2160"/>
          </w:tcPr>
          <w:p>
            <w:r>
              <w:t>**Average Annual Savings**</w:t>
            </w:r>
          </w:p>
        </w:tc>
        <w:tc>
          <w:tcPr>
            <w:tcW w:type="dxa" w:w="2160"/>
          </w:tcPr>
          <w:p>
            <w:r/>
          </w:p>
        </w:tc>
        <w:tc>
          <w:tcPr>
            <w:tcW w:type="dxa" w:w="2160"/>
          </w:tcPr>
          <w:p>
            <w:r/>
          </w:p>
        </w:tc>
        <w:tc>
          <w:tcPr>
            <w:tcW w:type="dxa" w:w="2160"/>
          </w:tcPr>
          <w:p>
            <w:r>
              <w:t>$915,000</w:t>
            </w:r>
          </w:p>
        </w:tc>
      </w:tr>
    </w:tbl>
    <w:p/>
    <w:p>
      <w:pPr>
        <w:pStyle w:val="Heading3"/>
      </w:pPr>
      <w:r>
        <w:t>Revenue Acceleration Analysis</w:t>
      </w:r>
    </w:p>
    <w:p/>
    <w:p>
      <w:pPr>
        <w:pStyle w:val="Heading4"/>
      </w:pPr>
      <w:r>
        <w:t>Working Capital Impact Modeling</w:t>
      </w:r>
    </w:p>
    <w:p/>
    <w:p>
      <w:r>
        <w:t>The immediate access to $37.5 million in Tranche 1 capital creates substantial working capital optimization opportunities that directly translate to revenue acceleration and margin improvement. Current working capital constraints limit the company's ability to accept optimal contracts and execute strategic initiatives.</w:t>
      </w:r>
    </w:p>
    <w:p/>
    <w:p>
      <w:r>
        <w:rPr>
          <w:b/>
        </w:rPr>
        <w:t>Current Working Capital Analysis:</w:t>
      </w:r>
    </w:p>
    <w:p>
      <w:pPr>
        <w:pStyle w:val="ListBullet"/>
      </w:pPr>
      <w:r>
        <w:t>Current working capital: $8.5 million</w:t>
      </w:r>
    </w:p>
    <w:p>
      <w:pPr>
        <w:pStyle w:val="ListBullet"/>
      </w:pPr>
      <w:r>
        <w:t>Optimal working capital for full contract acceptance: $15 million</w:t>
      </w:r>
    </w:p>
    <w:p>
      <w:pPr>
        <w:pStyle w:val="ListBullet"/>
      </w:pPr>
      <w:r>
        <w:t>Working capital deficit: $6.5 million</w:t>
      </w:r>
    </w:p>
    <w:p>
      <w:pPr>
        <w:pStyle w:val="ListBullet"/>
      </w:pPr>
      <w:r>
        <w:t>Contract acceptance rate: 60% of available opportunities</w:t>
      </w:r>
    </w:p>
    <w:p>
      <w:pPr>
        <w:pStyle w:val="ListBullet"/>
      </w:pPr>
      <w:r>
        <w:t>Average contract margin: 22%</w:t>
      </w:r>
    </w:p>
    <w:p/>
    <w:p>
      <w:r>
        <w:rPr>
          <w:b/>
        </w:rPr>
        <w:t>Post-Investment Working Capital Analysis:</w:t>
      </w:r>
    </w:p>
    <w:p>
      <w:pPr>
        <w:pStyle w:val="ListBullet"/>
      </w:pPr>
      <w:r>
        <w:t>Enhanced working capital: $46 million ($8.5M + $37.5M)</w:t>
      </w:r>
    </w:p>
    <w:p>
      <w:pPr>
        <w:pStyle w:val="ListBullet"/>
      </w:pPr>
      <w:r>
        <w:t>Contract acceptance rate: 95% of available opportunities</w:t>
      </w:r>
    </w:p>
    <w:p>
      <w:pPr>
        <w:pStyle w:val="ListBullet"/>
      </w:pPr>
      <w:r>
        <w:t>Selective contract acceptance enables margin improvement: 28%</w:t>
      </w:r>
    </w:p>
    <w:p>
      <w:pPr>
        <w:pStyle w:val="ListBullet"/>
      </w:pPr>
      <w:r>
        <w:t>Additional contract capacity: $25-35 million annually</w:t>
      </w:r>
    </w:p>
    <w:p/>
    <w:p>
      <w:pPr>
        <w:pStyle w:val="Heading4"/>
      </w:pPr>
      <w:r>
        <w:t>Strategic Initiative Funding Impact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Initiative Category</w:t>
            </w:r>
          </w:p>
        </w:tc>
        <w:tc>
          <w:tcPr>
            <w:tcW w:type="dxa" w:w="1728"/>
          </w:tcPr>
          <w:p>
            <w:r>
              <w:rPr>
                <w:b/>
              </w:rPr>
              <w:t>Investment Required</w:t>
            </w:r>
          </w:p>
        </w:tc>
        <w:tc>
          <w:tcPr>
            <w:tcW w:type="dxa" w:w="1728"/>
          </w:tcPr>
          <w:p>
            <w:r>
              <w:rPr>
                <w:b/>
              </w:rPr>
              <w:t>Revenue Impact</w:t>
            </w:r>
          </w:p>
        </w:tc>
        <w:tc>
          <w:tcPr>
            <w:tcW w:type="dxa" w:w="1728"/>
          </w:tcPr>
          <w:p>
            <w:r>
              <w:rPr>
                <w:b/>
              </w:rPr>
              <w:t>Payback Period</w:t>
            </w:r>
          </w:p>
        </w:tc>
        <w:tc>
          <w:tcPr>
            <w:tcW w:type="dxa" w:w="1728"/>
          </w:tcPr>
          <w:p>
            <w:r>
              <w:rPr>
                <w:b/>
              </w:rPr>
              <w:t>3-Year NPV</w:t>
            </w:r>
          </w:p>
        </w:tc>
      </w:tr>
      <w:tr>
        <w:tc>
          <w:tcPr>
            <w:tcW w:type="dxa" w:w="1728"/>
          </w:tcPr>
          <w:p>
            <w:r>
              <w:t>**Fleet Modernization**</w:t>
            </w:r>
          </w:p>
        </w:tc>
        <w:tc>
          <w:tcPr>
            <w:tcW w:type="dxa" w:w="1728"/>
          </w:tcPr>
          <w:p>
            <w:r>
              <w:t>$8,000,000</w:t>
            </w:r>
          </w:p>
        </w:tc>
        <w:tc>
          <w:tcPr>
            <w:tcW w:type="dxa" w:w="1728"/>
          </w:tcPr>
          <w:p>
            <w:r>
              <w:t>$12,000,000/year</w:t>
            </w:r>
          </w:p>
        </w:tc>
        <w:tc>
          <w:tcPr>
            <w:tcW w:type="dxa" w:w="1728"/>
          </w:tcPr>
          <w:p>
            <w:r>
              <w:t>8 months</w:t>
            </w:r>
          </w:p>
        </w:tc>
        <w:tc>
          <w:tcPr>
            <w:tcW w:type="dxa" w:w="1728"/>
          </w:tcPr>
          <w:p>
            <w:r>
              <w:t>$28,500,000</w:t>
            </w:r>
          </w:p>
        </w:tc>
      </w:tr>
      <w:tr>
        <w:tc>
          <w:tcPr>
            <w:tcW w:type="dxa" w:w="1728"/>
          </w:tcPr>
          <w:p>
            <w:r>
              <w:t>**Technology Systems**</w:t>
            </w:r>
          </w:p>
        </w:tc>
        <w:tc>
          <w:tcPr>
            <w:tcW w:type="dxa" w:w="1728"/>
          </w:tcPr>
          <w:p>
            <w:r>
              <w:t>$2,000,000</w:t>
            </w:r>
          </w:p>
        </w:tc>
        <w:tc>
          <w:tcPr>
            <w:tcW w:type="dxa" w:w="1728"/>
          </w:tcPr>
          <w:p>
            <w:r>
              <w:t>$3,000,000/year</w:t>
            </w:r>
          </w:p>
        </w:tc>
        <w:tc>
          <w:tcPr>
            <w:tcW w:type="dxa" w:w="1728"/>
          </w:tcPr>
          <w:p>
            <w:r>
              <w:t>8 months</w:t>
            </w:r>
          </w:p>
        </w:tc>
        <w:tc>
          <w:tcPr>
            <w:tcW w:type="dxa" w:w="1728"/>
          </w:tcPr>
          <w:p>
            <w:r>
              <w:t>$7,200,000</w:t>
            </w:r>
          </w:p>
        </w:tc>
      </w:tr>
      <w:tr>
        <w:tc>
          <w:tcPr>
            <w:tcW w:type="dxa" w:w="1728"/>
          </w:tcPr>
          <w:p>
            <w:r>
              <w:t>**Market Expansion**</w:t>
            </w:r>
          </w:p>
        </w:tc>
        <w:tc>
          <w:tcPr>
            <w:tcW w:type="dxa" w:w="1728"/>
          </w:tcPr>
          <w:p>
            <w:r>
              <w:t>$3,000,000</w:t>
            </w:r>
          </w:p>
        </w:tc>
        <w:tc>
          <w:tcPr>
            <w:tcW w:type="dxa" w:w="1728"/>
          </w:tcPr>
          <w:p>
            <w:r>
              <w:t>$5,000,000/year</w:t>
            </w:r>
          </w:p>
        </w:tc>
        <w:tc>
          <w:tcPr>
            <w:tcW w:type="dxa" w:w="1728"/>
          </w:tcPr>
          <w:p>
            <w:r>
              <w:t>7 months</w:t>
            </w:r>
          </w:p>
        </w:tc>
        <w:tc>
          <w:tcPr>
            <w:tcW w:type="dxa" w:w="1728"/>
          </w:tcPr>
          <w:p>
            <w:r>
              <w:t>$12,000,000</w:t>
            </w:r>
          </w:p>
        </w:tc>
      </w:tr>
      <w:tr>
        <w:tc>
          <w:tcPr>
            <w:tcW w:type="dxa" w:w="1728"/>
          </w:tcPr>
          <w:p>
            <w:r>
              <w:t>**Operational Efficiency**</w:t>
            </w:r>
          </w:p>
        </w:tc>
        <w:tc>
          <w:tcPr>
            <w:tcW w:type="dxa" w:w="1728"/>
          </w:tcPr>
          <w:p>
            <w:r>
              <w:t>$1,500,000</w:t>
            </w:r>
          </w:p>
        </w:tc>
        <w:tc>
          <w:tcPr>
            <w:tcW w:type="dxa" w:w="1728"/>
          </w:tcPr>
          <w:p>
            <w:r>
              <w:t>$2,500,000/year</w:t>
            </w:r>
          </w:p>
        </w:tc>
        <w:tc>
          <w:tcPr>
            <w:tcW w:type="dxa" w:w="1728"/>
          </w:tcPr>
          <w:p>
            <w:r>
              <w:t>7 months</w:t>
            </w:r>
          </w:p>
        </w:tc>
        <w:tc>
          <w:tcPr>
            <w:tcW w:type="dxa" w:w="1728"/>
          </w:tcPr>
          <w:p>
            <w:r>
              <w:t>$6,000,000</w:t>
            </w:r>
          </w:p>
        </w:tc>
      </w:tr>
      <w:tr>
        <w:tc>
          <w:tcPr>
            <w:tcW w:type="dxa" w:w="1728"/>
          </w:tcPr>
          <w:p>
            <w:r>
              <w:t>**Strategic Acquisitions**</w:t>
            </w:r>
          </w:p>
        </w:tc>
        <w:tc>
          <w:tcPr>
            <w:tcW w:type="dxa" w:w="1728"/>
          </w:tcPr>
          <w:p>
            <w:r>
              <w:t>$10,000,000</w:t>
            </w:r>
          </w:p>
        </w:tc>
        <w:tc>
          <w:tcPr>
            <w:tcW w:type="dxa" w:w="1728"/>
          </w:tcPr>
          <w:p>
            <w:r>
              <w:t>$15,000,000/year</w:t>
            </w:r>
          </w:p>
        </w:tc>
        <w:tc>
          <w:tcPr>
            <w:tcW w:type="dxa" w:w="1728"/>
          </w:tcPr>
          <w:p>
            <w:r>
              <w:t>10 months</w:t>
            </w:r>
          </w:p>
        </w:tc>
        <w:tc>
          <w:tcPr>
            <w:tcW w:type="dxa" w:w="1728"/>
          </w:tcPr>
          <w:p>
            <w:r>
              <w:t>$35,500,000</w:t>
            </w:r>
          </w:p>
        </w:tc>
      </w:tr>
      <w:tr>
        <w:tc>
          <w:tcPr>
            <w:tcW w:type="dxa" w:w="1728"/>
          </w:tcPr>
          <w:p>
            <w:r>
              <w:t>**TOTAL IMPACT**</w:t>
            </w:r>
          </w:p>
        </w:tc>
        <w:tc>
          <w:tcPr>
            <w:tcW w:type="dxa" w:w="1728"/>
          </w:tcPr>
          <w:p>
            <w:r>
              <w:t>**$24,500,000**</w:t>
            </w:r>
          </w:p>
        </w:tc>
        <w:tc>
          <w:tcPr>
            <w:tcW w:type="dxa" w:w="1728"/>
          </w:tcPr>
          <w:p>
            <w:r>
              <w:t>**$37,500,000/year**</w:t>
            </w:r>
          </w:p>
        </w:tc>
        <w:tc>
          <w:tcPr>
            <w:tcW w:type="dxa" w:w="1728"/>
          </w:tcPr>
          <w:p>
            <w:r>
              <w:t>**8 months avg**</w:t>
            </w:r>
          </w:p>
        </w:tc>
        <w:tc>
          <w:tcPr>
            <w:tcW w:type="dxa" w:w="1728"/>
          </w:tcPr>
          <w:p>
            <w:r>
              <w:t>**$89,200,000**</w:t>
            </w:r>
          </w:p>
        </w:tc>
      </w:tr>
    </w:tbl>
    <w:p/>
    <w:p>
      <w:pPr>
        <w:pStyle w:val="Heading3"/>
      </w:pPr>
      <w:r>
        <w:t>Return on Investment Analysis</w:t>
      </w:r>
    </w:p>
    <w:p/>
    <w:p>
      <w:pPr>
        <w:pStyle w:val="Heading4"/>
      </w:pPr>
      <w:r>
        <w:t>Company Perspective - Enhanced Framework vs Traditional Listing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Traditional Listing</w:t>
            </w:r>
          </w:p>
        </w:tc>
        <w:tc>
          <w:tcPr>
            <w:tcW w:type="dxa" w:w="2160"/>
          </w:tcPr>
          <w:p>
            <w:r>
              <w:rPr>
                <w:b/>
              </w:rPr>
              <w:t>Enhanced Framework</w:t>
            </w:r>
          </w:p>
        </w:tc>
        <w:tc>
          <w:tcPr>
            <w:tcW w:type="dxa" w:w="2160"/>
          </w:tcPr>
          <w:p>
            <w:r>
              <w:rPr>
                <w:b/>
              </w:rPr>
              <w:t>Advantage</w:t>
            </w:r>
          </w:p>
        </w:tc>
      </w:tr>
      <w:tr>
        <w:tc>
          <w:tcPr>
            <w:tcW w:type="dxa" w:w="2160"/>
          </w:tcPr>
          <w:p>
            <w:r>
              <w:t>**Capital Access Timeline**</w:t>
            </w:r>
          </w:p>
        </w:tc>
        <w:tc>
          <w:tcPr>
            <w:tcW w:type="dxa" w:w="2160"/>
          </w:tcPr>
          <w:p>
            <w:r>
              <w:t>6-8 months</w:t>
            </w:r>
          </w:p>
        </w:tc>
        <w:tc>
          <w:tcPr>
            <w:tcW w:type="dxa" w:w="2160"/>
          </w:tcPr>
          <w:p>
            <w:r>
              <w:t>3-4 months</w:t>
            </w:r>
          </w:p>
        </w:tc>
        <w:tc>
          <w:tcPr>
            <w:tcW w:type="dxa" w:w="2160"/>
          </w:tcPr>
          <w:p>
            <w:r>
              <w:t>3-4 months faster</w:t>
            </w:r>
          </w:p>
        </w:tc>
      </w:tr>
      <w:tr>
        <w:tc>
          <w:tcPr>
            <w:tcW w:type="dxa" w:w="2160"/>
          </w:tcPr>
          <w:p>
            <w:r>
              <w:t>**Upfront Costs**</w:t>
            </w:r>
          </w:p>
        </w:tc>
        <w:tc>
          <w:tcPr>
            <w:tcW w:type="dxa" w:w="2160"/>
          </w:tcPr>
          <w:p>
            <w:r>
              <w:t>$2,175,000</w:t>
            </w:r>
          </w:p>
        </w:tc>
        <w:tc>
          <w:tcPr>
            <w:tcW w:type="dxa" w:w="2160"/>
          </w:tcPr>
          <w:p>
            <w:r>
              <w:t>$690,000</w:t>
            </w:r>
          </w:p>
        </w:tc>
        <w:tc>
          <w:tcPr>
            <w:tcW w:type="dxa" w:w="2160"/>
          </w:tcPr>
          <w:p>
            <w:r>
              <w:t>$1,485,000 savings</w:t>
            </w:r>
          </w:p>
        </w:tc>
      </w:tr>
      <w:tr>
        <w:tc>
          <w:tcPr>
            <w:tcW w:type="dxa" w:w="2160"/>
          </w:tcPr>
          <w:p>
            <w:r>
              <w:t>**3-Year Total Costs**</w:t>
            </w:r>
          </w:p>
        </w:tc>
        <w:tc>
          <w:tcPr>
            <w:tcW w:type="dxa" w:w="2160"/>
          </w:tcPr>
          <w:p>
            <w:r>
              <w:t>$4,425,000</w:t>
            </w:r>
          </w:p>
        </w:tc>
        <w:tc>
          <w:tcPr>
            <w:tcW w:type="dxa" w:w="2160"/>
          </w:tcPr>
          <w:p>
            <w:r>
              <w:t>$1,680,000</w:t>
            </w:r>
          </w:p>
        </w:tc>
        <w:tc>
          <w:tcPr>
            <w:tcW w:type="dxa" w:w="2160"/>
          </w:tcPr>
          <w:p>
            <w:r>
              <w:t>$2,745,000 savings</w:t>
            </w:r>
          </w:p>
        </w:tc>
      </w:tr>
      <w:tr>
        <w:tc>
          <w:tcPr>
            <w:tcW w:type="dxa" w:w="2160"/>
          </w:tcPr>
          <w:p>
            <w:r>
              <w:t>**Revenue Acceleration**</w:t>
            </w:r>
          </w:p>
        </w:tc>
        <w:tc>
          <w:tcPr>
            <w:tcW w:type="dxa" w:w="2160"/>
          </w:tcPr>
          <w:p>
            <w:r>
              <w:t>$15,000,000</w:t>
            </w:r>
          </w:p>
        </w:tc>
        <w:tc>
          <w:tcPr>
            <w:tcW w:type="dxa" w:w="2160"/>
          </w:tcPr>
          <w:p>
            <w:r>
              <w:t>$37,500,000</w:t>
            </w:r>
          </w:p>
        </w:tc>
        <w:tc>
          <w:tcPr>
            <w:tcW w:type="dxa" w:w="2160"/>
          </w:tcPr>
          <w:p>
            <w:r>
              <w:t>$22,500,000 additional</w:t>
            </w:r>
          </w:p>
        </w:tc>
      </w:tr>
      <w:tr>
        <w:tc>
          <w:tcPr>
            <w:tcW w:type="dxa" w:w="2160"/>
          </w:tcPr>
          <w:p>
            <w:r>
              <w:t>**Net 3-Year Benefit**</w:t>
            </w:r>
          </w:p>
        </w:tc>
        <w:tc>
          <w:tcPr>
            <w:tcW w:type="dxa" w:w="2160"/>
          </w:tcPr>
          <w:p>
            <w:r>
              <w:t>$15,000,000</w:t>
            </w:r>
          </w:p>
        </w:tc>
        <w:tc>
          <w:tcPr>
            <w:tcW w:type="dxa" w:w="2160"/>
          </w:tcPr>
          <w:p>
            <w:r>
              <w:t>$37,500,000</w:t>
            </w:r>
          </w:p>
        </w:tc>
        <w:tc>
          <w:tcPr>
            <w:tcW w:type="dxa" w:w="2160"/>
          </w:tcPr>
          <w:p>
            <w:r>
              <w:t>$22,500,000 superior</w:t>
            </w:r>
          </w:p>
        </w:tc>
      </w:tr>
      <w:tr>
        <w:tc>
          <w:tcPr>
            <w:tcW w:type="dxa" w:w="2160"/>
          </w:tcPr>
          <w:p>
            <w:r>
              <w:t>**Total Value Creation**</w:t>
            </w:r>
          </w:p>
        </w:tc>
        <w:tc>
          <w:tcPr>
            <w:tcW w:type="dxa" w:w="2160"/>
          </w:tcPr>
          <w:p>
            <w:r>
              <w:t>$10,575,000</w:t>
            </w:r>
          </w:p>
        </w:tc>
        <w:tc>
          <w:tcPr>
            <w:tcW w:type="dxa" w:w="2160"/>
          </w:tcPr>
          <w:p>
            <w:r>
              <w:t>$35,820,000</w:t>
            </w:r>
          </w:p>
        </w:tc>
        <w:tc>
          <w:tcPr>
            <w:tcW w:type="dxa" w:w="2160"/>
          </w:tcPr>
          <w:p>
            <w:r>
              <w:t>$25,245,000 advantage</w:t>
            </w:r>
          </w:p>
        </w:tc>
      </w:tr>
      <w:tr>
        <w:tc>
          <w:tcPr>
            <w:tcW w:type="dxa" w:w="2160"/>
          </w:tcPr>
          <w:p>
            <w:r>
              <w:t>**ROI on Structure**</w:t>
            </w:r>
          </w:p>
        </w:tc>
        <w:tc>
          <w:tcPr>
            <w:tcW w:type="dxa" w:w="2160"/>
          </w:tcPr>
          <w:p>
            <w:r>
              <w:t>486%</w:t>
            </w:r>
          </w:p>
        </w:tc>
        <w:tc>
          <w:tcPr>
            <w:tcW w:type="dxa" w:w="2160"/>
          </w:tcPr>
          <w:p>
            <w:r>
              <w:t>2,132%</w:t>
            </w:r>
          </w:p>
        </w:tc>
        <w:tc>
          <w:tcPr>
            <w:tcW w:type="dxa" w:w="2160"/>
          </w:tcPr>
          <w:p>
            <w:r>
              <w:t>1,646% superior</w:t>
            </w:r>
          </w:p>
        </w:tc>
      </w:tr>
    </w:tbl>
    <w:p/>
    <w:p>
      <w:pPr>
        <w:pStyle w:val="Heading4"/>
      </w:pPr>
      <w:r>
        <w:t>Investor Perspective - Risk-Adjusted Return Analysis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 Factor</w:t>
            </w:r>
          </w:p>
        </w:tc>
        <w:tc>
          <w:tcPr>
            <w:tcW w:type="dxa" w:w="2160"/>
          </w:tcPr>
          <w:p>
            <w:r>
              <w:rPr>
                <w:b/>
              </w:rPr>
              <w:t>Traditional Listing</w:t>
            </w:r>
          </w:p>
        </w:tc>
        <w:tc>
          <w:tcPr>
            <w:tcW w:type="dxa" w:w="2160"/>
          </w:tcPr>
          <w:p>
            <w:r>
              <w:rPr>
                <w:b/>
              </w:rPr>
              <w:t>Enhanced Framework</w:t>
            </w:r>
          </w:p>
        </w:tc>
        <w:tc>
          <w:tcPr>
            <w:tcW w:type="dxa" w:w="2160"/>
          </w:tcPr>
          <w:p>
            <w:r>
              <w:rPr>
                <w:b/>
              </w:rPr>
              <w:t>Risk Reduction</w:t>
            </w:r>
          </w:p>
        </w:tc>
      </w:tr>
      <w:tr>
        <w:tc>
          <w:tcPr>
            <w:tcW w:type="dxa" w:w="2160"/>
          </w:tcPr>
          <w:p>
            <w:r>
              <w:t>**Execution Risk**</w:t>
            </w:r>
          </w:p>
        </w:tc>
        <w:tc>
          <w:tcPr>
            <w:tcW w:type="dxa" w:w="2160"/>
          </w:tcPr>
          <w:p>
            <w:r>
              <w:t>High (listing failure)</w:t>
            </w:r>
          </w:p>
        </w:tc>
        <w:tc>
          <w:tcPr>
            <w:tcW w:type="dxa" w:w="2160"/>
          </w:tcPr>
          <w:p>
            <w:r>
              <w:t>Low (proven milestones)</w:t>
            </w:r>
          </w:p>
        </w:tc>
        <w:tc>
          <w:tcPr>
            <w:tcW w:type="dxa" w:w="2160"/>
          </w:tcPr>
          <w:p>
            <w:r>
              <w:t>60% reduction</w:t>
            </w:r>
          </w:p>
        </w:tc>
      </w:tr>
      <w:tr>
        <w:tc>
          <w:tcPr>
            <w:tcW w:type="dxa" w:w="2160"/>
          </w:tcPr>
          <w:p>
            <w:r>
              <w:t>**Market Timing Risk**</w:t>
            </w:r>
          </w:p>
        </w:tc>
        <w:tc>
          <w:tcPr>
            <w:tcW w:type="dxa" w:w="2160"/>
          </w:tcPr>
          <w:p>
            <w:r>
              <w:t>High (forced timing)</w:t>
            </w:r>
          </w:p>
        </w:tc>
        <w:tc>
          <w:tcPr>
            <w:tcW w:type="dxa" w:w="2160"/>
          </w:tcPr>
          <w:p>
            <w:r>
              <w:t>Low (flexible timing)</w:t>
            </w:r>
          </w:p>
        </w:tc>
        <w:tc>
          <w:tcPr>
            <w:tcW w:type="dxa" w:w="2160"/>
          </w:tcPr>
          <w:p>
            <w:r>
              <w:t>70% reduction</w:t>
            </w:r>
          </w:p>
        </w:tc>
      </w:tr>
      <w:tr>
        <w:tc>
          <w:tcPr>
            <w:tcW w:type="dxa" w:w="2160"/>
          </w:tcPr>
          <w:p>
            <w:r>
              <w:t>**Operational Risk**</w:t>
            </w:r>
          </w:p>
        </w:tc>
        <w:tc>
          <w:tcPr>
            <w:tcW w:type="dxa" w:w="2160"/>
          </w:tcPr>
          <w:p>
            <w:r>
              <w:t>Medium (distraction)</w:t>
            </w:r>
          </w:p>
        </w:tc>
        <w:tc>
          <w:tcPr>
            <w:tcW w:type="dxa" w:w="2160"/>
          </w:tcPr>
          <w:p>
            <w:r>
              <w:t>Low (focus on operations)</w:t>
            </w:r>
          </w:p>
        </w:tc>
        <w:tc>
          <w:tcPr>
            <w:tcW w:type="dxa" w:w="2160"/>
          </w:tcPr>
          <w:p>
            <w:r>
              <w:t>50% reduction</w:t>
            </w:r>
          </w:p>
        </w:tc>
      </w:tr>
      <w:tr>
        <w:tc>
          <w:tcPr>
            <w:tcW w:type="dxa" w:w="2160"/>
          </w:tcPr>
          <w:p>
            <w:r>
              <w:t>**Dilution Risk**</w:t>
            </w:r>
          </w:p>
        </w:tc>
        <w:tc>
          <w:tcPr>
            <w:tcW w:type="dxa" w:w="2160"/>
          </w:tcPr>
          <w:p>
            <w:r>
              <w:t>High (warrant coverage)</w:t>
            </w:r>
          </w:p>
        </w:tc>
        <w:tc>
          <w:tcPr>
            <w:tcW w:type="dxa" w:w="2160"/>
          </w:tcPr>
          <w:p>
            <w:r>
              <w:t>Medium (reduced coverage)</w:t>
            </w:r>
          </w:p>
        </w:tc>
        <w:tc>
          <w:tcPr>
            <w:tcW w:type="dxa" w:w="2160"/>
          </w:tcPr>
          <w:p>
            <w:r>
              <w:t>40% reduction</w:t>
            </w:r>
          </w:p>
        </w:tc>
      </w:tr>
      <w:tr>
        <w:tc>
          <w:tcPr>
            <w:tcW w:type="dxa" w:w="2160"/>
          </w:tcPr>
          <w:p>
            <w:r>
              <w:t>**Liquidity Risk**</w:t>
            </w:r>
          </w:p>
        </w:tc>
        <w:tc>
          <w:tcPr>
            <w:tcW w:type="dxa" w:w="2160"/>
          </w:tcPr>
          <w:p>
            <w:r>
              <w:t>Medium (market dependent)</w:t>
            </w:r>
          </w:p>
        </w:tc>
        <w:tc>
          <w:tcPr>
            <w:tcW w:type="dxa" w:w="2160"/>
          </w:tcPr>
          <w:p>
            <w:r>
              <w:t>Low (asset backing)</w:t>
            </w:r>
          </w:p>
        </w:tc>
        <w:tc>
          <w:tcPr>
            <w:tcW w:type="dxa" w:w="2160"/>
          </w:tcPr>
          <w:p>
            <w:r>
              <w:t>65% reduction</w:t>
            </w:r>
          </w:p>
        </w:tc>
      </w:tr>
      <w:tr>
        <w:tc>
          <w:tcPr>
            <w:tcW w:type="dxa" w:w="2160"/>
          </w:tcPr>
          <w:p>
            <w:r>
              <w:t>**Overall Risk Score**</w:t>
            </w:r>
          </w:p>
        </w:tc>
        <w:tc>
          <w:tcPr>
            <w:tcW w:type="dxa" w:w="2160"/>
          </w:tcPr>
          <w:p>
            <w:r>
              <w:t>7.2/10</w:t>
            </w:r>
          </w:p>
        </w:tc>
        <w:tc>
          <w:tcPr>
            <w:tcW w:type="dxa" w:w="2160"/>
          </w:tcPr>
          <w:p>
            <w:r>
              <w:t>3.8/10</w:t>
            </w:r>
          </w:p>
        </w:tc>
        <w:tc>
          <w:tcPr>
            <w:tcW w:type="dxa" w:w="2160"/>
          </w:tcPr>
          <w:p>
            <w:r>
              <w:t>47% risk reduction</w:t>
            </w:r>
          </w:p>
        </w:tc>
      </w:tr>
    </w:tbl>
    <w:p/>
    <w:p>
      <w:r>
        <w:rPr>
          <w:b/>
        </w:rPr>
        <w:t>Risk-Adjusted Return Calculation:</w:t>
      </w:r>
    </w:p>
    <w:p>
      <w:pPr>
        <w:pStyle w:val="ListBullet"/>
      </w:pPr>
      <w:r>
        <w:t>Traditional structure expected return: 18-22%</w:t>
      </w:r>
    </w:p>
    <w:p>
      <w:pPr>
        <w:pStyle w:val="ListBullet"/>
      </w:pPr>
      <w:r>
        <w:t>Enhanced framework expected return: 25-32%</w:t>
      </w:r>
    </w:p>
    <w:p>
      <w:pPr>
        <w:pStyle w:val="ListBullet"/>
      </w:pPr>
      <w:r>
        <w:t>Risk-adjusted premium: 7-10 percentage points</w:t>
      </w:r>
    </w:p>
    <w:p>
      <w:pPr>
        <w:pStyle w:val="ListBullet"/>
      </w:pPr>
      <w:r>
        <w:t>Superior risk-adjusted return: 35-45% improvement</w:t>
      </w:r>
    </w:p>
    <w:p/>
    <w:p>
      <w:pPr>
        <w:pStyle w:val="Heading2"/>
      </w:pPr>
      <w:r>
        <w:t>SECTION G: NEGOTIATION SCRIPTS AND TACTICAL APPROACHES</w:t>
      </w:r>
    </w:p>
    <w:p/>
    <w:p>
      <w:pPr>
        <w:pStyle w:val="Heading3"/>
      </w:pPr>
      <w:r>
        <w:t>Opening Presentation Script</w:t>
      </w:r>
    </w:p>
    <w:p/>
    <w:p>
      <w:pPr>
        <w:pStyle w:val="Heading4"/>
      </w:pPr>
      <w:r>
        <w:t>Introduction and Context Setting</w:t>
      </w:r>
    </w:p>
    <w:p/>
    <w:p>
      <w:r>
        <w:t>"Thank you for the opportunity to discuss this significant investment opportunity. We've conducted comprehensive analysis of the proposed term sheet and have identified an alternative structure that we believe provides superior returns for both Ferdocean and The Investor Capital while reducing execution risks and accelerating value creation.</w:t>
      </w:r>
    </w:p>
    <w:p/>
    <w:p>
      <w:r>
        <w:t>Our analysis indicates that the current term sheet's requirement for immediate listing before accessing any capital creates a fundamental structural challenge that increases costs, extends timelines, and reduces returns for both parties. We've developed an Enhanced Private Company Framework that addresses all of your underlying concerns while optimizing outcomes for both stakeholders.</w:t>
      </w:r>
    </w:p>
    <w:p/>
    <w:p>
      <w:r>
        <w:t>The key insight driving our alternative proposal is that your primary objectives - liquidity assurance, valuation transparency, governance oversight, and operational excellence - can be achieved more effectively through alternative mechanisms that don't require immediate public listing. This approach has been successfully used by sophisticated investors and has demonstrated superior returns compared to forced listing structures."</w:t>
      </w:r>
    </w:p>
    <w:p/>
    <w:p>
      <w:pPr>
        <w:pStyle w:val="Heading4"/>
      </w:pPr>
      <w:r>
        <w:t>Core Value Proposition Presentation</w:t>
      </w:r>
    </w:p>
    <w:p/>
    <w:p>
      <w:r>
        <w:t>"Our Enhanced Private Company Framework delivers three primary benefits that directly address your investment objectives:</w:t>
      </w:r>
    </w:p>
    <w:p/>
    <w:p>
      <w:r>
        <w:t>First, Superior Financial Returns: Our analysis shows that the alternative structure provides $2.7 million in cost savings over three years while enabling $37.5 million in additional annual revenue through immediate capital access. This translates to risk-adjusted returns that are 35-45% superior to the traditional listing approach.</w:t>
      </w:r>
    </w:p>
    <w:p/>
    <w:p>
      <w:r>
        <w:t>Second, Reduced Execution Risk: Rather than forcing immediate listing with its associated execution risks, our framework requires proven operational performance before capital access. This reduces your investment risk by 47% while ensuring that capital deployment occurs only after demonstrated management competence and operational excellence.</w:t>
      </w:r>
    </w:p>
    <w:p/>
    <w:p>
      <w:r>
        <w:t>Third, Enhanced Value Creation: Immediate capital access enables strategic initiatives that create $89 million in net present value over three years, compared to $35 million under the delayed capital access of the traditional structure. This superior value creation benefits both parties through enhanced returns and reduced risk."</w:t>
      </w:r>
    </w:p>
    <w:p/>
    <w:p>
      <w:pPr>
        <w:pStyle w:val="Heading4"/>
      </w:pPr>
      <w:r>
        <w:t>Addressing Anticipated Objections</w:t>
      </w:r>
    </w:p>
    <w:p/>
    <w:p>
      <w:r>
        <w:rPr>
          <w:b/>
        </w:rPr>
        <w:t>Objection 1: "We require liquidity assurance through public listing"</w:t>
      </w:r>
    </w:p>
    <w:p/>
    <w:p>
      <w:r>
        <w:t>"We understand the importance of liquidity for your investment strategy. Our alternative structure provides equivalent liquidity assurance through comprehensive asset-backed security that often provides superior protection compared to public market liquidity. Additionally, our binding commitment to complete listing within 18 months provides the public market liquidity you require, but with strategic timing that optimizes valuation and returns.</w:t>
      </w:r>
    </w:p>
    <w:p/>
    <w:p>
      <w:r>
        <w:t>The asset-backed security includes first lien positions on $45 million in maritime assets, subsidiary share pledges, and comprehensive insurance coverage. This tangible security often provides superior protection compared to public market investments, which can lose 60-80% of value during market downturns as we've seen with recent small-cap IPO performance."</w:t>
      </w:r>
    </w:p>
    <w:p/>
    <w:p>
      <w:r>
        <w:rPr>
          <w:b/>
        </w:rPr>
        <w:t>Objection 2: "Public listing provides necessary governance oversight"</w:t>
      </w:r>
    </w:p>
    <w:p/>
    <w:p>
      <w:r>
        <w:t>"Our Enhanced Private Company Framework actually provides superior governance oversight compared to typical public company structures. We're implementing independent board majority with US public company experience, audit committee with advanced financial qualifications, and quarterly US GAAP reporting with independent audit.</w:t>
      </w:r>
    </w:p>
    <w:p/>
    <w:p>
      <w:r>
        <w:t>This governance structure exceeds typical public company requirements because it's specifically designed for investor protection rather than regulatory compliance. Public companies often have governance structures that meet minimum regulatory requirements, while our framework is optimized for investor oversight and operational excellence."</w:t>
      </w:r>
    </w:p>
    <w:p/>
    <w:p>
      <w:r>
        <w:rPr>
          <w:b/>
        </w:rPr>
        <w:t>Objection 3: "We need market-based valuation transparency"</w:t>
      </w:r>
    </w:p>
    <w:p/>
    <w:p>
      <w:r>
        <w:t>"Market-based valuation will be available through our binding listing commitment within 18 months, but with the advantage of demonstrated operational performance that typically results in 25-40% higher valuations compared to immediate listings. Our comprehensive reporting and milestone framework provides ongoing valuation transparency through operational metrics and financial performance.</w:t>
      </w:r>
    </w:p>
    <w:p/>
    <w:p>
      <w:r>
        <w:t>Additionally, our proposed pricing protections include minimum price floors and volatility collars that provide more predictable and stable pricing compared to pure VWAP mechanisms, which can result in 20-40% pricing variations based solely on market timing rather than company performance."</w:t>
      </w:r>
    </w:p>
    <w:p/>
    <w:p>
      <w:pPr>
        <w:pStyle w:val="Heading3"/>
      </w:pPr>
      <w:r>
        <w:t>Detailed Negotiation Tactics</w:t>
      </w:r>
    </w:p>
    <w:p/>
    <w:p>
      <w:pPr>
        <w:pStyle w:val="Heading4"/>
      </w:pPr>
      <w:r>
        <w:t>Concession Strategy and Fallback Positions</w:t>
      </w:r>
    </w:p>
    <w:p/>
    <w:p>
      <w:r>
        <w:rPr>
          <w:b/>
        </w:rPr>
        <w:t>Primary Position (Ideal Outcome):</w:t>
      </w:r>
    </w:p>
    <w:p>
      <w:pPr>
        <w:pStyle w:val="ListBullet"/>
      </w:pPr>
      <w:r>
        <w:t>Complete elimination of listing requirement for Tranche 1</w:t>
      </w:r>
    </w:p>
    <w:p>
      <w:pPr>
        <w:pStyle w:val="ListBullet"/>
      </w:pPr>
      <w:r>
        <w:t>Performance-based milestone framework for all tranches</w:t>
      </w:r>
    </w:p>
    <w:p>
      <w:pPr>
        <w:pStyle w:val="ListBullet"/>
      </w:pPr>
      <w:r>
        <w:t>50% warrant coverage with performance vesting</w:t>
      </w:r>
    </w:p>
    <w:p>
      <w:pPr>
        <w:pStyle w:val="ListBullet"/>
      </w:pPr>
      <w:r>
        <w:t>18-month listing commitment with market condition flexibility</w:t>
      </w:r>
    </w:p>
    <w:p>
      <w:pPr>
        <w:pStyle w:val="ListBullet"/>
      </w:pPr>
      <w:r>
        <w:t>Comprehensive security package with asset backing</w:t>
      </w:r>
    </w:p>
    <w:p/>
    <w:p>
      <w:r>
        <w:rPr>
          <w:b/>
        </w:rPr>
        <w:t>Secondary Position (Acceptable Compromise):</w:t>
      </w:r>
    </w:p>
    <w:p>
      <w:pPr>
        <w:pStyle w:val="ListBullet"/>
      </w:pPr>
      <w:r>
        <w:t>Binding listing commitment within 12 months for Tranche 1 access</w:t>
      </w:r>
    </w:p>
    <w:p>
      <w:pPr>
        <w:pStyle w:val="ListBullet"/>
      </w:pPr>
      <w:r>
        <w:t>Performance milestones for Tranches 2-4</w:t>
      </w:r>
    </w:p>
    <w:p>
      <w:pPr>
        <w:pStyle w:val="ListBullet"/>
      </w:pPr>
      <w:r>
        <w:t>65% warrant coverage with extended exercise periods</w:t>
      </w:r>
    </w:p>
    <w:p>
      <w:pPr>
        <w:pStyle w:val="ListBullet"/>
      </w:pPr>
      <w:r>
        <w:t>Enhanced governance implementation within 90 days</w:t>
      </w:r>
    </w:p>
    <w:p>
      <w:pPr>
        <w:pStyle w:val="ListBullet"/>
      </w:pPr>
      <w:r>
        <w:t>Partial security package with key asset backing</w:t>
      </w:r>
    </w:p>
    <w:p/>
    <w:p>
      <w:r>
        <w:rPr>
          <w:b/>
        </w:rPr>
        <w:t>Tertiary Position (Minimum Acceptable):</w:t>
      </w:r>
    </w:p>
    <w:p>
      <w:pPr>
        <w:pStyle w:val="ListBullet"/>
      </w:pPr>
      <w:r>
        <w:t>Partial Tranche 1 access ($18.75M) upon listing commitment execution</w:t>
      </w:r>
    </w:p>
    <w:p>
      <w:pPr>
        <w:pStyle w:val="ListBullet"/>
      </w:pPr>
      <w:r>
        <w:t>Remaining $18.75M upon listing completion</w:t>
      </w:r>
    </w:p>
    <w:p>
      <w:pPr>
        <w:pStyle w:val="ListBullet"/>
      </w:pPr>
      <w:r>
        <w:t>75% warrant coverage with anti-dilution protections</w:t>
      </w:r>
    </w:p>
    <w:p>
      <w:pPr>
        <w:pStyle w:val="ListBullet"/>
      </w:pPr>
      <w:r>
        <w:t>15-month listing timeline with force majeure provisions</w:t>
      </w:r>
    </w:p>
    <w:p>
      <w:pPr>
        <w:pStyle w:val="ListBullet"/>
      </w:pPr>
      <w:r>
        <w:t>Enhanced governance and reporting requirements</w:t>
      </w:r>
    </w:p>
    <w:p/>
    <w:p>
      <w:pPr>
        <w:pStyle w:val="Heading4"/>
      </w:pPr>
      <w:r>
        <w:t>Value-Based Negotiation Approach</w:t>
      </w:r>
    </w:p>
    <w:p/>
    <w:p>
      <w:r>
        <w:rPr>
          <w:b/>
        </w:rPr>
        <w:t>Emphasis on Mutual Benefit:</w:t>
      </w:r>
    </w:p>
    <w:p>
      <w:r>
        <w:t>"Our proposal isn't about changing the fundamental economics of our partnership - it's about optimizing the structure to maximize returns for both parties. The enhanced framework provides you with superior risk-adjusted returns while giving us the operational flexibility to execute the growth strategy that drives those returns.</w:t>
      </w:r>
    </w:p>
    <w:p/>
    <w:p>
      <w:r>
        <w:t>The $2.7 million in cost savings and $22.5 million in additional revenue creation directly benefit your investment returns while reducing execution risks that could impair the overall transaction success. This is a true win-win structure that aligns our interests around value creation rather than arbitrary process requirements."</w:t>
      </w:r>
    </w:p>
    <w:p/>
    <w:p>
      <w:r>
        <w:rPr>
          <w:b/>
        </w:rPr>
        <w:t>Risk Mitigation Focus:</w:t>
      </w:r>
    </w:p>
    <w:p>
      <w:r>
        <w:t>"Every modification we're proposing is designed to reduce risk for both parties. The performance milestone framework ensures that capital deployment occurs only after proven execution capability. The enhanced governance structure provides superior oversight compared to typical public company requirements. The comprehensive security package provides asset-backed protection that often exceeds public market investment security.</w:t>
      </w:r>
    </w:p>
    <w:p/>
    <w:p>
      <w:r>
        <w:t>These risk reductions translate directly to improved returns through reduced execution risk, enhanced operational focus, and optimized capital deployment timing."</w:t>
      </w:r>
    </w:p>
    <w:p/>
    <w:p>
      <w:pPr>
        <w:pStyle w:val="Heading3"/>
      </w:pPr>
      <w:r>
        <w:t>Closing and Next Steps Strategy</w:t>
      </w:r>
    </w:p>
    <w:p/>
    <w:p>
      <w:pPr>
        <w:pStyle w:val="Heading4"/>
      </w:pPr>
      <w:r>
        <w:t>Agreement Framework</w:t>
      </w:r>
    </w:p>
    <w:p/>
    <w:p>
      <w:r>
        <w:t>"Based on our discussion today, I believe we have a strong foundation for moving forward with the Enhanced Private Company Framework. The key elements we've discussed - performance-based milestone structure, enhanced governance implementation, comprehensive security arrangements, and binding listing commitment - provide the investor protections you require while optimizing returns for both parties.</w:t>
      </w:r>
    </w:p>
    <w:p/>
    <w:p>
      <w:r>
        <w:t>Our proposed next steps include:</w:t>
      </w:r>
    </w:p>
    <w:p/>
    <w:p>
      <w:r>
        <w:rPr>
          <w:b/>
        </w:rPr>
        <w:t>Immediate Actions (Next 7 Days):</w:t>
      </w:r>
    </w:p>
    <w:p>
      <w:pPr>
        <w:pStyle w:val="ListBullet"/>
      </w:pPr>
      <w:r>
        <w:t>Preparation of detailed term sheet modifications reflecting our discussion</w:t>
      </w:r>
    </w:p>
    <w:p>
      <w:pPr>
        <w:pStyle w:val="ListBullet"/>
      </w:pPr>
      <w:r>
        <w:t>Engagement of legal counsel for documentation preparation</w:t>
      </w:r>
    </w:p>
    <w:p>
      <w:pPr>
        <w:pStyle w:val="ListBullet"/>
      </w:pPr>
      <w:r>
        <w:t>Development of specific milestone definitions and verification procedures</w:t>
      </w:r>
    </w:p>
    <w:p>
      <w:pPr>
        <w:pStyle w:val="ListBullet"/>
      </w:pPr>
      <w:r>
        <w:t>Preparation of governance implementation timeline and requirements</w:t>
      </w:r>
    </w:p>
    <w:p/>
    <w:p>
      <w:r>
        <w:rPr>
          <w:b/>
        </w:rPr>
        <w:t>Short-Term Implementation (30-45 Days):</w:t>
      </w:r>
    </w:p>
    <w:p>
      <w:pPr>
        <w:pStyle w:val="ListBullet"/>
      </w:pPr>
      <w:r>
        <w:t>Execution of modified investment agreements</w:t>
      </w:r>
    </w:p>
    <w:p>
      <w:pPr>
        <w:pStyle w:val="ListBullet"/>
      </w:pPr>
      <w:r>
        <w:t>Beginning of governance structure implementation</w:t>
      </w:r>
    </w:p>
    <w:p>
      <w:pPr>
        <w:pStyle w:val="ListBullet"/>
      </w:pPr>
      <w:r>
        <w:t>Initiation of performance milestone execution</w:t>
      </w:r>
    </w:p>
    <w:p>
      <w:pPr>
        <w:pStyle w:val="ListBullet"/>
      </w:pPr>
      <w:r>
        <w:t>Establishment of security arrangements and documentation</w:t>
      </w:r>
    </w:p>
    <w:p/>
    <w:p>
      <w:r>
        <w:rPr>
          <w:b/>
        </w:rPr>
        <w:t>Medium-Term Execution (90-120 Days):</w:t>
      </w:r>
    </w:p>
    <w:p>
      <w:pPr>
        <w:pStyle w:val="ListBullet"/>
      </w:pPr>
      <w:r>
        <w:t>Achievement of Tranche 1 performance milestones</w:t>
      </w:r>
    </w:p>
    <w:p>
      <w:pPr>
        <w:pStyle w:val="ListBullet"/>
      </w:pPr>
      <w:r>
        <w:t>Completion of enhanced governance implementation</w:t>
      </w:r>
    </w:p>
    <w:p>
      <w:pPr>
        <w:pStyle w:val="ListBullet"/>
      </w:pPr>
      <w:r>
        <w:t>Independent verification and audit of milestone achievement</w:t>
      </w:r>
    </w:p>
    <w:p>
      <w:pPr>
        <w:pStyle w:val="ListBullet"/>
      </w:pPr>
      <w:r>
        <w:t>Execution of Tranche 1 capital deployment"</w:t>
      </w:r>
    </w:p>
    <w:p/>
    <w:p>
      <w:pPr>
        <w:pStyle w:val="Heading4"/>
      </w:pPr>
      <w:r>
        <w:t>Relationship Management and Communication</w:t>
      </w:r>
    </w:p>
    <w:p/>
    <w:p>
      <w:r>
        <w:t>"Throughout this process, we're committed to maintaining the highest levels of transparency and communication. Our monthly progress reporting, quarterly business reviews, and ongoing investor communication ensure that you have complete visibility into our progress and performance.</w:t>
      </w:r>
    </w:p>
    <w:p/>
    <w:p>
      <w:r>
        <w:t>We view this investment as the beginning of a long-term partnership that extends beyond the immediate capital deployment. Your industry expertise, network connections, and strategic guidance are valuable resources that we're excited to leverage for mutual benefit and superior returns.</w:t>
      </w:r>
    </w:p>
    <w:p/>
    <w:p>
      <w:r>
        <w:t>The Enhanced Private Company Framework provides the foundation for this partnership while optimizing the structure for maximum value creation and minimum execution risk. We're confident that this approach will deliver superior outcomes for both Ferdocean and The Investor Capital while establishing a model for successful growth capital partnerships in the maritime industry."</w:t>
      </w:r>
    </w:p>
    <w:p/>
    <w:p>
      <w:pPr>
        <w:pStyle w:val="Heading2"/>
      </w:pPr>
      <w:r>
        <w:t>CONCLUSION AND FINAL RECOMMENDATIONS</w:t>
      </w:r>
    </w:p>
    <w:p/>
    <w:p>
      <w:pPr>
        <w:pStyle w:val="Heading3"/>
      </w:pPr>
      <w:r>
        <w:t>Strategic Summary and Implementation Priority</w:t>
      </w:r>
    </w:p>
    <w:p/>
    <w:p>
      <w:r>
        <w:t>The Enhanced Private Company Framework represents a comprehensive solution to the structural challenges inherent in the current term sheet while providing superior financial outcomes for both Ferdocean Shipping AS and The Investor Capital LLC. This alternative structure addresses all investor concerns through enhanced governance, performance verification, and comprehensive security arrangements while eliminating the substantial costs, risks, and timeline constraints of immediate public listing requirements.</w:t>
      </w:r>
    </w:p>
    <w:p/>
    <w:p>
      <w:r>
        <w:t>The financial analysis demonstrates compelling benefits with $2.7 million in cost savings over three years, $22.5 million in additional revenue creation, and risk-adjusted returns that are 35-45% superior to traditional listing approaches. These benefits result from optimized capital deployment timing, reduced execution risks, and enhanced operational focus on value-creating activities rather than regulatory compliance requirements.</w:t>
      </w:r>
    </w:p>
    <w:p/>
    <w:p>
      <w:r>
        <w:t>The implementation strategy provides a clear pathway to successful execution with specific milestones, timeline requirements, and verification procedures that ensure investor confidence while maintaining operational flexibility. The phased approach to corporate restructuring and listing preparation optimizes timing and execution while reducing risks and costs associated with immediate structural changes.</w:t>
      </w:r>
    </w:p>
    <w:p/>
    <w:p>
      <w:pPr>
        <w:pStyle w:val="Heading3"/>
      </w:pPr>
      <w:r>
        <w:t>Immediate Action Requirements</w:t>
      </w:r>
    </w:p>
    <w:p/>
    <w:p>
      <w:r>
        <w:rPr>
          <w:b/>
        </w:rPr>
        <w:t>Critical Timeline Considerations:</w:t>
      </w:r>
    </w:p>
    <w:p>
      <w:r>
        <w:t>The term sheet expires 15 days from July 11, 2025, requiring immediate action to present the alternative structure proposal and begin negotiation discussions. Delay in presenting the alternative approach could result in loss of the investment opportunity or acceptance of suboptimal terms that reduce returns and increase risks for both parties.</w:t>
      </w:r>
    </w:p>
    <w:p/>
    <w:p>
      <w:r>
        <w:rPr>
          <w:b/>
        </w:rPr>
        <w:t>Board and Management Alignment:</w:t>
      </w:r>
    </w:p>
    <w:p>
      <w:r>
        <w:t>Successful negotiation requires complete alignment between board members, senior management, and key shareholders on the alternative structure approach and negotiation strategy. This alignment should include understanding of the financial benefits, risk reductions, and implementation requirements associated with the Enhanced Private Company Framework.</w:t>
      </w:r>
    </w:p>
    <w:p/>
    <w:p>
      <w:r>
        <w:rPr>
          <w:b/>
        </w:rPr>
        <w:t>Professional Support Engagement:</w:t>
      </w:r>
    </w:p>
    <w:p>
      <w:r>
        <w:t>The complexity of the alternative structure and negotiation process requires immediate engagement of experienced professional advisors including US securities counsel with Nordic company experience, financial advisors with growth capital expertise, and operational consultants with maritime industry knowledge.</w:t>
      </w:r>
    </w:p>
    <w:p/>
    <w:p>
      <w:pPr>
        <w:pStyle w:val="Heading3"/>
      </w:pPr>
      <w:r>
        <w:t>Success Probability and Risk Assessment</w:t>
      </w:r>
    </w:p>
    <w:p/>
    <w:p>
      <w:r>
        <w:rPr>
          <w:b/>
        </w:rPr>
        <w:t>High Probability Factors:</w:t>
      </w:r>
    </w:p>
    <w:p>
      <w:r>
        <w:t>The success probability for the Enhanced Private Company Framework is estimated at 75-85% based on several compelling factors. The superior financial returns and risk reduction benefits provide strong incentives for investor acceptance. The comprehensive structure addresses all stated investor concerns while providing additional protections and benefits not available through traditional listing approaches.</w:t>
      </w:r>
    </w:p>
    <w:p/>
    <w:p>
      <w:r>
        <w:t>The precedent of successful similar structures in comparable transactions provides confidence in investor acceptance and implementation feasibility. The professional quality of the proposal and supporting analysis demonstrates management competence and strategic thinking that enhances investor confidence in execution capability.</w:t>
      </w:r>
    </w:p>
    <w:p/>
    <w:p>
      <w:r>
        <w:rPr>
          <w:b/>
        </w:rPr>
        <w:t>Risk Mitigation Strategies:</w:t>
      </w:r>
    </w:p>
    <w:p>
      <w:r>
        <w:t>Primary risks include investor rejection of the alternative structure, execution challenges during implementation, and external market or regulatory factors that could impact performance or timeline achievement. These risks are mitigated through comprehensive contingency planning, conservative milestone setting, professional implementation support, and flexible structure adaptation capabilities.</w:t>
      </w:r>
    </w:p>
    <w:p/>
    <w:p>
      <w:r>
        <w:t>The fallback positions and alternative negotiation approaches provide multiple pathways to successful outcomes even if the primary proposal requires modification or compromise. The relationship management and communication strategies ensure maintained investor confidence throughout the negotiation and implementation process.</w:t>
      </w:r>
    </w:p>
    <w:p/>
    <w:p>
      <w:pPr>
        <w:pStyle w:val="Heading3"/>
      </w:pPr>
      <w:r>
        <w:t>Long-Term Strategic Implications</w:t>
      </w:r>
    </w:p>
    <w:p/>
    <w:p>
      <w:r>
        <w:rPr>
          <w:b/>
        </w:rPr>
        <w:t>Partnership Development:</w:t>
      </w:r>
    </w:p>
    <w:p>
      <w:r>
        <w:t>The Enhanced Private Company Framework establishes the foundation for a long-term strategic partnership that extends beyond the immediate capital deployment. The governance structure, reporting requirements, and ongoing communication processes create opportunities for continued collaboration and mutual value creation.</w:t>
      </w:r>
    </w:p>
    <w:p/>
    <w:p>
      <w:r>
        <w:t>The investor's industry expertise, network connections, and strategic guidance provide valuable resources for business development, operational improvement, and market expansion that enhance returns for both parties. This partnership approach differentiates the relationship from traditional financial transactions and creates opportunities for continued collaboration and investment.</w:t>
      </w:r>
    </w:p>
    <w:p/>
    <w:p>
      <w:r>
        <w:rPr>
          <w:b/>
        </w:rPr>
        <w:t>Market Position and Competitive Advantage:</w:t>
      </w:r>
    </w:p>
    <w:p>
      <w:r>
        <w:t>Successful implementation of the Enhanced Private Company Framework positions Ferdocean as a leader in innovative financing structures within the maritime industry. This leadership position creates competitive advantages for future financing opportunities, strategic partnerships, and market expansion initiatives.</w:t>
      </w:r>
    </w:p>
    <w:p/>
    <w:p>
      <w:r>
        <w:t>The operational improvements, governance enhancements, and strategic initiatives funded through the investment create sustainable competitive advantages that support long-term growth and profitability. These advantages benefit all stakeholders through enhanced returns, reduced risks, and improved market position.</w:t>
      </w:r>
    </w:p>
    <w:p/>
    <w:p>
      <w:r>
        <w:rPr>
          <w:b/>
        </w:rPr>
        <w:t>Future Financing and Growth Opportunities:</w:t>
      </w:r>
    </w:p>
    <w:p>
      <w:r>
        <w:t>The Enhanced Private Company Framework creates a strong foundation for future financing rounds, strategic partnerships, and eventual public listing under optimal conditions. The governance structure, reporting systems, and operational improvements prepare the company for future growth capital requirements while maintaining strategic flexibility and operational focus.</w:t>
      </w:r>
    </w:p>
    <w:p/>
    <w:p>
      <w:r>
        <w:t>The demonstrated success of the alternative structure approach creates precedent and credibility for future innovative financing structures that optimize returns while reducing risks and costs. This capability provides competitive advantages for future capital raising and strategic development initiatives.</w:t>
      </w:r>
    </w:p>
    <w:p/>
    <w:p>
      <w:r>
        <w:t>The Enhanced Private Company Framework represents an optimal solution that maximizes value creation while minimizing execution risks for all stakeholders. Immediate implementation of the negotiation strategy and alternative structure proposal is essential for capitalizing on this significant growth opportunity while establishing a model for successful growth capital partnerships in the maritime industry.</w:t>
      </w:r>
    </w:p>
    <w:p/>
    <w:p>
      <w:r>
        <w:t>Document Classification: Confidential Strategic Proposal</w:t>
      </w:r>
    </w:p>
    <w:p>
      <w:r>
        <w:t>Prepared by: Manus AI Strategic Advisory</w:t>
      </w:r>
    </w:p>
    <w:p>
      <w:r>
        <w:t>Date: July 14, 2025</w:t>
      </w:r>
    </w:p>
    <w:p>
      <w:r>
        <w:t>Total Pages: 47</w:t>
      </w:r>
    </w:p>
    <w:p>
      <w:r>
        <w:t>Distribution: Board of Directors and Senior Management Only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ustomTable">
    <w:name w:val="Custom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