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Aurelian Financial Model Skill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FF3E00"/>
          <w:sz w:val="22"/>
          <w:szCs w:val="22"/>
        </w:rPr>
        <w:t xml:space="preserve">CFO-Level Financial Modeling Specification</w:t>
      </w:r>
    </w:p>
    <w:p>
      <w:pPr>
        <w:pBdr>
          <w:bottom w:val="single" w:color="FF3E00" w:sz="3"/>
        </w:pBdr>
        <w:spacing w:after="4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Aurelian Manufacturing AS  |  February 2026  |  Confidential</w:t>
      </w:r>
    </w:p>
    <w:p>
      <w:pPr>
        <w:spacing w:before="360"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1: Assumptions Sheet (Always Required)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financial model MUST have a dedicated Assumptions sheet. All hardcoded values go here with blue font. All other sheets reference this sheet via cell references.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1.1 Core Operating Assumptions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Theoretical hours/CNC/year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8,760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24h × 365d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Productive hours/year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 (B.1)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Normalized hourly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NOK/hour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B, Markedsanalyse 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Variable cost % of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 (B.4)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50/50 sharing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utilization 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Grunnlag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Sharing split above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Grunnlag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1.2 CNC Machine Economics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Cost per CNC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Markedsanalyse 7.1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Depreciation 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 (B.4)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Annual depreciation/CNC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Debt interest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DD Skills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Debt per CNC (Seed)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50% of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Debt per CNC (Series 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65% of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Resale value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E (50-70% range)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1.3 Staffing Model (Sub-Linear)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Aurelian staff per CNC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FTE/CNC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Pitch Deck, validated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Industry avg staff per CNC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FTE/CNC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Pitch Deck benchmark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Avg operational salary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1,100,000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NOK/year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 (17.6M/16 FTE)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Avg admin salary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1,400,000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NOK/year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 (4.2M/3 FTE)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FTEs (constant)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Vedlegg B (B.4)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1.5 Revenue Formula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Revenue per CNC = 8,760 × utilization% × 3,000 NOK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Annual Revenue = SUM(Revenue per CNC for all machines)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Reconciliation: 8,760 × 60% × 3,000 = 15.77 MNOK per CNC. Grunnlag shows 20 CNC × 60% = ~315 MNOK → 315/20 = 15.75 MNOK ✓</w:t>
      </w:r>
    </w:p>
    <w:p>
      <w:pPr>
        <w:shd w:fill="FFF3CD" w:val="clear"/>
        <w:spacing w:after="120"/>
        <w:ind w:left="200" w:right="200"/>
      </w:pPr>
      <w:r>
        <w:rPr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color w:val="856404"/>
          <w:sz w:val="20"/>
          <w:szCs w:val="20"/>
        </w:rPr>
        <w:t xml:space="preserve">Vedlegg B uses 6,000 "available hours" = ~68.5% of 8,760. For investor models, use 8,760 × utilization% to match Grunnlag.</w:t>
      </w:r>
    </w:p>
    <w:p>
      <w:pPr>
        <w:spacing w:before="360"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2: Revenue &amp; Profit Trajectory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Source: Grunnlag_for_verdisetting_Revidert (MASTER)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900"/>
        <w:gridCol w:w="1300"/>
        <w:gridCol w:w="1200"/>
        <w:gridCol w:w="15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CNC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Cust. Share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Aurelian Profit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73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44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116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56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166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67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99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263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99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MNOK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150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289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108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10.5 MNOK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160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57.5%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333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116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13.5 MNOK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190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378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124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 MNOK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220 MNOK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427 MNOK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133 MNOK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24.5 MNOK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245 MNOK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Accumulated (2028-2035): Revenue ~2,045 MNOK | Aurelian Profit ~1,094 MNOK | Customer Share ~204 MNOK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CAPEX Schedule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CNC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CAPEX/CNC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CAPEX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Accumulated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4+4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64 MNOK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64 MNOK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 MNOK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88 MNOK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 MNOK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112 MNOK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48 MNOK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160 MNOK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3: Cost Structure Formulas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Personnel Cost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Total_Personnel = (Operational_FTE × 1,100,000) + (3 × 1,400,000)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Fixed Costs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Total_Fixed = Personnel + Depreciation + Finance + Facility + Other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Variable &amp; Total Costs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Variable_Costs = Revenue × 13%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Total_Cost = Total_Fixed + Variable_Costs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Profit with 50/50 Sharing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IF utilization &gt; 45%: Customer_Share = (Revenue_above_threshold × 87%) × 50%</w:t>
      </w:r>
    </w:p>
    <w:p>
      <w:pPr>
        <w:shd w:fill="F5F5F5" w:val="clear"/>
        <w:spacing w:before="80" w:after="80"/>
        <w:ind w:left="4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Aurelian_Profit = Gross_Profit - Customer_Share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Steady State Validation (20 CNC @ 60%)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(MNOK)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Operational payroll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Personnel subtotal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Machine depreciation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cost (interest)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Variable costs (13% of ~315)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44.5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Other operating costs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102.5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Revenue @ 60%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~315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Result before tax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~212.5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4: Capital Structure &amp; Cap Table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Fundraising Rounds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Series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Capital Raised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47 MNOK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42 MNOK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Pre-Money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140 MNOK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250 MNOK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Post-Money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MNOK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187 MNOK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292 MNOK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16.67%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25.13%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14.38%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Investor ROI (2.3B exit)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49x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10.5x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7.9x</w:t>
            </w:r>
          </w:p>
        </w:tc>
      </w:tr>
    </w:tbl>
    <w:p>
      <w:pPr>
        <w:spacing w:after="120"/>
      </w:pPr>
    </w:p>
    <w:p>
      <w:pPr>
        <w:shd w:fill="FFF3CD" w:val="clear"/>
        <w:spacing w:after="120"/>
        <w:ind w:left="200" w:right="200"/>
      </w:pPr>
      <w:r>
        <w:rPr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color w:val="856404"/>
          <w:sz w:val="20"/>
          <w:szCs w:val="20"/>
        </w:rPr>
        <w:t xml:space="preserve">ALWAYS USE 25 MNOK pre-seed pre-money (from KOMPLETT). Vedlegg A shows 60 MNOK — this is superseded.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Cap Table Evolution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17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Pre-Founding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 Pre-Seed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 Seed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 Series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Eier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56.25%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46.88%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35.11%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30.05%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Eier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33.75%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28.13%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21.07%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18.03%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Eier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8.33%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6.24%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5.34%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Pre-Seed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16.67%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12.48%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10.68%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25.10%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21.48%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Series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14.42%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Founders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83.33%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62.42%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53.42%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5: Sensitivity Analysis</w:t>
      </w: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Utilization Sensitivity (20 CNC, Before Sharing)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(MNOK)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EBIT (MNOK)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EBIT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~59%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~171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~68%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~240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~70%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Calibri" w:cs="Calibri" w:eastAsia="Calibri" w:hAnsi="Calibri"/>
          <w:b/>
          <w:bCs/>
          <w:color w:val="FF3E00"/>
          <w:sz w:val="24"/>
          <w:szCs w:val="24"/>
        </w:rPr>
        <w:t xml:space="preserve">Scenario Analysis for Exit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600"/>
        <w:gridCol w:w="14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150 MNOK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1,200 MNOK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222 MNOK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2,220 MNOK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270 MNOK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2,970 MNOK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6: Validation Checkpoints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When building any financial model, verify these 10 checkpoints: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Revenue at 20 CNC, 60% utilization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~315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cost at 20 CNC steady state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~102.5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Break-even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CNC @ 15-20% utilization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Staff ratio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0.8 FTE per CNC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Variable costs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13% of revenue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Exit valuation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2.3B NOK at 10x EBITDA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Founders post-Series 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53.42%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Accumulated profit 2028-2035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~1,094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Seed pre-money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140 MNOK (NOT 60 MNOK)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CAPEX per CNC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MNOK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Aurelian Manufacturing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2026-02-11T14:32:11.340Z</dcterms:created>
  <dcterms:modified xsi:type="dcterms:W3CDTF">2026-02-11T14:32:11.340Z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