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50537" w:sz="24" w:space="1"/>
        </w:pBdr>
        <w:spacing w:before="0" w:after="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before="2400" w:after="200"/>
        <w:jc w:val="left"/>
      </w:pPr>
      <w:r>
        <w:rPr>
          <w:rFonts w:ascii="Calibri" w:cs="Calibri" w:eastAsia="Calibri" w:hAnsi="Calibri"/>
          <w:b/>
          <w:bCs/>
          <w:color w:val="2B2B2B"/>
          <w:sz w:val="56"/>
          <w:szCs w:val="56"/>
        </w:rPr>
        <w:t xml:space="preserve">Aurelian Manufacturing</w:t>
      </w:r>
    </w:p>
    <w:p>
      <w:pPr>
        <w:spacing w:before="100" w:after="100"/>
        <w:jc w:val="left"/>
      </w:pPr>
      <w:r>
        <w:rPr>
          <w:rFonts w:ascii="Calibri" w:cs="Calibri" w:eastAsia="Calibri" w:hAnsi="Calibri"/>
          <w:b/>
          <w:bCs/>
          <w:color w:val="F50537"/>
          <w:sz w:val="48"/>
          <w:szCs w:val="48"/>
        </w:rPr>
        <w:t xml:space="preserve">Investment Teaser</w:t>
      </w:r>
    </w:p>
    <w:p>
      <w:pPr>
        <w:spacing w:before="100" w:after="100"/>
      </w:pPr>
      <w:r>
        <w:rPr>
          <w:rFonts w:ascii="Calibri" w:cs="Calibri" w:eastAsia="Calibri" w:hAnsi="Calibri"/>
          <w:i/>
          <w:iCs/>
          <w:color w:val="6B6B6B"/>
          <w:sz w:val="26"/>
          <w:szCs w:val="26"/>
        </w:rPr>
        <w:t xml:space="preserve">Autonomous CNC Manufacturing | Production as a Service</w:t>
      </w:r>
    </w:p>
    <w:p>
      <w:pPr>
        <w:spacing w:before="200" w:after="100"/>
      </w:pPr>
      <w:r>
        <w:rPr>
          <w:rFonts w:ascii="Calibri" w:cs="Calibri" w:eastAsia="Calibri" w:hAnsi="Calibri"/>
          <w:color w:val="6B6B6B"/>
          <w:sz w:val="22"/>
          <w:szCs w:val="22"/>
        </w:rPr>
        <w:t xml:space="preserve">VDR 00.02</w:t>
      </w:r>
    </w:p>
    <w:p>
      <w:pPr>
        <w:spacing w:before="100" w:after="100"/>
      </w:pPr>
      <w:r>
        <w:rPr>
          <w:rFonts w:ascii="Calibri" w:cs="Calibri" w:eastAsia="Calibri" w:hAnsi="Calibri"/>
          <w:color w:val="6B6B6B"/>
          <w:sz w:val="22"/>
          <w:szCs w:val="22"/>
        </w:rPr>
        <w:t xml:space="preserve">February 2026</w:t>
      </w:r>
    </w:p>
    <w:p>
      <w:pPr>
        <w:spacing w:before="600" w:after="0"/>
      </w:pPr>
      <w:r>
        <w:rPr>
          <w:rFonts w:ascii="Calibri" w:cs="Calibri" w:eastAsia="Calibri" w:hAnsi="Calibri"/>
          <w:b/>
          <w:bCs/>
          <w:color w:val="6B6B6B"/>
          <w:sz w:val="22"/>
          <w:szCs w:val="22"/>
        </w:rPr>
        <w:t xml:space="preserve">CONFIDENTIAL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The Concept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Aurelian is establishing an autonomous CNC manufacturing facility in Våler, Østfold — greenfield-designed for 24/7 unmanned operation. Delivers high-precision components to defense, energy, and critical infrastructure.</w:t>
      </w:r>
    </w:p>
    <w:p>
      <w:pPr>
        <w:spacing w:before="200" w:after="0"/>
      </w:pPr>
    </w:p>
    <w:p>
      <w:pPr>
        <w:pStyle w:val="Heading1"/>
      </w:pPr>
      <w:r>
        <w:t xml:space="preserve">The Market Opportunity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Driver</w:t>
            </w:r>
          </w:p>
        </w:tc>
        <w:tc>
          <w:tcPr>
            <w:tcW w:type="dxa" w:w="27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Scale</w:t>
            </w:r>
          </w:p>
        </w:tc>
        <w:tc>
          <w:tcPr>
            <w:tcW w:type="dxa" w:w="23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Norwegian defense budget 2025-2036</w:t>
            </w:r>
          </w:p>
        </w:tc>
        <w:tc>
          <w:tcPr>
            <w:tcW w:type="dxa" w:w="27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NOK 1,635 billion</w:t>
            </w:r>
          </w:p>
        </w:tc>
        <w:tc>
          <w:tcPr>
            <w:tcW w:type="dxa" w:w="23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Long-term plan</w:t>
            </w:r>
          </w:p>
        </w:tc>
      </w:tr>
      <w:t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EU ReArm Europe</w:t>
            </w:r>
          </w:p>
        </w:tc>
        <w:tc>
          <w:tcPr>
            <w:tcW w:type="dxa" w:w="27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EUR 800 billion</w:t>
            </w:r>
          </w:p>
        </w:tc>
        <w:tc>
          <w:tcPr>
            <w:tcW w:type="dxa" w:w="23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EU Commission</w:t>
            </w:r>
          </w:p>
        </w:tc>
      </w:tr>
      <w:t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European offshore wind (2030)</w:t>
            </w:r>
          </w:p>
        </w:tc>
        <w:tc>
          <w:tcPr>
            <w:tcW w:type="dxa" w:w="27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83 → 238 GW</w:t>
            </w:r>
          </w:p>
        </w:tc>
        <w:tc>
          <w:tcPr>
            <w:tcW w:type="dxa" w:w="23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WindEurope</w:t>
            </w:r>
          </w:p>
        </w:tc>
      </w:tr>
      <w:t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Norwegian labor shortage</w:t>
            </w:r>
          </w:p>
        </w:tc>
        <w:tc>
          <w:tcPr>
            <w:tcW w:type="dxa" w:w="27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39,000 skilled workers</w:t>
            </w:r>
          </w:p>
        </w:tc>
        <w:tc>
          <w:tcPr>
            <w:tcW w:type="dxa" w:w="23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NAV 2025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All four drivers converge 2025-2030. Aurelian's production target is August 2027.</w:t>
      </w:r>
    </w:p>
    <w:p>
      <w:pPr>
        <w:spacing w:before="200" w:after="0"/>
      </w:pPr>
    </w:p>
    <w:p>
      <w:pPr>
        <w:pStyle w:val="Heading1"/>
      </w:pPr>
      <w:r>
        <w:t xml:space="preserve">Industry vs. Aurelian Design Targets</w:t>
      </w:r>
    </w:p>
    <w:p>
      <w:pPr>
        <w:pStyle w:val="Heading2"/>
      </w:pPr>
      <w:r>
        <w:t xml:space="preserve">Observed industry (CNC Benchmark, VDR 03.02):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Industry average</w:t>
            </w:r>
          </w:p>
        </w:tc>
      </w:tr>
      <w:tr>
        <w:tc>
          <w:tcPr>
            <w:tcW w:type="dxa" w:w="4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CNC utilization</w:t>
            </w:r>
          </w:p>
        </w:tc>
        <w:tc>
          <w:tcPr>
            <w:tcW w:type="dxa" w:w="5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20-45%</w:t>
            </w:r>
          </w:p>
        </w:tc>
      </w:tr>
      <w:tr>
        <w:tc>
          <w:tcPr>
            <w:tcW w:type="dxa" w:w="4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Employees per CNC</w:t>
            </w:r>
          </w:p>
        </w:tc>
        <w:tc>
          <w:tcPr>
            <w:tcW w:type="dxa" w:w="5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~2.5</w:t>
            </w:r>
          </w:p>
        </w:tc>
      </w:tr>
      <w:tr>
        <w:tc>
          <w:tcPr>
            <w:tcW w:type="dxa" w:w="4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Operation</w:t>
            </w:r>
          </w:p>
        </w:tc>
        <w:tc>
          <w:tcPr>
            <w:tcW w:type="dxa" w:w="5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Typically single shift</w:t>
            </w:r>
          </w:p>
        </w:tc>
      </w:tr>
    </w:tbl>
    <w:p>
      <w:pPr>
        <w:pStyle w:val="Heading2"/>
      </w:pPr>
      <w:r>
        <w:t xml:space="preserve">Aurelian design targets (pre-revenue):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42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Enabled by</w:t>
            </w:r>
          </w:p>
        </w:tc>
      </w:tr>
      <w:tr>
        <w:tc>
          <w:tcPr>
            <w:tcW w:type="dxa" w:w="24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CNC utilization</w:t>
            </w:r>
          </w:p>
        </w:tc>
        <w:tc>
          <w:tcPr>
            <w:tcW w:type="dxa" w:w="24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60-65% at maturity</w:t>
            </w:r>
          </w:p>
        </w:tc>
        <w:tc>
          <w:tcPr>
            <w:tcW w:type="dxa" w:w="42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24/7 scheduling, greenfield layout</w:t>
            </w:r>
          </w:p>
        </w:tc>
      </w:tr>
      <w:tr>
        <w:tc>
          <w:tcPr>
            <w:tcW w:type="dxa" w:w="24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Employees per CNC</w:t>
            </w:r>
          </w:p>
        </w:tc>
        <w:tc>
          <w:tcPr>
            <w:tcW w:type="dxa" w:w="24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0.8 FTE at scale</w:t>
            </w:r>
          </w:p>
        </w:tc>
        <w:tc>
          <w:tcPr>
            <w:tcW w:type="dxa" w:w="42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Autonomous operation, robotic loading</w:t>
            </w:r>
          </w:p>
        </w:tc>
      </w:tr>
      <w:tr>
        <w:tc>
          <w:tcPr>
            <w:tcW w:type="dxa" w:w="24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24/7 autonomous</w:t>
            </w:r>
          </w:p>
        </w:tc>
        <w:tc>
          <w:tcPr>
            <w:tcW w:type="dxa" w:w="42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Pallet system, monitoring system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difference results from greenfield establishment — design choices that are structurally difficult to retrofit in existing organizations.</w:t>
      </w:r>
    </w:p>
    <w:p>
      <w:pPr>
        <w:spacing w:before="200" w:after="0"/>
      </w:pPr>
    </w:p>
    <w:p>
      <w:pPr>
        <w:pStyle w:val="Heading1"/>
      </w:pPr>
      <w:r>
        <w:t xml:space="preserve">Financial Projections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All projections from 02 Economic Tables &amp; Projections (VDR 02.04), §2.2.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500"/>
        <w:gridCol w:w="25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Year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CNC</w:t>
            </w:r>
          </w:p>
        </w:tc>
        <w:tc>
          <w:tcPr>
            <w:tcW w:type="dxa" w:w="1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Utilization</w:t>
            </w:r>
          </w:p>
        </w:tc>
        <w:tc>
          <w:tcPr>
            <w:tcW w:type="dxa" w:w="2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Revenue</w:t>
            </w:r>
          </w:p>
        </w:tc>
        <w:tc>
          <w:tcPr>
            <w:tcW w:type="dxa" w:w="28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2028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37.5%</w:t>
            </w:r>
          </w:p>
        </w:tc>
        <w:tc>
          <w:tcPr>
            <w:tcW w:type="dxa" w:w="2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49.3 MNOK</w:t>
            </w:r>
          </w:p>
        </w:tc>
        <w:tc>
          <w:tcPr>
            <w:tcW w:type="dxa" w:w="28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15.2 MNOK</w:t>
            </w:r>
          </w:p>
        </w:tc>
      </w:tr>
      <w:tr>
        <w:tc>
          <w:tcPr>
            <w:tcW w:type="dxa" w:w="1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2030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17</w:t>
            </w:r>
          </w:p>
        </w:tc>
        <w:tc>
          <w:tcPr>
            <w:tcW w:type="dxa" w:w="1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47.5%</w:t>
            </w:r>
          </w:p>
        </w:tc>
        <w:tc>
          <w:tcPr>
            <w:tcW w:type="dxa" w:w="2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212 MNOK</w:t>
            </w:r>
          </w:p>
        </w:tc>
        <w:tc>
          <w:tcPr>
            <w:tcW w:type="dxa" w:w="28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131.8 MNOK</w:t>
            </w:r>
          </w:p>
        </w:tc>
      </w:tr>
      <w:tr>
        <w:tc>
          <w:tcPr>
            <w:tcW w:type="dxa" w:w="12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2035</w:t>
            </w:r>
          </w:p>
        </w:tc>
        <w:tc>
          <w:tcPr>
            <w:tcW w:type="dxa" w:w="1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25</w:t>
            </w:r>
          </w:p>
        </w:tc>
        <w:tc>
          <w:tcPr>
            <w:tcW w:type="dxa" w:w="1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65%</w:t>
            </w:r>
          </w:p>
        </w:tc>
        <w:tc>
          <w:tcPr>
            <w:tcW w:type="dxa" w:w="2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427 MNOK</w:t>
            </w:r>
          </w:p>
        </w:tc>
        <w:tc>
          <w:tcPr>
            <w:tcW w:type="dxa" w:w="28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247.8 MNOK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Accumulated projected result 2027-2035: ~1,254 MNOK.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2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Break-even (model)</w:t>
            </w:r>
          </w:p>
        </w:tc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~24% utilization</w:t>
            </w:r>
          </w:p>
        </w:tc>
        <w:tc>
          <w:tcPr>
            <w:tcW w:type="dxa" w:w="3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Projection</w:t>
            </w:r>
          </w:p>
        </w:tc>
      </w:tr>
      <w:tr>
        <w:tc>
          <w:tcPr>
            <w:tcW w:type="dxa" w:w="2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Revenue at 20 CNC @ 60%</w:t>
            </w:r>
          </w:p>
        </w:tc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~315 MNOK</w:t>
            </w:r>
          </w:p>
        </w:tc>
        <w:tc>
          <w:tcPr>
            <w:tcW w:type="dxa" w:w="3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Projection</w:t>
            </w:r>
          </w:p>
        </w:tc>
      </w:tr>
      <w:tr>
        <w:tc>
          <w:tcPr>
            <w:tcW w:type="dxa" w:w="2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Exit valuation (base case)</w:t>
            </w:r>
          </w:p>
        </w:tc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2.3 billion NOK (10x EBITDA)</w:t>
            </w:r>
          </w:p>
        </w:tc>
        <w:tc>
          <w:tcPr>
            <w:tcW w:type="dxa" w:w="3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Projection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Current Round: Pre-Seed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Equity</w:t>
            </w:r>
          </w:p>
        </w:tc>
        <w:tc>
          <w:tcPr>
            <w:tcW w:type="dxa" w:w="6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5 MNOK</w:t>
            </w:r>
          </w:p>
        </w:tc>
      </w:tr>
      <w:t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Pre-money valuation</w:t>
            </w:r>
          </w:p>
        </w:tc>
        <w:tc>
          <w:tcPr>
            <w:tcW w:type="dxa" w:w="6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25 MNOK</w:t>
            </w:r>
          </w:p>
        </w:tc>
      </w:tr>
      <w:t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Post-money</w:t>
            </w:r>
          </w:p>
        </w:tc>
        <w:tc>
          <w:tcPr>
            <w:tcW w:type="dxa" w:w="6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30 MNOK (16.7% dilution)</w:t>
            </w:r>
          </w:p>
        </w:tc>
      </w:tr>
      <w:t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Use of funds</w:t>
            </w:r>
          </w:p>
        </w:tc>
        <w:tc>
          <w:tcPr>
            <w:tcW w:type="dxa" w:w="6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Concept validation, customer discovery, team, advisory</w:t>
            </w:r>
          </w:p>
        </w:tc>
      </w:tr>
      <w:tr>
        <w:tc>
          <w:tcPr>
            <w:tcW w:type="dxa" w:w="3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Projected PreSeed ROI</w:t>
            </w:r>
          </w:p>
        </w:tc>
        <w:tc>
          <w:tcPr>
            <w:tcW w:type="dxa" w:w="60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~46.6x (at exit 2.3B NOK base case)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Projected Investor Returns (exit 2.3 billion NOK base case)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Round</w:t>
            </w:r>
          </w:p>
        </w:tc>
        <w:tc>
          <w:tcPr>
            <w:tcW w:type="dxa" w:w="23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Ownership post-A</w:t>
            </w:r>
          </w:p>
        </w:tc>
        <w:tc>
          <w:tcPr>
            <w:tcW w:type="dxa" w:w="23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Exit value</w:t>
            </w:r>
          </w:p>
        </w:tc>
        <w:tc>
          <w:tcPr>
            <w:tcW w:type="dxa" w:w="24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ROI</w:t>
            </w:r>
          </w:p>
        </w:tc>
      </w:tr>
      <w:tr>
        <w:tc>
          <w:tcPr>
            <w:tcW w:type="dxa" w:w="2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PreSeed (5 MNOK)</w:t>
            </w:r>
          </w:p>
        </w:tc>
        <w:tc>
          <w:tcPr>
            <w:tcW w:type="dxa" w:w="23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10.12%</w:t>
            </w:r>
          </w:p>
        </w:tc>
        <w:tc>
          <w:tcPr>
            <w:tcW w:type="dxa" w:w="23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~233 MNOK</w:t>
            </w:r>
          </w:p>
        </w:tc>
        <w:tc>
          <w:tcPr>
            <w:tcW w:type="dxa" w:w="24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~46.6x</w:t>
            </w:r>
          </w:p>
        </w:tc>
      </w:tr>
      <w:tr>
        <w:tc>
          <w:tcPr>
            <w:tcW w:type="dxa" w:w="2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Seed (51.3 MNOK)</w:t>
            </w:r>
          </w:p>
        </w:tc>
        <w:tc>
          <w:tcPr>
            <w:tcW w:type="dxa" w:w="23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23.98%</w:t>
            </w:r>
          </w:p>
        </w:tc>
        <w:tc>
          <w:tcPr>
            <w:tcW w:type="dxa" w:w="23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~552 MNOK</w:t>
            </w:r>
          </w:p>
        </w:tc>
        <w:tc>
          <w:tcPr>
            <w:tcW w:type="dxa" w:w="24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~10.8x</w:t>
            </w:r>
          </w:p>
        </w:tc>
      </w:tr>
      <w:tr>
        <w:tc>
          <w:tcPr>
            <w:tcW w:type="dxa" w:w="20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Serie A (45 MNOK)</w:t>
            </w:r>
          </w:p>
        </w:tc>
        <w:tc>
          <w:tcPr>
            <w:tcW w:type="dxa" w:w="23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15.25%</w:t>
            </w:r>
          </w:p>
        </w:tc>
        <w:tc>
          <w:tcPr>
            <w:tcW w:type="dxa" w:w="23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~351 MNOK</w:t>
            </w:r>
          </w:p>
        </w:tc>
        <w:tc>
          <w:tcPr>
            <w:tcW w:type="dxa" w:w="24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~7.8x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</w:tr>
      <w:tr>
        <w:tc>
          <w:tcPr>
            <w:tcW w:type="dxa" w:w="4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CEO &amp; Co-Founder</w:t>
            </w:r>
          </w:p>
        </w:tc>
        <w:tc>
          <w:tcPr>
            <w:tcW w:type="dxa" w:w="4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André Tandberg</w:t>
            </w:r>
          </w:p>
        </w:tc>
      </w:tr>
      <w:tr>
        <w:tc>
          <w:tcPr>
            <w:tcW w:type="dxa" w:w="4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VP BD &amp; Co-Founder</w:t>
            </w:r>
          </w:p>
        </w:tc>
        <w:tc>
          <w:tcPr>
            <w:tcW w:type="dxa" w:w="4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Tore Ausland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PreSeed (5 MNOK):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Norbygg: Facility partner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MAZAK/DMG MORI: Quotes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Physical Robotics: LOI signed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Customer dialogue ongoing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Next step: DD material available in VDR.</w:t>
      </w:r>
    </w:p>
    <w:p>
      <w:pPr>
        <w:spacing w:before="200" w:after="0"/>
      </w:pPr>
    </w:p>
    <w:p>
      <w:pPr>
        <w:pStyle w:val="Heading2"/>
      </w:pPr>
      <w:r>
        <w:t xml:space="preserve">References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VDR ref</w:t>
            </w:r>
          </w:p>
        </w:tc>
        <w:tc>
          <w:tcPr>
            <w:tcW w:type="dxa" w:w="7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</w:tr>
      <w:tr>
        <w:tc>
          <w:tcPr>
            <w:tcW w:type="dxa" w:w="1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02.04</w:t>
            </w:r>
          </w:p>
        </w:tc>
        <w:tc>
          <w:tcPr>
            <w:tcW w:type="dxa" w:w="7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02 Economic Tables &amp; Projections (master document)</w:t>
            </w:r>
          </w:p>
        </w:tc>
      </w:tr>
      <w:tr>
        <w:tc>
          <w:tcPr>
            <w:tcW w:type="dxa" w:w="1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03.02</w:t>
            </w:r>
          </w:p>
        </w:tc>
        <w:tc>
          <w:tcPr>
            <w:tcW w:type="dxa" w:w="7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CNC Benchmark &amp; Competitive Landscape</w:t>
            </w:r>
          </w:p>
        </w:tc>
      </w:tr>
      <w:tr>
        <w:tc>
          <w:tcPr>
            <w:tcW w:type="dxa" w:w="1500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2"/>
                <w:szCs w:val="22"/>
              </w:rPr>
              <w:t xml:space="preserve">03.06</w:t>
            </w:r>
          </w:p>
        </w:tc>
        <w:tc>
          <w:tcPr>
            <w:tcW w:type="dxa" w:w="7526"/>
            <w:tcBorders>
              <w:top w:val="single" w:color="D3D3D3" w:sz="4"/>
              <w:left w:val="none" w:color="FFFFFF" w:sz="0"/>
              <w:bottom w:val="single" w:color="D3D3D3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Macro Market Analysis — Market Trends &amp; Projections</w:t>
            </w:r>
          </w:p>
        </w:tc>
      </w:tr>
    </w:tbl>
    <w:p>
      <w:pPr>
        <w:spacing w:before="300" w:after="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Aurelian Manufacturing AS | Confidential | February 2026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André Tandberg — andre@aurelian.no | Tore Ausland — tore@aurelian.no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13"/>
        <w:tab w:val="right" w:pos="9026"/>
      </w:tabs>
      <w:spacing w:before="0"/>
    </w:pPr>
    <w:r>
      <w:rPr>
        <w:rFonts w:ascii="Calibri" w:cs="Calibri" w:eastAsia="Calibri" w:hAnsi="Calibri"/>
        <w:color w:val="6B6B6B"/>
        <w:sz w:val="18"/>
        <w:szCs w:val="18"/>
      </w:rPr>
      <w:t xml:space="preserve">CONFIDENTIAL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6B6B6B"/>
        <w:sz w:val="18"/>
        <w:szCs w:val="18"/>
      </w:rPr>
      <w:t xml:space="preserve">Page </w:t>
    </w:r>
    <w:r>
      <w:rPr>
        <w:rFonts w:ascii="Calibri" w:cs="Calibri" w:eastAsia="Calibri" w:hAnsi="Calibr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B"/>
        <w:sz w:val="18"/>
        <w:szCs w:val="18"/>
      </w:rPr>
      <w:t xml:space="preserve">	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0537" w:sz="4" w:space="4"/>
      </w:pBdr>
      <w:spacing w:after="0"/>
      <w:jc w:val="right"/>
    </w:pPr>
    <w:r>
      <w:rPr>
        <w:rFonts w:ascii="Calibri" w:cs="Calibri" w:eastAsia="Calibri" w:hAnsi="Calibri"/>
        <w:color w:val="6B6B6B"/>
        <w:sz w:val="18"/>
        <w:szCs w:val="18"/>
      </w:rPr>
      <w:t xml:space="preserve">Aurelian Manufacturing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Calibri" w:cs="Calibri" w:eastAsia="Calibri" w:hAnsi="Calibri"/>
      <w:b/>
      <w:bCs/>
      <w:color w:val="2B2B2B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Calibri" w:cs="Calibri" w:eastAsia="Calibri" w:hAnsi="Calibri"/>
      <w:b/>
      <w:bCs/>
      <w:color w:val="F50537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alibri" w:cs="Calibri" w:eastAsia="Calibri" w:hAnsi="Calibri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2026-02-16T22:20:43.335Z</dcterms:created>
  <dcterms:modified xsi:type="dcterms:W3CDTF">2026-02-16T22:20:43.335Z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