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22F7" w14:textId="77777777" w:rsidR="00362EF4" w:rsidRPr="001B0E8E" w:rsidRDefault="00000000">
      <w:pPr>
        <w:spacing w:after="4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1A1A1A"/>
          <w:spacing w:val="60"/>
          <w:sz w:val="40"/>
          <w:szCs w:val="40"/>
          <w:lang w:val="en-US"/>
        </w:rPr>
        <w:t>AURELIAN MANUFACTURING</w:t>
      </w:r>
    </w:p>
    <w:p w14:paraId="08A922F8" w14:textId="77777777" w:rsidR="00362EF4" w:rsidRPr="001B0E8E" w:rsidRDefault="00000000">
      <w:pPr>
        <w:spacing w:after="2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22"/>
          <w:szCs w:val="22"/>
          <w:lang w:val="en-US"/>
        </w:rPr>
        <w:t>Executive Summary  |  Seed Round  |  February 2026</w:t>
      </w:r>
    </w:p>
    <w:p w14:paraId="08A922F9" w14:textId="77777777" w:rsidR="00362EF4" w:rsidRPr="001B0E8E" w:rsidRDefault="00000000">
      <w:pPr>
        <w:spacing w:after="6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2E74B5"/>
          <w:sz w:val="24"/>
          <w:szCs w:val="24"/>
          <w:lang w:val="en-US"/>
        </w:rPr>
        <w:t>Production as a Service — Autonomous, Data-Driven, and Scalable</w:t>
      </w:r>
    </w:p>
    <w:p w14:paraId="08A922FA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COMPANY OVERVIEW</w:t>
      </w:r>
    </w:p>
    <w:p w14:paraId="08A922FB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 Manufacturing is building Europe’s first fully autonomous CNC manufacturing facility in Våler, Østfold, Norway. The company targets the convergence of three structural mega-trends: Norway’s 1,624 Billion NOK defense allocation (2025–2036), a massive energy transition requiring precision components at scale, and a critical domestic CNC capacity gap where existing shops typically operate at 30–40% utilization with high labor intensity per machine.</w:t>
      </w:r>
    </w:p>
    <w:p w14:paraId="08A922FC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Aurelian’s greenfield approach targets 60–65% utilization with sub-linear staffing — a fundamental efficiency advantage that is structurally impossible for incumbents to replicate through brownfield retrofitting. First production is targeted for August 2027.</w:t>
      </w:r>
    </w:p>
    <w:p w14:paraId="08A922FD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THE OPPORTUNITY</w:t>
      </w:r>
    </w:p>
    <w:p w14:paraId="08A922FE" w14:textId="216B2D00" w:rsidR="00362EF4" w:rsidRPr="001B0E8E" w:rsidRDefault="00000000" w:rsidP="00653806">
      <w:pPr>
        <w:spacing w:before="2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A12C2D" w:rsidRPr="00A12C2D">
        <w:rPr>
          <w:b/>
          <w:bCs/>
          <w:sz w:val="19"/>
          <w:szCs w:val="19"/>
          <w:lang w:val="en-US"/>
        </w:rPr>
        <w:t>Defense:</w:t>
      </w:r>
      <w:r w:rsidR="00A12C2D" w:rsidRPr="00A12C2D">
        <w:rPr>
          <w:sz w:val="19"/>
          <w:szCs w:val="19"/>
          <w:lang w:val="en-US"/>
        </w:rPr>
        <w:t xml:space="preserve"> Norway invests 1,624B NOK in the coming period (2025–2036)</w:t>
      </w:r>
      <w:r w:rsidR="00A12C2D">
        <w:rPr>
          <w:sz w:val="19"/>
          <w:szCs w:val="19"/>
          <w:lang w:val="en-US"/>
        </w:rPr>
        <w:t xml:space="preserve">.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Norwegian defense budget growth creates multi-decade demand for precision-machined components.</w:t>
      </w:r>
    </w:p>
    <w:p w14:paraId="65631FB1" w14:textId="77777777" w:rsidR="00F50AEB" w:rsidRPr="00F50AEB" w:rsidRDefault="00000000" w:rsidP="00F50AEB">
      <w:pPr>
        <w:spacing w:before="20"/>
        <w:ind w:left="300"/>
        <w:rPr>
          <w:sz w:val="19"/>
          <w:szCs w:val="19"/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F50AEB" w:rsidRPr="00F50AEB">
        <w:rPr>
          <w:b/>
          <w:bCs/>
          <w:sz w:val="19"/>
          <w:szCs w:val="19"/>
          <w:lang w:val="en-US"/>
        </w:rPr>
        <w:t>Energy:</w:t>
      </w:r>
      <w:r w:rsidR="00F50AEB" w:rsidRPr="00F50AEB">
        <w:rPr>
          <w:sz w:val="19"/>
          <w:szCs w:val="19"/>
          <w:lang w:val="en-US"/>
        </w:rPr>
        <w:t xml:space="preserve"> Europe's energy sector faces a shortage of precision machining capacity — structural High Mix/Low Volume demand that only scales through automation.</w:t>
      </w:r>
    </w:p>
    <w:p w14:paraId="30B7F041" w14:textId="77777777" w:rsidR="00EA067B" w:rsidRDefault="00000000">
      <w:pPr>
        <w:spacing w:after="40"/>
        <w:ind w:left="300"/>
        <w:rPr>
          <w:sz w:val="17"/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EA067B" w:rsidRPr="00EA067B">
        <w:rPr>
          <w:b/>
          <w:bCs/>
          <w:sz w:val="19"/>
          <w:szCs w:val="19"/>
          <w:lang w:val="en-US"/>
        </w:rPr>
        <w:t>Labor:</w:t>
      </w:r>
      <w:r w:rsidR="00EA067B" w:rsidRPr="00EA067B">
        <w:rPr>
          <w:sz w:val="19"/>
          <w:szCs w:val="19"/>
          <w:lang w:val="en-US"/>
        </w:rPr>
        <w:t xml:space="preserve"> Norway faces a documented shortage of 39,000 skilled workers — precision manufacturing cannot hire its way to capacity</w:t>
      </w:r>
      <w:r w:rsidR="00EA067B" w:rsidRPr="00EA067B">
        <w:rPr>
          <w:sz w:val="17"/>
          <w:lang w:val="en-US"/>
        </w:rPr>
        <w:t>.</w:t>
      </w:r>
    </w:p>
    <w:p w14:paraId="08A92301" w14:textId="123287F6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D82BF6" w:rsidRPr="002518D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Category Signal</w:t>
      </w:r>
      <w:r w:rsidRPr="002518D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: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 Hadrian </w:t>
      </w:r>
      <w:r w:rsidR="002518D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Automation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(USA, $1.6B valuation) confirms global investor appetite for autonomous CNC manufacturing in strategic sectors.</w:t>
      </w:r>
    </w:p>
    <w:p w14:paraId="08A92302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BUSINESS MODEL</w:t>
      </w:r>
    </w:p>
    <w:p w14:paraId="08A92303" w14:textId="7B5F5430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Revenue is built bottom-up from individual CNC machine economics: 8,760 theoretical hours per year at NOK 3,000/hour, with target utilization of 60–65%. Each CNC generates approximately 10.8–11.7 MNOK revenue per year at target utilization.</w:t>
      </w:r>
      <w:r w:rsidR="001B0E8E">
        <w:rPr>
          <w:rFonts w:ascii="Calibri" w:eastAsia="Calibri" w:hAnsi="Calibri" w:cs="Calibri"/>
          <w:color w:val="1A1A1A"/>
          <w:lang w:val="en-US"/>
        </w:rPr>
        <w:t xml:space="preserve"> </w:t>
      </w:r>
      <w:r w:rsidR="001051F3">
        <w:rPr>
          <w:rFonts w:ascii="Calibri" w:eastAsia="Calibri" w:hAnsi="Calibri" w:cs="Calibri"/>
          <w:color w:val="1A1A1A"/>
          <w:lang w:val="en-US"/>
        </w:rPr>
        <w:t>The seed base setup wit 5 CnC machines with Automation covers the cost of the whole workshop</w:t>
      </w:r>
      <w:r w:rsidR="00634FE3">
        <w:rPr>
          <w:rFonts w:ascii="Calibri" w:eastAsia="Calibri" w:hAnsi="Calibri" w:cs="Calibri"/>
          <w:color w:val="1A1A1A"/>
          <w:lang w:val="en-US"/>
        </w:rPr>
        <w:t>, so it is ready to scale without any new investments in the facility.</w:t>
      </w:r>
    </w:p>
    <w:p w14:paraId="08A92304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The 50/50 profit-sharing model above 45% utilization creates customer lock-in while preserving 84% of cumulative profit for Aurelian (approximately 1,254 MNOK accumulated 2027–2035).</w:t>
      </w:r>
    </w:p>
    <w:p w14:paraId="08A92305" w14:textId="77777777" w:rsidR="00362EF4" w:rsidRDefault="00000000">
      <w:pPr>
        <w:pBdr>
          <w:bottom w:val="single" w:sz="2" w:space="0" w:color="F50537"/>
        </w:pBdr>
        <w:spacing w:before="320" w:after="120"/>
      </w:pPr>
      <w:r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</w:rPr>
        <w:t>FINANCIAL HIGHLIGHTS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500"/>
        <w:gridCol w:w="1306"/>
        <w:gridCol w:w="1500"/>
      </w:tblGrid>
      <w:tr w:rsidR="00362EF4" w14:paraId="08A923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6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7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8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9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A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B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2035</w:t>
            </w:r>
          </w:p>
        </w:tc>
      </w:tr>
      <w:tr w:rsidR="00362EF4" w14:paraId="08A923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CNC Machines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0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17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1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</w:t>
            </w:r>
          </w:p>
        </w:tc>
      </w:tr>
      <w:tr w:rsidR="00362EF4" w14:paraId="08A923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Avg Utilization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37.5%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47.5%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8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57.5%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9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65%</w:t>
            </w:r>
          </w:p>
        </w:tc>
      </w:tr>
      <w:tr w:rsidR="00362EF4" w14:paraId="08A923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B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Revenue (MNOK)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C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49.3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~212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~302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0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~427</w:t>
            </w:r>
          </w:p>
        </w:tc>
      </w:tr>
      <w:tr w:rsidR="00362EF4" w14:paraId="08A923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Staff (FTE)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17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24</w:t>
            </w:r>
          </w:p>
        </w:tc>
      </w:tr>
    </w:tbl>
    <w:p w14:paraId="08A92329" w14:textId="77777777" w:rsidR="00362EF4" w:rsidRDefault="00362EF4">
      <w:pPr>
        <w:spacing w:after="60"/>
      </w:pPr>
    </w:p>
    <w:p w14:paraId="08A9232A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Break-even: approximately 24% utilization at 5 CNC (Seed configuration). Revenue at 20 CNC steady state with 60% utilization: approximately 315 MNOK.</w:t>
      </w:r>
    </w:p>
    <w:p w14:paraId="08A9232B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FINANCING STRUCTURE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1600"/>
        <w:gridCol w:w="1200"/>
        <w:gridCol w:w="1806"/>
        <w:gridCol w:w="1800"/>
      </w:tblGrid>
      <w:tr w:rsidR="00362EF4" w14:paraId="08A9233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C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Round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D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E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Pre-Money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F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Dilution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30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CNC Machines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31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Investor ROI</w:t>
            </w:r>
          </w:p>
        </w:tc>
      </w:tr>
      <w:tr w:rsidR="00362EF4" w14:paraId="08A9233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Pre-Seed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16.7%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8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~46.6x</w:t>
            </w:r>
          </w:p>
        </w:tc>
      </w:tr>
      <w:tr w:rsidR="00362EF4" w14:paraId="08A9234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A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B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51.3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C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130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28.3%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 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~10.8x</w:t>
            </w:r>
          </w:p>
        </w:tc>
      </w:tr>
      <w:tr w:rsidR="00362EF4" w14:paraId="08A9234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1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Serie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45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15 CNC (3×5)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</w:tr>
      <w:tr w:rsidR="00362EF4" w14:paraId="08A9234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8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9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101.3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A" w14:textId="77777777" w:rsidR="00362EF4" w:rsidRDefault="00362EF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B" w14:textId="77777777" w:rsidR="00362EF4" w:rsidRDefault="00362EF4"/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C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 CNC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D" w14:textId="77777777" w:rsidR="00362EF4" w:rsidRDefault="00362EF4"/>
        </w:tc>
      </w:tr>
    </w:tbl>
    <w:p w14:paraId="08A9234F" w14:textId="77777777" w:rsidR="00362EF4" w:rsidRDefault="00362EF4">
      <w:pPr>
        <w:spacing w:after="60"/>
      </w:pPr>
    </w:p>
    <w:p w14:paraId="08A92350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lastRenderedPageBreak/>
        <w:t>CAPEX per CNC including automation: 10 MNOK. Debt financing at 5.0 MNOK/CNC (Seed) and 7.0 MNOK/CNC (Serie A). Founders retain 50.6% post-Serie A — unusual discipline for a capital-intensive startup.</w:t>
      </w:r>
    </w:p>
    <w:p w14:paraId="08A92351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EXIT SCENARIO</w:t>
      </w:r>
    </w:p>
    <w:p w14:paraId="08A92352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Exit valuation: 2.3 Billion NOK at 10x EBITDA (conservative end of Industrial IoT range 6.9–11.1x). EBITDA at steady state: approximately 222 MNOK. Self-funded scaling capability from approximately 2030 reduces future dilution pressure. Total accumulated profit 2027–2035: approximately 1,254 MNOK.</w:t>
      </w:r>
    </w:p>
    <w:p w14:paraId="08A92353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COMPETITIVE MOAT</w:t>
      </w:r>
    </w:p>
    <w:p w14:paraId="08A92354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Low labor intensity with sub-linear scaling relative to CNC capacity — a structural advantage that traditional high-intensity workshops cannot replicate through retrofitting.</w:t>
      </w:r>
    </w:p>
    <w:p w14:paraId="08A92355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Greenfield advantage: Layout, IT/OT architecture, and automation designed from scratch for lights-out operation.</w:t>
      </w:r>
    </w:p>
    <w:p w14:paraId="08A92356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Customer lock-in: 50/50 profit-sharing above 45% creates permanent demand anchor with strategic customers.</w:t>
      </w:r>
    </w:p>
    <w:p w14:paraId="08A92357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Certification barrier: ISO 9001 (2027), AS9100 (2028), AQAP NATO (2028) — sequential unlock of customer segments.</w:t>
      </w:r>
    </w:p>
    <w:p w14:paraId="08A92358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CNC asset protection: MAZAK and DMG MORI machines retain 50–70% resale value, providing strong downside protection.</w:t>
      </w:r>
    </w:p>
    <w:p w14:paraId="08A92359" w14:textId="77777777" w:rsidR="00362EF4" w:rsidRPr="001B0E8E" w:rsidRDefault="00000000">
      <w:pPr>
        <w:rPr>
          <w:lang w:val="en-US"/>
        </w:rPr>
      </w:pPr>
      <w:r w:rsidRPr="001B0E8E">
        <w:rPr>
          <w:lang w:val="en-US"/>
        </w:rPr>
        <w:br w:type="page"/>
      </w:r>
    </w:p>
    <w:p w14:paraId="08A9235A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lastRenderedPageBreak/>
        <w:t>TEAM</w:t>
      </w:r>
    </w:p>
    <w:p w14:paraId="08A9235B" w14:textId="77777777" w:rsidR="00362EF4" w:rsidRPr="001B0E8E" w:rsidRDefault="00000000">
      <w:pPr>
        <w:spacing w:after="8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André Tandberg (CEO) — MD Østfold Follo Nyskapingsfond, SpareBank 1 board experience. Finance and investment background with extensive network in the Norwegian business ecosystem.</w:t>
      </w:r>
    </w:p>
    <w:p w14:paraId="08A9235C" w14:textId="77777777" w:rsidR="00362EF4" w:rsidRPr="001B0E8E" w:rsidRDefault="00000000">
      <w:pPr>
        <w:spacing w:after="8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Tore Ausland (VP Business Development) — 30+ years oil &amp; gas experience (GE, FMC Technologies, Aker). Direct relationships with Equinor, Hydro, Shell, BP. Critical for customer acquisition in energy and defense sectors.</w:t>
      </w:r>
    </w:p>
    <w:p w14:paraId="08A9235D" w14:textId="77777777" w:rsidR="00362EF4" w:rsidRPr="001B0E8E" w:rsidRDefault="00000000">
      <w:pPr>
        <w:spacing w:after="16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Henrik Strøm (CFO candidate) — Banking and finance background.</w:t>
      </w:r>
    </w:p>
    <w:p w14:paraId="08A9235E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Advisory Board: Bjørnar Torsnes (Chairman CodeIT, board experience VW/TINE/Mowi), Fredrik Vangsal (CEO Disruptive Engineering — CNC expertise), Andreas Mollatt (CBDO Physical Robotics — automation integration).</w:t>
      </w:r>
    </w:p>
    <w:p w14:paraId="08A9235F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FACILITY &amp; TIMELINE</w:t>
      </w:r>
    </w:p>
    <w:p w14:paraId="08A92360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Location: Våler, Østfold — multi-modal logistics (rail, sea, road). Norbygg facility partnership.</w:t>
      </w:r>
    </w:p>
    <w:p w14:paraId="08A92361" w14:textId="7F2D802D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Phase 1: 2,635 m², scalable to 3,600 m². Site size is </w:t>
      </w:r>
      <w:r w:rsidR="00791D0A">
        <w:rPr>
          <w:rFonts w:ascii="Calibri" w:eastAsia="Calibri" w:hAnsi="Calibri" w:cs="Calibri"/>
          <w:color w:val="1A1A1A"/>
          <w:sz w:val="19"/>
          <w:szCs w:val="19"/>
          <w:lang w:val="en-US"/>
        </w:rPr>
        <w:t>9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,000 m². Annual lease: 5.2 MNOK.</w:t>
      </w:r>
    </w:p>
    <w:p w14:paraId="08A92362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Shop base setup cost per site: 8.6 MNOK.</w:t>
      </w:r>
    </w:p>
    <w:p w14:paraId="08A92363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Timeline: 12 months from Seed close to first production (August 2027).</w:t>
      </w:r>
    </w:p>
    <w:p w14:paraId="08A92364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CNC equipment: MAZAK + DMG MORI (Tier-1 global manufacturers, strong resale value).</w:t>
      </w:r>
    </w:p>
    <w:p w14:paraId="08A92365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CURRENT ROUND: SEED</w:t>
      </w:r>
    </w:p>
    <w:p w14:paraId="08A92366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Raising 51.3 MNOK at 130 MNOK pre-money valuation (28.3% dilution). Use of funds: 5 CNC machines + automation (50 MNOK), shop base setup (8.6 MNOK), operational buffer (10 MNOK), facility and recruitment (~12 MNOK). Total capital deployment: 80.6 MNOK (equity 51.3 + bank debt 29.3).</w:t>
      </w:r>
    </w:p>
    <w:p w14:paraId="08A92367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Projected Seed investor ROI: approximately 12.7x at exit (base case 2.3B NOK, 10x EBITDA). Founders retain 50.60% post-Serie A.</w:t>
      </w:r>
    </w:p>
    <w:p w14:paraId="08A92368" w14:textId="77777777" w:rsidR="00362EF4" w:rsidRPr="001B0E8E" w:rsidRDefault="00362EF4">
      <w:pPr>
        <w:spacing w:after="60"/>
        <w:rPr>
          <w:lang w:val="en-US"/>
        </w:rPr>
      </w:pPr>
    </w:p>
    <w:p w14:paraId="08A92369" w14:textId="77777777" w:rsidR="00362EF4" w:rsidRPr="001B0E8E" w:rsidRDefault="00362EF4">
      <w:pPr>
        <w:pBdr>
          <w:top w:val="single" w:sz="2" w:space="0" w:color="F50537"/>
        </w:pBdr>
        <w:spacing w:before="200"/>
        <w:rPr>
          <w:lang w:val="en-US"/>
        </w:rPr>
      </w:pPr>
    </w:p>
    <w:p w14:paraId="08A9236A" w14:textId="77777777" w:rsidR="00362EF4" w:rsidRPr="001B0E8E" w:rsidRDefault="00000000">
      <w:pPr>
        <w:spacing w:before="120" w:after="4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CONTACT</w:t>
      </w:r>
    </w:p>
    <w:p w14:paraId="08A9236B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André Tandberg, CEO  |  andre@aurelian.no</w:t>
      </w:r>
    </w:p>
    <w:p w14:paraId="08A9236C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Tore Ausland, VP Business Development  |  tore@aurelian.no</w:t>
      </w:r>
    </w:p>
    <w:p w14:paraId="08A9236D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 Manufacturing AS  |  Våler, Østfold, Norway</w:t>
      </w:r>
    </w:p>
    <w:sectPr w:rsidR="00362EF4" w:rsidRPr="001B0E8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F7B42" w14:textId="77777777" w:rsidR="00E32159" w:rsidRDefault="00E32159">
      <w:r>
        <w:separator/>
      </w:r>
    </w:p>
  </w:endnote>
  <w:endnote w:type="continuationSeparator" w:id="0">
    <w:p w14:paraId="39276E24" w14:textId="77777777" w:rsidR="00E32159" w:rsidRDefault="00E32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236F" w14:textId="7F699502" w:rsidR="00362EF4" w:rsidRDefault="00000000">
    <w:pPr>
      <w:jc w:val="center"/>
    </w:pPr>
    <w:r>
      <w:rPr>
        <w:rFonts w:ascii="Calibri" w:eastAsia="Calibri" w:hAnsi="Calibri" w:cs="Calibri"/>
        <w:color w:val="666666"/>
        <w:sz w:val="15"/>
        <w:szCs w:val="15"/>
      </w:rPr>
      <w:t xml:space="preserve">Aurelian Manufacturing — Executive Summary  |  Side </w:t>
    </w:r>
    <w:r>
      <w:rPr>
        <w:rFonts w:ascii="Calibri" w:eastAsia="Calibri" w:hAnsi="Calibri" w:cs="Calibri"/>
        <w:color w:val="666666"/>
        <w:sz w:val="15"/>
        <w:szCs w:val="15"/>
      </w:rPr>
      <w:fldChar w:fldCharType="begin"/>
    </w:r>
    <w:r>
      <w:rPr>
        <w:rFonts w:ascii="Calibri" w:eastAsia="Calibri" w:hAnsi="Calibri" w:cs="Calibri"/>
        <w:color w:val="666666"/>
        <w:sz w:val="15"/>
        <w:szCs w:val="15"/>
      </w:rPr>
      <w:instrText>PAGE</w:instrText>
    </w:r>
    <w:r>
      <w:rPr>
        <w:rFonts w:ascii="Calibri" w:eastAsia="Calibri" w:hAnsi="Calibri" w:cs="Calibri"/>
        <w:color w:val="666666"/>
        <w:sz w:val="15"/>
        <w:szCs w:val="15"/>
      </w:rPr>
      <w:fldChar w:fldCharType="separate"/>
    </w:r>
    <w:r w:rsidR="001B0E8E">
      <w:rPr>
        <w:rFonts w:ascii="Calibri" w:eastAsia="Calibri" w:hAnsi="Calibri" w:cs="Calibri"/>
        <w:noProof/>
        <w:color w:val="666666"/>
        <w:sz w:val="15"/>
        <w:szCs w:val="15"/>
      </w:rPr>
      <w:t>1</w:t>
    </w:r>
    <w:r>
      <w:rPr>
        <w:rFonts w:ascii="Calibri" w:eastAsia="Calibri" w:hAnsi="Calibri" w:cs="Calibri"/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E82E" w14:textId="77777777" w:rsidR="00E32159" w:rsidRDefault="00E32159">
      <w:r>
        <w:separator/>
      </w:r>
    </w:p>
  </w:footnote>
  <w:footnote w:type="continuationSeparator" w:id="0">
    <w:p w14:paraId="4D874442" w14:textId="77777777" w:rsidR="00E32159" w:rsidRDefault="00E32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236E" w14:textId="77777777" w:rsidR="00362EF4" w:rsidRPr="001B0E8E" w:rsidRDefault="00000000">
    <w:pPr>
      <w:jc w:val="right"/>
      <w:rPr>
        <w:lang w:val="en-US"/>
      </w:rPr>
    </w:pPr>
    <w:r w:rsidRPr="001B0E8E">
      <w:rPr>
        <w:rFonts w:ascii="Calibri" w:eastAsia="Calibri" w:hAnsi="Calibri" w:cs="Calibri"/>
        <w:i/>
        <w:iCs/>
        <w:color w:val="666666"/>
        <w:sz w:val="15"/>
        <w:szCs w:val="15"/>
        <w:lang w:val="en-US"/>
      </w:rPr>
      <w:t>Aurelian Manufacturing  |  VDR 00 — Executive Summary  |  Konfidensielt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E6824"/>
    <w:multiLevelType w:val="hybridMultilevel"/>
    <w:tmpl w:val="3BFCC66A"/>
    <w:lvl w:ilvl="0" w:tplc="4B7673FE">
      <w:start w:val="1"/>
      <w:numFmt w:val="bullet"/>
      <w:lvlText w:val="●"/>
      <w:lvlJc w:val="left"/>
      <w:pPr>
        <w:ind w:left="720" w:hanging="360"/>
      </w:pPr>
    </w:lvl>
    <w:lvl w:ilvl="1" w:tplc="62FCB58C">
      <w:start w:val="1"/>
      <w:numFmt w:val="bullet"/>
      <w:lvlText w:val="○"/>
      <w:lvlJc w:val="left"/>
      <w:pPr>
        <w:ind w:left="1440" w:hanging="360"/>
      </w:pPr>
    </w:lvl>
    <w:lvl w:ilvl="2" w:tplc="700CDD3E">
      <w:start w:val="1"/>
      <w:numFmt w:val="bullet"/>
      <w:lvlText w:val="■"/>
      <w:lvlJc w:val="left"/>
      <w:pPr>
        <w:ind w:left="2160" w:hanging="360"/>
      </w:pPr>
    </w:lvl>
    <w:lvl w:ilvl="3" w:tplc="54A22BF2">
      <w:start w:val="1"/>
      <w:numFmt w:val="bullet"/>
      <w:lvlText w:val="●"/>
      <w:lvlJc w:val="left"/>
      <w:pPr>
        <w:ind w:left="2880" w:hanging="360"/>
      </w:pPr>
    </w:lvl>
    <w:lvl w:ilvl="4" w:tplc="536CAAC4">
      <w:start w:val="1"/>
      <w:numFmt w:val="bullet"/>
      <w:lvlText w:val="○"/>
      <w:lvlJc w:val="left"/>
      <w:pPr>
        <w:ind w:left="3600" w:hanging="360"/>
      </w:pPr>
    </w:lvl>
    <w:lvl w:ilvl="5" w:tplc="B822A78C">
      <w:start w:val="1"/>
      <w:numFmt w:val="bullet"/>
      <w:lvlText w:val="■"/>
      <w:lvlJc w:val="left"/>
      <w:pPr>
        <w:ind w:left="4320" w:hanging="360"/>
      </w:pPr>
    </w:lvl>
    <w:lvl w:ilvl="6" w:tplc="435C8B78">
      <w:start w:val="1"/>
      <w:numFmt w:val="bullet"/>
      <w:lvlText w:val="●"/>
      <w:lvlJc w:val="left"/>
      <w:pPr>
        <w:ind w:left="5040" w:hanging="360"/>
      </w:pPr>
    </w:lvl>
    <w:lvl w:ilvl="7" w:tplc="107E2BF6">
      <w:start w:val="1"/>
      <w:numFmt w:val="bullet"/>
      <w:lvlText w:val="●"/>
      <w:lvlJc w:val="left"/>
      <w:pPr>
        <w:ind w:left="5760" w:hanging="360"/>
      </w:pPr>
    </w:lvl>
    <w:lvl w:ilvl="8" w:tplc="0324FECE">
      <w:start w:val="1"/>
      <w:numFmt w:val="bullet"/>
      <w:lvlText w:val="●"/>
      <w:lvlJc w:val="left"/>
      <w:pPr>
        <w:ind w:left="6480" w:hanging="360"/>
      </w:pPr>
    </w:lvl>
  </w:abstractNum>
  <w:num w:numId="1" w16cid:durableId="1416897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EF4"/>
    <w:rsid w:val="001051F3"/>
    <w:rsid w:val="001B0E8E"/>
    <w:rsid w:val="002518DE"/>
    <w:rsid w:val="00362EF4"/>
    <w:rsid w:val="004B2609"/>
    <w:rsid w:val="004E14BC"/>
    <w:rsid w:val="00634FE3"/>
    <w:rsid w:val="00653806"/>
    <w:rsid w:val="00784279"/>
    <w:rsid w:val="00791D0A"/>
    <w:rsid w:val="00913F02"/>
    <w:rsid w:val="00944850"/>
    <w:rsid w:val="00A02A42"/>
    <w:rsid w:val="00A12C2D"/>
    <w:rsid w:val="00A14E57"/>
    <w:rsid w:val="00A767CD"/>
    <w:rsid w:val="00AA45D6"/>
    <w:rsid w:val="00D82BF6"/>
    <w:rsid w:val="00E32159"/>
    <w:rsid w:val="00EA067B"/>
    <w:rsid w:val="00F5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22F7"/>
  <w15:docId w15:val="{636C4C06-57B0-440F-B9A9-E8583243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878</Words>
  <Characters>4654</Characters>
  <Application>Microsoft Office Word</Application>
  <DocSecurity>0</DocSecurity>
  <Lines>38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13</cp:revision>
  <dcterms:created xsi:type="dcterms:W3CDTF">2026-02-13T04:13:00Z</dcterms:created>
  <dcterms:modified xsi:type="dcterms:W3CDTF">2026-02-16T14:38:00Z</dcterms:modified>
</cp:coreProperties>
</file>