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960"/>
        <w:pBdr>
          <w:top w:val="single" w:sz="24" w:space="1" w:color="F50537"/>
        </w:pBdr>
      </w:pP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Aurelian Manufacturing</w:t>
      </w:r>
    </w:p>
    <w:p>
      <w:pPr>
        <w:spacing w:after="160"/>
        <w:jc w:val="left"/>
      </w:pPr>
      <w:r>
        <w:rPr>
          <w:rFonts w:ascii="Calibri" w:hAnsi="Calibri"/>
          <w:b/>
          <w:color w:val="2B2B2B"/>
          <w:sz w:val="56"/>
        </w:rPr>
        <w:t>Organizational Chart</w:t>
      </w: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Current Structure  |  Aurelian Manufacturing AS</w:t>
      </w:r>
    </w:p>
    <w:p>
      <w:pPr>
        <w:spacing w:after="80"/>
      </w:pPr>
      <w:r>
        <w:rPr>
          <w:rFonts w:ascii="Calibri" w:hAnsi="Calibri"/>
          <w:color w:val="6B6B6B"/>
          <w:sz w:val="22"/>
        </w:rPr>
        <w:t>VDR 01.05</w:t>
      </w:r>
    </w:p>
    <w:p>
      <w:pPr>
        <w:spacing w:after="720"/>
      </w:pPr>
      <w:r>
        <w:rPr>
          <w:rFonts w:ascii="Calibri" w:hAnsi="Calibri"/>
          <w:color w:val="6B6B6B"/>
          <w:sz w:val="22"/>
        </w:rPr>
        <w:t>February 2026</w:t>
      </w:r>
    </w:p>
    <w:p>
      <w:pPr>
        <w:spacing w:after="0"/>
      </w:pPr>
      <w:r>
        <w:rPr>
          <w:rFonts w:ascii="Calibri" w:hAnsi="Calibri"/>
          <w:b/>
          <w:color w:val="6B6B6B"/>
          <w:sz w:val="22"/>
        </w:rPr>
        <w:t>CONFIDENTIAL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Governance &amp; Organization</w:t>
      </w:r>
    </w:p>
    <w:p>
      <w:r>
        <w:rPr>
          <w:rFonts w:ascii="Calibri" w:hAnsi="Calibri"/>
          <w:b w:val="0"/>
          <w:i w:val="0"/>
          <w:color w:val="2B2B2B"/>
          <w:sz w:val="22"/>
        </w:rPr>
        <w:t>Phase: Pre-Seed (Founding Team)</w:t>
      </w:r>
    </w:p>
    <w:p>
      <w:r>
        <w:rPr>
          <w:rFonts w:ascii="Calibri" w:hAnsi="Calibri"/>
          <w:b w:val="0"/>
          <w:i w:val="0"/>
          <w:color w:val="2B2B2B"/>
          <w:sz w:val="22"/>
        </w:rPr>
        <w:t>Effective: February 2026</w:t>
      </w:r>
    </w:p>
    <w:p>
      <w:r>
        <w:rPr>
          <w:rFonts w:ascii="Calibri" w:hAnsi="Calibri"/>
          <w:b w:val="0"/>
          <w:i w:val="0"/>
          <w:color w:val="2B2B2B"/>
          <w:sz w:val="22"/>
        </w:rPr>
        <w:t>Headcount: 4 founders (via holding companies)</w:t>
      </w:r>
    </w:p>
    <w:p>
      <w:pPr>
        <w:pStyle w:val="Heading2"/>
      </w:pPr>
      <w:r>
        <w:rPr>
          <w:rFonts w:ascii="Calibri" w:hAnsi="Calibri"/>
        </w:rPr>
        <w:t>Board of Directors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11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2551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4535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Focus Areas</w:t>
            </w:r>
          </w:p>
        </w:tc>
      </w:tr>
      <w:tr>
        <w:tc>
          <w:tcPr>
            <w:tcW w:type="dxa" w:w="311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Chairman of the Board</w:t>
            </w:r>
          </w:p>
        </w:tc>
        <w:tc>
          <w:tcPr>
            <w:tcW w:type="dxa" w:w="2551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Tore Ausland</w:t>
            </w:r>
          </w:p>
        </w:tc>
        <w:tc>
          <w:tcPr>
            <w:tcW w:type="dxa" w:w="4535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Enterprise partnerships, strategic oversight</w:t>
            </w:r>
          </w:p>
        </w:tc>
      </w:tr>
      <w:tr>
        <w:tc>
          <w:tcPr>
            <w:tcW w:type="dxa" w:w="311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CEO &amp; Board Member</w:t>
            </w:r>
          </w:p>
        </w:tc>
        <w:tc>
          <w:tcPr>
            <w:tcW w:type="dxa" w:w="2551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André Tandberg</w:t>
            </w:r>
          </w:p>
        </w:tc>
        <w:tc>
          <w:tcPr>
            <w:tcW w:type="dxa" w:w="4535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Strategy, capital allocation, fundraising, investor relations</w:t>
            </w:r>
          </w:p>
        </w:tc>
      </w:tr>
      <w:tr>
        <w:tc>
          <w:tcPr>
            <w:tcW w:type="dxa" w:w="311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Board Member &amp; Co-Founder</w:t>
            </w:r>
          </w:p>
        </w:tc>
        <w:tc>
          <w:tcPr>
            <w:tcW w:type="dxa" w:w="2551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Henrik S. Strøm</w:t>
            </w:r>
          </w:p>
        </w:tc>
        <w:tc>
          <w:tcPr>
            <w:tcW w:type="dxa" w:w="4535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Financial structure, reporting, bank dialogue</w:t>
            </w:r>
          </w:p>
        </w:tc>
      </w:tr>
      <w:tr>
        <w:tc>
          <w:tcPr>
            <w:tcW w:type="dxa" w:w="311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Board Member &amp; Co-Founder</w:t>
            </w:r>
          </w:p>
        </w:tc>
        <w:tc>
          <w:tcPr>
            <w:tcW w:type="dxa" w:w="2551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Fredrik Vangsal</w:t>
            </w:r>
          </w:p>
        </w:tc>
        <w:tc>
          <w:tcPr>
            <w:tcW w:type="dxa" w:w="4535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Technical advisory, digital thread, process optimization</w:t>
            </w:r>
          </w:p>
        </w:tc>
      </w:tr>
    </w:tbl>
    <w:p>
      <w:pPr>
        <w:pStyle w:val="Heading2"/>
      </w:pPr>
      <w:r>
        <w:rPr>
          <w:rFonts w:ascii="Calibri" w:hAnsi="Calibri"/>
        </w:rPr>
        <w:t>Management Team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2551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3402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Title</w:t>
            </w:r>
          </w:p>
        </w:tc>
        <w:tc>
          <w:tcPr>
            <w:tcW w:type="dxa" w:w="4252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Responsibilities</w:t>
            </w:r>
          </w:p>
        </w:tc>
      </w:tr>
      <w:tr>
        <w:tc>
          <w:tcPr>
            <w:tcW w:type="dxa" w:w="2551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André Tandberg</w:t>
            </w:r>
          </w:p>
        </w:tc>
        <w:tc>
          <w:tcPr>
            <w:tcW w:type="dxa" w:w="340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CEO &amp; Co-Founder</w:t>
            </w:r>
          </w:p>
        </w:tc>
        <w:tc>
          <w:tcPr>
            <w:tcW w:type="dxa" w:w="425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Strategy, capital allocation, fundraising, investor relations</w:t>
            </w:r>
          </w:p>
        </w:tc>
      </w:tr>
      <w:tr>
        <w:tc>
          <w:tcPr>
            <w:tcW w:type="dxa" w:w="2551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Tore Ausland</w:t>
            </w:r>
          </w:p>
        </w:tc>
        <w:tc>
          <w:tcPr>
            <w:tcW w:type="dxa" w:w="340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VP Business Development &amp; Co-Founder</w:t>
            </w:r>
          </w:p>
        </w:tc>
        <w:tc>
          <w:tcPr>
            <w:tcW w:type="dxa" w:w="425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Enterprise partnerships, anchor customers, go-to-market strategy, supplier networks</w:t>
            </w:r>
          </w:p>
        </w:tc>
      </w:tr>
      <w:tr>
        <w:tc>
          <w:tcPr>
            <w:tcW w:type="dxa" w:w="2551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Henrik S. Strøm</w:t>
            </w:r>
          </w:p>
        </w:tc>
        <w:tc>
          <w:tcPr>
            <w:tcW w:type="dxa" w:w="340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Co-Founder (CFO pathway)</w:t>
            </w:r>
          </w:p>
        </w:tc>
        <w:tc>
          <w:tcPr>
            <w:tcW w:type="dxa" w:w="425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Financial structure, reporting, bank dialogue, CFO pathway</w:t>
            </w:r>
          </w:p>
        </w:tc>
      </w:tr>
      <w:tr>
        <w:tc>
          <w:tcPr>
            <w:tcW w:type="dxa" w:w="2551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Fredrik Vangsal</w:t>
            </w:r>
          </w:p>
        </w:tc>
        <w:tc>
          <w:tcPr>
            <w:tcW w:type="dxa" w:w="340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Co-Founder &amp; Technical Advisor</w:t>
            </w:r>
          </w:p>
        </w:tc>
        <w:tc>
          <w:tcPr>
            <w:tcW w:type="dxa" w:w="425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Technical advisory, digital thread, production concept, process optimization</w:t>
            </w:r>
          </w:p>
        </w:tc>
      </w:tr>
    </w:tbl>
    <w:p>
      <w:pPr>
        <w:pStyle w:val="Heading2"/>
      </w:pPr>
      <w:r>
        <w:rPr>
          <w:rFonts w:ascii="Calibri" w:hAnsi="Calibri"/>
        </w:rPr>
        <w:t>Shareholder Structure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685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Holding Company</w:t>
            </w:r>
          </w:p>
        </w:tc>
        <w:tc>
          <w:tcPr>
            <w:tcW w:type="dxa" w:w="198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Representative</w:t>
            </w:r>
          </w:p>
        </w:tc>
        <w:tc>
          <w:tcPr>
            <w:tcW w:type="dxa" w:w="1701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Ownership</w:t>
            </w:r>
          </w:p>
        </w:tc>
        <w:tc>
          <w:tcPr>
            <w:tcW w:type="dxa" w:w="2835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</w:tr>
      <w:tr>
        <w:tc>
          <w:tcPr>
            <w:tcW w:type="dxa" w:w="3685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Hölen Industrier AS (Reg. no. 832 249 742)</w:t>
            </w:r>
          </w:p>
        </w:tc>
        <w:tc>
          <w:tcPr>
            <w:tcW w:type="dxa" w:w="198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André Tandberg</w:t>
            </w:r>
          </w:p>
        </w:tc>
        <w:tc>
          <w:tcPr>
            <w:tcW w:type="dxa" w:w="1701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53.125%</w:t>
            </w:r>
          </w:p>
        </w:tc>
        <w:tc>
          <w:tcPr>
            <w:tcW w:type="dxa" w:w="2835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CEO &amp; Co-Founder</w:t>
            </w:r>
          </w:p>
        </w:tc>
      </w:tr>
      <w:tr>
        <w:tc>
          <w:tcPr>
            <w:tcW w:type="dxa" w:w="3685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Quality Group Invest AS (Reg. no. 913 097 203)</w:t>
            </w:r>
          </w:p>
        </w:tc>
        <w:tc>
          <w:tcPr>
            <w:tcW w:type="dxa" w:w="198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Tore Ausland</w:t>
            </w:r>
          </w:p>
        </w:tc>
        <w:tc>
          <w:tcPr>
            <w:tcW w:type="dxa" w:w="1701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31.875%</w:t>
            </w:r>
          </w:p>
        </w:tc>
        <w:tc>
          <w:tcPr>
            <w:tcW w:type="dxa" w:w="2835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VP Business Development &amp; Co-Founder</w:t>
            </w:r>
          </w:p>
        </w:tc>
      </w:tr>
      <w:tr>
        <w:tc>
          <w:tcPr>
            <w:tcW w:type="dxa" w:w="3685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STAH Invest AS (Reg. no. 937 920 368)</w:t>
            </w:r>
          </w:p>
        </w:tc>
        <w:tc>
          <w:tcPr>
            <w:tcW w:type="dxa" w:w="198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Henrik S. Strøm</w:t>
            </w:r>
          </w:p>
        </w:tc>
        <w:tc>
          <w:tcPr>
            <w:tcW w:type="dxa" w:w="1701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10.00%</w:t>
            </w:r>
          </w:p>
        </w:tc>
        <w:tc>
          <w:tcPr>
            <w:tcW w:type="dxa" w:w="2835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Board Member &amp; Co-Founder</w:t>
            </w:r>
          </w:p>
        </w:tc>
      </w:tr>
      <w:tr>
        <w:tc>
          <w:tcPr>
            <w:tcW w:type="dxa" w:w="3685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Roadcode AS (Reg. no. 920 694 241)</w:t>
            </w:r>
          </w:p>
        </w:tc>
        <w:tc>
          <w:tcPr>
            <w:tcW w:type="dxa" w:w="198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Fredrik Vangsal</w:t>
            </w:r>
          </w:p>
        </w:tc>
        <w:tc>
          <w:tcPr>
            <w:tcW w:type="dxa" w:w="1701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5.00%</w:t>
            </w:r>
          </w:p>
        </w:tc>
        <w:tc>
          <w:tcPr>
            <w:tcW w:type="dxa" w:w="2835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Co-Founder &amp; Technical Advisor</w:t>
            </w:r>
          </w:p>
        </w:tc>
      </w:tr>
    </w:tbl>
    <w:p>
      <w:pPr>
        <w:pStyle w:val="Heading2"/>
      </w:pPr>
      <w:r>
        <w:rPr>
          <w:rFonts w:ascii="Calibri" w:hAnsi="Calibri"/>
        </w:rPr>
        <w:t>Notes</w:t>
      </w:r>
    </w:p>
    <w:p>
      <w:pPr>
        <w:pStyle w:val="ListBullet"/>
      </w:pPr>
      <w:r>
        <w:rPr>
          <w:rFonts w:ascii="Calibri" w:hAnsi="Calibri"/>
          <w:color w:val="2B2B2B"/>
          <w:sz w:val="22"/>
        </w:rPr>
        <w:t>All shares are held through holding companies. No individuals are direct shareholders.</w:t>
      </w:r>
    </w:p>
    <w:p>
      <w:pPr>
        <w:pStyle w:val="ListBullet"/>
      </w:pPr>
      <w:r>
        <w:rPr>
          <w:rFonts w:ascii="Calibri" w:hAnsi="Calibri"/>
          <w:color w:val="2B2B2B"/>
          <w:sz w:val="22"/>
        </w:rPr>
        <w:t>This chart reflects the pre-seed phase. The organization will expand post-Seed with operational hires.</w:t>
      </w:r>
    </w:p>
    <w:p>
      <w:pPr>
        <w:pStyle w:val="ListBullet"/>
      </w:pPr>
      <w:r>
        <w:rPr>
          <w:rFonts w:ascii="Calibri" w:hAnsi="Calibri"/>
          <w:color w:val="2B2B2B"/>
          <w:sz w:val="22"/>
        </w:rPr>
        <w:t>Henrik S. Strøm has a defined CFO pathway and may transition into an operational CFO role as the company scales.</w:t>
      </w:r>
    </w:p>
    <w:p>
      <w:pPr>
        <w:pStyle w:val="ListBullet"/>
      </w:pPr>
      <w:r>
        <w:rPr>
          <w:rFonts w:ascii="Calibri" w:hAnsi="Calibri"/>
          <w:color w:val="2B2B2B"/>
          <w:sz w:val="22"/>
        </w:rPr>
        <w:t>Advisory Board: Fredrik Vangsal (Tech &amp; Automation), Bjørnar Torsnes (Industry &amp; Scaling), Andreas Mollatt (Capital &amp; Scaleups).</w:t>
      </w:r>
    </w:p>
    <w:p>
      <w:pPr>
        <w:pStyle w:val="Heading2"/>
      </w:pPr>
      <w:r>
        <w:rPr>
          <w:rFonts w:ascii="Calibri" w:hAnsi="Calibri"/>
        </w:rPr>
        <w:t>References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VDR ref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Document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01.02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Shareholders Agreement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06.04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Key Hires Plan</w:t>
            </w:r>
          </w:p>
        </w:tc>
      </w:tr>
    </w:tbl>
    <w:p>
      <w:pPr>
        <w:spacing w:before="480"/>
      </w:pPr>
      <w:r>
        <w:rPr>
          <w:rFonts w:ascii="Calibri" w:hAnsi="Calibri"/>
          <w:color w:val="6B6B6B"/>
          <w:sz w:val="18"/>
        </w:rPr>
        <w:t>Aurelian Manufacturing AS  |  VDR 01.05  |  Confidential</w:t>
      </w:r>
    </w:p>
    <w:p>
      <w:r>
        <w:rPr>
          <w:rFonts w:ascii="Calibri" w:hAnsi="Calibri"/>
          <w:i/>
          <w:color w:val="6B6B6B"/>
          <w:sz w:val="18"/>
        </w:rPr>
        <w:t>Contact: Andre Tandberg, CEO — andre@aurelian.no</w:t>
      </w:r>
    </w:p>
    <w:p>
      <w:r>
        <w:rPr>
          <w:rFonts w:ascii="Calibri" w:hAnsi="Calibri"/>
          <w:i/>
          <w:color w:val="6B6B6B"/>
          <w:sz w:val="18"/>
        </w:rPr>
        <w:t>Contact: Tore Ausland, VP Business Development — tore@aurelian.no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center" w:pos="4820"/>
        <w:tab w:val="right" w:pos="9639"/>
      </w:tabs>
      <w:pBdr>
        <w:top w:val="single" w:sz="4" w:space="1" w:color="D3D3D3"/>
      </w:pBdr>
    </w:pPr>
    <w:r>
      <w:rPr>
        <w:rFonts w:ascii="Calibri" w:hAnsi="Calibri"/>
        <w:color w:val="6B6B6B"/>
        <w:sz w:val="18"/>
      </w:rPr>
      <w:t>CONFIDENTIAL</w:t>
    </w:r>
    <w:r>
      <w:tab/>
    </w:r>
    <w:r>
      <w:rPr>
        <w:rFonts w:ascii="Calibri" w:hAnsi="Calibri"/>
        <w:color w:val="6B6B6B"/>
        <w:sz w:val="18"/>
      </w:rPr>
      <w:t xml:space="preserve">Page </w:t>
    </w:r>
    <w:fldSimple w:instr=" PAGE ">
      <w:r>
        <w:rPr>
          <w:rFonts w:ascii="Calibri" w:hAnsi="Calibri"/>
          <w:sz w:val="18"/>
          <w:color w:val="6B6B6B"/>
        </w:rPr>
        <w:t>2</w:t>
      </w:r>
    </w:fldSimple>
    <w:r>
      <w:tab/>
    </w:r>
    <w:r>
      <w:rPr>
        <w:rFonts w:ascii="Calibri" w:hAnsi="Calibri"/>
        <w:color w:val="6B6B6B"/>
        <w:sz w:val="18"/>
      </w:rPr>
      <w:t>February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F50537"/>
      </w:pBdr>
    </w:pPr>
    <w:r>
      <w:rPr>
        <w:rFonts w:ascii="Calibri" w:hAnsi="Calibri"/>
        <w:color w:val="6B6B6B"/>
        <w:sz w:val="18"/>
      </w:rPr>
      <w:t>Aurelian Manufacturing</w:t>
    </w:r>
    <w:r>
      <w:rPr>
        <w:rFonts w:ascii="Calibri" w:hAnsi="Calibri"/>
        <w:color w:val="6B6B6B"/>
        <w:sz w:val="18"/>
      </w:rPr>
      <w:tab/>
      <w:t>Organizational Chart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B2B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F505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2B2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B6B6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B2B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