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rFonts w:ascii="Calibri" w:cs="Calibri" w:eastAsia="Calibri" w:hAnsi="Calibri"/>
                <w:b/>
                <w:bCs/>
                <w:color w:val="1A1A1A"/>
                <w:sz w:val="34"/>
                <w:szCs w:val="34"/>
              </w:rPr>
              <w:t xml:space="preserve">AKSELERASJONS-</w:t>
            </w:r>
          </w:p>
          <w:p>
            <w:pPr>
              <w:spacing w:after="40"/>
            </w:pPr>
            <w:r>
              <w:rPr>
                <w:rFonts w:ascii="Calibri" w:cs="Calibri" w:eastAsia="Calibri" w:hAnsi="Calibri"/>
                <w:b/>
                <w:bCs/>
                <w:color w:val="1A1A1A"/>
                <w:sz w:val="34"/>
                <w:szCs w:val="34"/>
              </w:rPr>
              <w:t xml:space="preserve">VILKÅR</w:t>
            </w:r>
          </w:p>
          <w:p>
            <w:pPr>
              <w:spacing w:after="20"/>
            </w:pPr>
            <w:r>
              <w:rPr>
                <w:rFonts w:ascii="Calibri" w:cs="Calibri" w:eastAsia="Calibri" w:hAnsi="Calibri"/>
                <w:color w:val="F50537"/>
                <w:sz w:val="22"/>
                <w:szCs w:val="22"/>
              </w:rPr>
              <w:t xml:space="preserve">Dobbel trigger  |  Vedlegg til §2.3</w:t>
            </w:r>
          </w:p>
          <w:p>
            <w:pPr>
              <w:spacing w:after="200"/>
            </w:pPr>
            <w:r>
              <w:rPr>
                <w:rFonts w:ascii="Calibri" w:cs="Calibri" w:eastAsia="Calibri" w:hAnsi="Calibri"/>
                <w:color w:val="666666"/>
                <w:sz w:val="18"/>
                <w:szCs w:val="18"/>
              </w:rPr>
              <w:t xml:space="preserve">Aurelian Manufacturing AS  |  VDR 01  |  Februar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pPr>
            <w:r>
              <w:rPr>
                <w:rFonts w:ascii="Calibri" w:cs="Calibri" w:eastAsia="Calibri" w:hAnsi="Calibri"/>
                <w:b/>
                <w:bCs/>
                <w:color w:val="1A1A1A"/>
                <w:spacing w:val="30"/>
                <w:sz w:val="32"/>
                <w:szCs w:val="32"/>
              </w:rPr>
              <w:t xml:space="preserve">ACCELERATION TERMS</w:t>
            </w:r>
          </w:p>
          <w:p>
            <w:pPr>
              <w:spacing w:after="20"/>
            </w:pPr>
            <w:r>
              <w:rPr>
                <w:rFonts w:ascii="Calibri" w:cs="Calibri" w:eastAsia="Calibri" w:hAnsi="Calibri"/>
                <w:color w:val="F50537"/>
                <w:sz w:val="22"/>
                <w:szCs w:val="22"/>
              </w:rPr>
              <w:t xml:space="preserve">Double Trigger  |  Schedule to §2.3</w:t>
            </w:r>
          </w:p>
          <w:p>
            <w:pPr>
              <w:spacing w:after="200"/>
            </w:pPr>
            <w:r>
              <w:rPr>
                <w:rFonts w:ascii="Calibri" w:cs="Calibri" w:eastAsia="Calibri" w:hAnsi="Calibri"/>
                <w:color w:val="666666"/>
                <w:sz w:val="18"/>
                <w:szCs w:val="18"/>
              </w:rPr>
              <w:t xml:space="preserve">Aurelian Manufacturing AS  |  VDR 01  |  February 2026</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A.1  FORMÅL</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A.1  PURPOSE</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Dette vedlegget utdyper akselerasjonsmekanismen i Aksjonæravtalens §2.3 («Dobbel trigger»). Formålet er å gi gründerne en rettferdig beskyttelse ved eierskifte, samtidig som det sikrer kontinuitet for kjøper og investorer.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This schedule elaborates on the acceleration mechanism in the Shareholders’ Agreement §2.3 (“Double Trigger”). The purpose is to provide founders with fair protection upon a change of control, while ensuring continuity for acquirers and investors.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Dobbel trigger er europeisk VC-standard. Enkel trigger (automatisk akselerasjon ved salg) er uvanlig i Europa og kan redusere selskapets salgbarhet.</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Double trigger is European VC standard. Single trigger (automatic acceleration upon sale) is uncommon in Europe and may reduce company saleability.</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A.2  DEFINISJONER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A.2  DEFINITIONS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A.2.1  Kontrollskifte («Change of Control»)</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A.2.1  Change of Control</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Kontrollskifte foreligger når ett av følgende inntreffer: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 Change of Control occurs upon any of the following:</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Overdragelse som gir en tredjepart direkte eller indirekte kontroll over &gt;50 % av stemmerettene i Selskapet (jf. aksjeloven §1-3).</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Fusjon eller fisjon der Selskapets eksisterende aksjonærer eier &lt;50 % av det sammenslåtte/gjenværende selskapet.</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Salg eller overdragelse av vesentlige eiendeler (&gt;75 % av bokført verdi) til tredjepart.</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Godkjent salg iht. drag-along (§7) eller medsalgsrett (§6).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Transfer giving a third party direct or indirect control of &gt;50% of the voting rights in the Company (cf. Norwegian Companies Act §1-3).</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Merger or demerger where the Company’s existing shareholders own &lt;50% of the combined/surviving entity.</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Sale or transfer of substantially all assets (&gt;75% of book value) to a third party.</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Approved sale pursuant to drag-along (§7) or tag-along (§6).</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A.2.2  Kvalifisert oppsigelse («Qualifying Termination»)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A.2.2  Qualifying Termination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Kvalifisert oppsigelse foreligger når en Part ufrivillig mister sin operative rolle innen 12 måneder etter et Kontrollskifte, herunder: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 Qualifying Termination occurs when a Party involuntarily loses their operative role within 12 months following a Change of Control, including:</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Oppsigelse initiert av Selskapet (eller ny eier) uten saklig grunn iht. arbeidsmiljøloven §15-7.</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Vesentlig reduksjon i rolle, ansvar eller myndighet sammenlignet med stillingen umiddelbart før Kontrollskiftet.</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Reduksjon i årlig godtgjørelse (lønn + bonus) med mer enn 15 % uten samtykke.</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Pålagt relokasjon av primær arbeidsplass med mer enn 50 km uten samtykke.</w:t>
            </w:r>
          </w:p>
          <w:p>
            <w:pPr>
              <w:spacing w:after="40"/>
              <w:ind w:left="300"/>
            </w:pPr>
            <w:r>
              <w:rPr>
                <w:rFonts w:ascii="Calibri" w:cs="Calibri" w:eastAsia="Calibri" w:hAnsi="Calibri"/>
                <w:b/>
                <w:bCs/>
                <w:color w:val="F50537"/>
                <w:sz w:val="19"/>
                <w:szCs w:val="19"/>
              </w:rPr>
              <w:t xml:space="preserve">(e) </w:t>
            </w:r>
            <w:r>
              <w:rPr>
                <w:rFonts w:ascii="Calibri" w:cs="Calibri" w:eastAsia="Calibri" w:hAnsi="Calibri"/>
                <w:color w:val="1A1A1A"/>
                <w:sz w:val="19"/>
                <w:szCs w:val="19"/>
              </w:rPr>
              <w:t xml:space="preserve">Vesentlig endring av rapporteringslinje som innebærer degradering.</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Termination initiated by the Company (or new owner) without just cause under the Working Environment Act §15-7.</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Material reduction in role, responsibility, or authority compared to the position immediately prior to the Change of Control.</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Reduction in annual compensation (salary + bonus) exceeding 15% without consent.</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Required relocation of primary workplace by more than 50 km without consent.</w:t>
            </w:r>
          </w:p>
          <w:p>
            <w:pPr>
              <w:spacing w:after="40"/>
              <w:ind w:left="300"/>
            </w:pPr>
            <w:r>
              <w:rPr>
                <w:rFonts w:ascii="Calibri" w:cs="Calibri" w:eastAsia="Calibri" w:hAnsi="Calibri"/>
                <w:b/>
                <w:bCs/>
                <w:color w:val="F50537"/>
                <w:sz w:val="19"/>
                <w:szCs w:val="19"/>
              </w:rPr>
              <w:t xml:space="preserve">(e) </w:t>
            </w:r>
            <w:r>
              <w:rPr>
                <w:rFonts w:ascii="Calibri" w:cs="Calibri" w:eastAsia="Calibri" w:hAnsi="Calibri"/>
                <w:color w:val="1A1A1A"/>
                <w:sz w:val="19"/>
                <w:szCs w:val="19"/>
              </w:rPr>
              <w:t xml:space="preserve">Material change in reporting line constituting a demotion.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Frivillig avgang eller oppsigelse som følge av Bad Leaver-hendelser (§8.2) utløser IKKE akselerasjon. Se §A.5 for unntak.</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Voluntary departure or termination resulting from Bad Leaver events (§8.2) does NOT trigger acceleration. See §A.5 for exceptions.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A.2.3  Beskyttelsesperiode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A.2.3  Protection Period</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Beskyttelsesperioden er 12 måneder regnet fra datoen Kontrollskiftet gjennomføres (closing). Kvalifisert oppsigelse som inntreffer etter utløpet av Beskyttelsesperioden utløser ikke akselerasjon.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The Protection Period is 12 months calculated from the date the Change of Control is completed (closing). A Qualifying Termination occurring after expiry of the Protection Period does not trigger acceleration.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A.3  AKSELERASJONSMEKANIKK</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A.3  ACCELERATION MECHANICS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A.3.1  Dobbel trigger-krav</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A.3.1  Double Trigger Requirement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Akselerasjon krever at BEGGE vilkår er oppfylt:</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Acceleration requires that BOTH conditions are met: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Trigger 1: Et Kontrollskifte har funnet sted (§A.2.1).</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Trigger 2: En Kvalifisert oppsigelse inntreffer innen Beskyttelsesperioden (§A.2.2–A.2.3).</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Trigger 1: A Change of Control has occurred (§A.2.1).</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Trigger 2: A Qualifying Termination occurs within the Protection Period (§A.2.2–A.2.3).</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A.3.2  Virkning ved dobbel trigger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A.3.2  Effect of Double Trigger</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Ved oppfyllelse av begge triggere akselererer 100 % av den berørte Partens gjenværende uvested aksjer med umiddelbar virkning. Aksjene anses fullt opptjent (vested) fra datoen for Kvalifisert oppsigelse.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Upon satisfaction of both triggers, 100% of the affected Party’s remaining unvested shares accelerate with immediate effect. The shares are deemed fully vested from the date of the Qualifying Termination.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A.3.3  Virkning ved kun Trigger 1 (Kontrollskifte uten oppsigelse)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A.3.3  Effect of Trigger 1 Only (Change of Control without termination)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Dersom et Kontrollskifte gjennomføres, men Parten beholder sin operative rolle, fortsetter vesting i henhold til normal plan (§2.1–2.2). Ny eier trer inn i Selskapets forpliktelser under denne Avtalen.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If a Change of Control is completed but the Party retains their operative role, vesting continues per the normal schedule (§2.1–2.2). The new owner assumes the Company’s obligations under this Agreement.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Dette er kjernen i dobbel trigger: Beholder du jobben = ingen endring. Mister du jobben etter salg = full akselerasjon. Modellen er balansert mellom gründervern og kjøperens behov for å beholde nøkkelpersonell.</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This is the core of double trigger: Keep your job = no change. Lose your job post-sale = full acceleration. The model balances founder protection with the acquirer’s need to retain key personnel.</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A.4  PROSEDYRE OG VARSLING</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A.4  PROCEDURE AND NOTICE</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Varsling: Parten må skriftlig påberope seg akselerasjon innen 60 kalenderdager etter den Kvalifiserte oppsigelsen.</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Dokumentasjon: Varselet skal inneholde dokumentasjon på både Kontrollskiftet og den Kvalifiserte oppsigelsen.</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Styrebehandling: Styret behandler kravet innen 14 virkedager og fatter vedtak med alminnelig flertall.</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Gjennomføring: Ved godkjent akselerasjon oppdateres aksjeboken innen 5 virkedager. Partens aksjer anses fullt vested.</w:t>
            </w:r>
          </w:p>
          <w:p>
            <w:pPr>
              <w:spacing w:after="40"/>
              <w:ind w:left="300"/>
            </w:pPr>
            <w:r>
              <w:rPr>
                <w:rFonts w:ascii="Calibri" w:cs="Calibri" w:eastAsia="Calibri" w:hAnsi="Calibri"/>
                <w:b/>
                <w:bCs/>
                <w:color w:val="F50537"/>
                <w:sz w:val="19"/>
                <w:szCs w:val="19"/>
              </w:rPr>
              <w:t xml:space="preserve">(e) </w:t>
            </w:r>
            <w:r>
              <w:rPr>
                <w:rFonts w:ascii="Calibri" w:cs="Calibri" w:eastAsia="Calibri" w:hAnsi="Calibri"/>
                <w:color w:val="1A1A1A"/>
                <w:sz w:val="19"/>
                <w:szCs w:val="19"/>
              </w:rPr>
              <w:t xml:space="preserve">Tvist: Dersom Styret avviser kravet, kan Parten kreve voldgift iht. §14. Tapende part bærer begge parters rimelige sakskostnader.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Notice: The Party must invoke acceleration in writing within 60 calendar days of the Qualifying Termination.</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Documentation: The notice must include evidence of both the Change of Control and the Qualifying Termination.</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Board Resolution: The Board considers the claim within 14 business days and resolves by simple majority.</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Execution: Upon approved acceleration, the share register is updated within 5 business days. The Party’s shares are deemed fully vested.</w:t>
            </w:r>
          </w:p>
          <w:p>
            <w:pPr>
              <w:spacing w:after="40"/>
              <w:ind w:left="300"/>
            </w:pPr>
            <w:r>
              <w:rPr>
                <w:rFonts w:ascii="Calibri" w:cs="Calibri" w:eastAsia="Calibri" w:hAnsi="Calibri"/>
                <w:b/>
                <w:bCs/>
                <w:color w:val="F50537"/>
                <w:sz w:val="19"/>
                <w:szCs w:val="19"/>
              </w:rPr>
              <w:t xml:space="preserve">(e) </w:t>
            </w:r>
            <w:r>
              <w:rPr>
                <w:rFonts w:ascii="Calibri" w:cs="Calibri" w:eastAsia="Calibri" w:hAnsi="Calibri"/>
                <w:color w:val="1A1A1A"/>
                <w:sz w:val="19"/>
                <w:szCs w:val="19"/>
              </w:rPr>
              <w:t xml:space="preserve">Dispute: If the Board rejects the claim, the Party may request arbitration per §14. The losing party bears both parties’ reasonable legal costs.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A.5  UNNTAK OG BEGRENSNINGER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A.5  EXCEPTIONS AND LIMITATIONS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Akselerasjon gjelder IKKE dersom:</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Acceleration does NOT apply if:</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Parten har status som Bad Leaver (§8.2) på tidspunktet for Kontrollskiftet eller den angivelige Kvalifiserte oppsigelsen. Bad Leaver-reglene overstyrer akselerasjon.</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Parten frivillig fratrer sin stilling uten at vilkårene for Kvalifisert oppsigelse er oppfylt (§A.2.2).</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Oppsigelsen skyldes en hendelse som ville kvalifisert som Bad Leaver uavhengig av Kontrollskiftet.</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Parten og Selskapet (eller ny eier) inngår en gjensidig fratrådelsesavtale som eksplisitt frafaller akselerasjonsrettigheter.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The Party has Bad Leaver status (§8.2) at the time of the Change of Control or the alleged Qualifying Termination. Bad Leaver provisions override acceleration.</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The Party voluntarily resigns without the conditions for Qualifying Termination being met (§A.2.2).</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The termination is caused by an event that would qualify as Bad Leaver irrespective of the Change of Control.</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The Party and the Company (or new owner) enter into a mutual separation agreement that explicitly waives acceleration rights.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Garden leave-perioder teller ikke som Kvalifisert oppsigelse så lenge lønn og fordeler opprettholdes. Formell oppsigelsesdato er avgjørende.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Garden leave periods do not count as Qualifying Termination provided salary and benefits are maintained. The formal termination date is determinative.</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A.6  BEREGNINGSEKSEMPLER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A.6  CALCULATION EXAMPLES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Eksemplene nedenfor illustrerer utfallet for Hölen Industrier AS (531 250 aksjer) ved salg på ulike tidspunkt, forutsatt at Kvalifisert oppsigelse inntreffer innen Beskyttelsesperioden.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The examples below illustrate the outcome for Hölen Industrier AS (562,500 shares) upon sale at various points, assuming Qualifying Termination occurs within the Protection Period.</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Scenario: Salg + Kvalifisert oppsigelse (begge triggere oppfylt):</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1400"/>
            </w:tblGrid>
            <w:tr>
              <w:tc>
                <w:tcPr>
                  <w:tcW w:type="dxa" w:w="9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Mnd</w:t>
                  </w:r>
                </w:p>
              </w:tc>
              <w:tc>
                <w:tcPr>
                  <w:tcW w:type="dxa" w:w="11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Vested %</w:t>
                  </w:r>
                </w:p>
              </w:tc>
              <w:tc>
                <w:tcPr>
                  <w:tcW w:type="dxa" w:w="12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Unvested %</w:t>
                  </w:r>
                </w:p>
              </w:tc>
              <w:tc>
                <w:tcPr>
                  <w:tcW w:type="dxa" w:w="14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Akselerert?</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24</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30</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36</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42</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91.7%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100%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N/A</w:t>
                  </w:r>
                </w:p>
              </w:tc>
            </w:tr>
          </w:tbl>
          <w:p>
            <w:pPr>
              <w:spacing w:before="80"/>
            </w:pPr>
          </w:p>
          <w:p>
            <w:pPr>
              <w:spacing w:after="60"/>
            </w:pPr>
            <w:r>
              <w:rPr>
                <w:rFonts w:ascii="Calibri" w:cs="Calibri" w:eastAsia="Calibri" w:hAnsi="Calibri"/>
                <w:b w:val="false"/>
                <w:bCs w:val="false"/>
                <w:i w:val="false"/>
                <w:iCs w:val="false"/>
                <w:color w:val="1A1A1A"/>
                <w:sz w:val="20"/>
                <w:szCs w:val="20"/>
              </w:rPr>
              <w:t>Ved måned 18: 25 % er vested normalt (cliff). 75 % akselererer = alle 531 250 aksjer fullt vested.</w:t>
            </w:r>
          </w:p>
          <w:p>
            <w:pPr>
              <w:spacing w:after="60"/>
            </w:pPr>
            <w:r>
              <w:rPr>
                <w:rFonts w:ascii="Calibri" w:cs="Calibri" w:eastAsia="Calibri" w:hAnsi="Calibri"/>
                <w:b w:val="false"/>
                <w:bCs w:val="false"/>
                <w:i w:val="false"/>
                <w:iCs w:val="false"/>
                <w:color w:val="1A1A1A"/>
                <w:sz w:val="20"/>
                <w:szCs w:val="20"/>
              </w:rPr>
              <w:t>Ved måned 48: Alle aksjer er allerede fullt vested. Akselerasjon er uten praktisk betydning.</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Sale + Qualifying Termination (both triggers satisfied):</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1400"/>
            </w:tblGrid>
            <w:tr>
              <w:tc>
                <w:tcPr>
                  <w:tcW w:type="dxa" w:w="9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Mo.</w:t>
                  </w:r>
                </w:p>
              </w:tc>
              <w:tc>
                <w:tcPr>
                  <w:tcW w:type="dxa" w:w="11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Vested %</w:t>
                  </w:r>
                </w:p>
              </w:tc>
              <w:tc>
                <w:tcPr>
                  <w:tcW w:type="dxa" w:w="12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Unvested %</w:t>
                  </w:r>
                </w:p>
              </w:tc>
              <w:tc>
                <w:tcPr>
                  <w:tcW w:type="dxa" w:w="14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Accelerated?</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24</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30</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36</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42</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91.7%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100%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N/A</w:t>
                  </w:r>
                </w:p>
              </w:tc>
            </w:tr>
          </w:tbl>
          <w:p>
            <w:pPr>
              <w:spacing w:before="80"/>
            </w:pPr>
          </w:p>
          <w:p>
            <w:pPr>
              <w:spacing w:after="60"/>
            </w:pPr>
            <w:r>
              <w:rPr>
                <w:rFonts w:ascii="Calibri" w:cs="Calibri" w:eastAsia="Calibri" w:hAnsi="Calibri"/>
                <w:b w:val="false"/>
                <w:bCs w:val="false"/>
                <w:i w:val="false"/>
                <w:iCs w:val="false"/>
                <w:color w:val="1A1A1A"/>
                <w:sz w:val="20"/>
                <w:szCs w:val="20"/>
              </w:rPr>
              <w:t xml:space="preserve">At month 18: 25% is vested normally (cliff). 75% accelerates = all 562,500 shares fully vested.</w:t>
            </w:r>
          </w:p>
          <w:p>
            <w:pPr>
              <w:spacing w:after="60"/>
            </w:pPr>
            <w:r>
              <w:rPr>
                <w:rFonts w:ascii="Calibri" w:cs="Calibri" w:eastAsia="Calibri" w:hAnsi="Calibri"/>
                <w:b w:val="false"/>
                <w:bCs w:val="false"/>
                <w:i w:val="false"/>
                <w:iCs w:val="false"/>
                <w:color w:val="1A1A1A"/>
                <w:sz w:val="20"/>
                <w:szCs w:val="20"/>
              </w:rPr>
              <w:t xml:space="preserve">At month 48: All shares are already fully vested. Acceleration has no practical effect.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Salg UTEN Kvalifisert oppsigelse (kun Trigger 1):</w:t>
            </w:r>
          </w:p>
          <w:p>
            <w:pPr>
              <w:spacing w:after="100"/>
            </w:pPr>
            <w:r>
              <w:rPr>
                <w:rFonts w:ascii="Calibri" w:cs="Calibri" w:eastAsia="Calibri" w:hAnsi="Calibri"/>
                <w:b w:val="false"/>
                <w:bCs w:val="false"/>
                <w:i w:val="false"/>
                <w:iCs w:val="false"/>
                <w:color w:val="1A1A1A"/>
                <w:sz w:val="20"/>
                <w:szCs w:val="20"/>
              </w:rPr>
              <w:t xml:space="preserve">Vesting fortsetter normalt. Ingen akselerasjon. Ny eier overtar Selskapets forpliktelser under Avtalen.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Sale WITHOUT Qualifying Termination (Trigger 1 only):</w:t>
            </w:r>
          </w:p>
          <w:p>
            <w:pPr>
              <w:spacing w:after="100"/>
            </w:pPr>
            <w:r>
              <w:rPr>
                <w:rFonts w:ascii="Calibri" w:cs="Calibri" w:eastAsia="Calibri" w:hAnsi="Calibri"/>
                <w:b w:val="false"/>
                <w:bCs w:val="false"/>
                <w:i w:val="false"/>
                <w:iCs w:val="false"/>
                <w:color w:val="1A1A1A"/>
                <w:sz w:val="20"/>
                <w:szCs w:val="20"/>
              </w:rPr>
              <w:t xml:space="preserve">Vesting continues normally. No acceleration. New owner assumes the Company’s obligations under the Agreement.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A.7  KRYSSREFERANSER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A.7  CROSS-REFERENCES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§2.1–2.2: Vesting-plan og behandling av uvested aksjer</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§6: Medsalgsrett (tag-along)</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§7: Medsalgsplikt (drag-along)</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§8.1: Good Leaver — verdsettelse ved avgang</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§8.2: Bad Leaver — overstyrer akselerasjon</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§9: Konkurranseforbud (gjelder også etter akselerasjon)</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§13: IP-bestemmelser</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§14: Lovvalg og voldgift</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§2.1–2.2: Vesting schedule and treatment of unvested shares</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§6: Tag-along right</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§7: Drag-along right</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§8.1: Good Leaver — valuation upon departure</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§8.2: Bad Leaver — overrides acceleration</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§9: Non-compete (continues to apply post-acceleration)</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§13: IP provisions</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§14: Governing law and arbitration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A.8  IKRAFTTREDELSE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A.8  EFFECTIVENESS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Dette vedlegget trer i kraft samtidig med signering av Aksjonæravtalen og utgør en integrert del av denne. Ved motstrid mellom Aksjonæravtalen og dette vedlegget, gjelder vedleggets bestemmelser for spørsmål om akselerasjon.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This schedule takes effect simultaneously with the execution of the Shareholders’ Agreement and forms an integral part thereof. In the event of conflict between the Shareholders’ Agreement and this schedule, the provisions of this schedule shall prevail on matters of acceleration.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I tråd med §1.4 (sunset-klausul): Dette vedlegget erstattes sammen med Aksjonæravtalen ved kvalifiserende finansiering &gt;NOK 2 000 000. Akselerasjonsvilkår i ny SHA forhandles med investorer.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Per §1.4 (sunset clause): This schedule is superseded together with the Shareholders’ Agreement upon qualifying financing &gt;NOK 2,000,000. Acceleration terms in the new SHA are negotiated with investors.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SIGNATURER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0"/>
            </w:pPr>
            <w:r>
              <w:rPr>
                <w:rFonts w:ascii="Calibri" w:cs="Calibri" w:eastAsia="Calibri" w:hAnsi="Calibri"/>
                <w:b w:val="false"/>
                <w:bCs w:val="false"/>
                <w:i w:val="false"/>
                <w:iCs w:val="false"/>
                <w:color w:val="1A1A1A"/>
                <w:sz w:val="20"/>
                <w:szCs w:val="20"/>
              </w:rPr>
              <w:t xml:space="preserve">Signert som vedlegg til Aksjonæravtalen for Aurelian Manufacturing AS:</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200"/>
            </w:pPr>
            <w:r>
              <w:rPr>
                <w:rFonts w:ascii="Calibri" w:cs="Calibri" w:eastAsia="Calibri" w:hAnsi="Calibri"/>
                <w:b/>
                <w:bCs/>
                <w:color w:val="1A1A1A"/>
                <w:sz w:val="20"/>
                <w:szCs w:val="20"/>
              </w:rPr>
              <w:t xml:space="preserve">HÖLEN INDUSTRIER AS</w:t>
            </w:r>
          </w:p>
          <w:p>
            <w:r>
              <w:rPr>
                <w:rFonts w:ascii="Calibri" w:cs="Calibri" w:eastAsia="Calibri" w:hAnsi="Calibri"/>
                <w:color w:val="666666"/>
                <w:sz w:val="18"/>
                <w:szCs w:val="18"/>
              </w:rPr>
              <w:t xml:space="preserve">(Org.nr. 832 249 742)</w:t>
            </w:r>
          </w:p>
          <w:p>
            <w:pPr>
              <w:spacing w:before="200"/>
            </w:pPr>
            <w:r>
              <w:rPr>
                <w:rFonts w:ascii="Calibri" w:cs="Calibri" w:eastAsia="Calibri" w:hAnsi="Calibri"/>
                <w:color w:val="666666"/>
                <w:sz w:val="20"/>
                <w:szCs w:val="20"/>
              </w:rPr>
              <w:t xml:space="preserve">________________________________</w:t>
            </w:r>
          </w:p>
          <w:p>
            <w:r>
              <w:rPr>
                <w:rFonts w:ascii="Calibri" w:cs="Calibri" w:eastAsia="Calibri" w:hAnsi="Calibri"/>
                <w:color w:val="1A1A1A"/>
                <w:sz w:val="20"/>
                <w:szCs w:val="20"/>
              </w:rPr>
              <w:t xml:space="preserve">André Tandberg</w:t>
            </w:r>
          </w:p>
          <w:p>
            <w:r>
              <w:rPr>
                <w:rFonts w:ascii="Calibri" w:cs="Calibri" w:eastAsia="Calibri" w:hAnsi="Calibri"/>
                <w:i/>
                <w:iCs/>
                <w:color w:val="666666"/>
                <w:sz w:val="18"/>
                <w:szCs w:val="18"/>
              </w:rPr>
              <w:t xml:space="preserve">Styremedlem / CEO</w:t>
            </w:r>
          </w:p>
          <w:p>
            <w:pPr>
              <w:spacing w:after="40"/>
            </w:pPr>
            <w:r>
              <w:rPr>
                <w:rFonts w:ascii="Calibri" w:cs="Calibri" w:eastAsia="Calibri" w:hAnsi="Calibri"/>
                <w:color w:val="666666"/>
                <w:sz w:val="18"/>
                <w:szCs w:val="18"/>
              </w:rPr>
              <w:t xml:space="preserve">Februar ___,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200"/>
            </w:pPr>
            <w:r>
              <w:rPr>
                <w:rFonts w:ascii="Calibri" w:cs="Calibri" w:eastAsia="Calibri" w:hAnsi="Calibri"/>
                <w:b/>
                <w:bCs/>
                <w:color w:val="1A1A1A"/>
                <w:sz w:val="20"/>
                <w:szCs w:val="20"/>
              </w:rPr>
              <w:t xml:space="preserve">QUALITY GROUP INVEST AS</w:t>
            </w:r>
          </w:p>
          <w:p>
            <w:r>
              <w:rPr>
                <w:rFonts w:ascii="Calibri" w:cs="Calibri" w:eastAsia="Calibri" w:hAnsi="Calibri"/>
                <w:color w:val="666666"/>
                <w:sz w:val="18"/>
                <w:szCs w:val="18"/>
              </w:rPr>
              <w:t xml:space="preserve">(Org.nr. 913 097 203)</w:t>
            </w:r>
          </w:p>
          <w:p>
            <w:pPr>
              <w:spacing w:before="200"/>
            </w:pPr>
            <w:r>
              <w:rPr>
                <w:rFonts w:ascii="Calibri" w:cs="Calibri" w:eastAsia="Calibri" w:hAnsi="Calibri"/>
                <w:color w:val="666666"/>
                <w:sz w:val="20"/>
                <w:szCs w:val="20"/>
              </w:rPr>
              <w:t xml:space="preserve">________________________________</w:t>
            </w:r>
          </w:p>
          <w:p>
            <w:r>
              <w:rPr>
                <w:rFonts w:ascii="Calibri" w:cs="Calibri" w:eastAsia="Calibri" w:hAnsi="Calibri"/>
                <w:color w:val="1A1A1A"/>
                <w:sz w:val="20"/>
                <w:szCs w:val="20"/>
              </w:rPr>
              <w:t xml:space="preserve">Tore Ausland</w:t>
            </w:r>
          </w:p>
          <w:p>
            <w:r>
              <w:rPr>
                <w:rFonts w:ascii="Calibri" w:cs="Calibri" w:eastAsia="Calibri" w:hAnsi="Calibri"/>
                <w:i/>
                <w:iCs/>
                <w:color w:val="666666"/>
                <w:sz w:val="18"/>
                <w:szCs w:val="18"/>
              </w:rPr>
              <w:t xml:space="preserve">Styreleder</w:t>
            </w:r>
          </w:p>
          <w:p>
            <w:pPr>
              <w:spacing w:after="40"/>
            </w:pPr>
            <w:r>
              <w:rPr>
                <w:rFonts w:ascii="Calibri" w:cs="Calibri" w:eastAsia="Calibri" w:hAnsi="Calibri"/>
                <w:color w:val="666666"/>
                <w:sz w:val="18"/>
                <w:szCs w:val="18"/>
              </w:rPr>
              <w:t xml:space="preserve">Februar ___,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200"/>
            </w:pPr>
            <w:r>
              <w:rPr>
                <w:rFonts w:ascii="Calibri" w:cs="Calibri" w:eastAsia="Calibri" w:hAnsi="Calibri"/>
                <w:b/>
                <w:bCs/>
                <w:color w:val="1A1A1A"/>
                <w:sz w:val="20"/>
                <w:szCs w:val="20"/>
              </w:rPr>
              <w:t xml:space="preserve">STAH INVEST AS</w:t>
            </w:r>
          </w:p>
          <w:p>
            <w:r>
              <w:rPr>
                <w:rFonts w:ascii="Calibri" w:cs="Calibri" w:eastAsia="Calibri" w:hAnsi="Calibri"/>
                <w:color w:val="666666"/>
                <w:sz w:val="18"/>
                <w:szCs w:val="18"/>
              </w:rPr>
              <w:t xml:space="preserve">(Org.nr. 937 920 368)</w:t>
            </w:r>
          </w:p>
          <w:p>
            <w:pPr>
              <w:spacing w:before="200"/>
            </w:pPr>
            <w:r>
              <w:rPr>
                <w:rFonts w:ascii="Calibri" w:cs="Calibri" w:eastAsia="Calibri" w:hAnsi="Calibri"/>
                <w:color w:val="666666"/>
                <w:sz w:val="20"/>
                <w:szCs w:val="20"/>
              </w:rPr>
              <w:t xml:space="preserve">________________________________</w:t>
            </w:r>
          </w:p>
          <w:p>
            <w:r>
              <w:rPr>
                <w:rFonts w:ascii="Calibri" w:cs="Calibri" w:eastAsia="Calibri" w:hAnsi="Calibri"/>
                <w:color w:val="1A1A1A"/>
                <w:sz w:val="20"/>
                <w:szCs w:val="20"/>
              </w:rPr>
              <w:t xml:space="preserve">Henrik S. Strøm</w:t>
            </w:r>
          </w:p>
          <w:p>
            <w:r>
              <w:rPr>
                <w:rFonts w:ascii="Calibri" w:cs="Calibri" w:eastAsia="Calibri" w:hAnsi="Calibri"/>
                <w:i/>
                <w:iCs/>
                <w:color w:val="666666"/>
                <w:sz w:val="18"/>
                <w:szCs w:val="18"/>
              </w:rPr>
              <w:t xml:space="preserve">Styremedlem</w:t>
            </w:r>
          </w:p>
          <w:p>
            <w:pPr>
              <w:spacing w:after="40"/>
            </w:pPr>
            <w:r>
              <w:rPr>
                <w:rFonts w:ascii="Calibri" w:cs="Calibri" w:eastAsia="Calibri" w:hAnsi="Calibri"/>
                <w:color w:val="666666"/>
                <w:sz w:val="18"/>
                <w:szCs w:val="18"/>
              </w:rPr>
              <w:t xml:space="preserve">Februar ___,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200"/>
            </w:pPr>
            <w:r>
              <w:t>ROADCODE AS</w:t>
              <w:br/>
              <w:t>(Org.nr. 920 694 241)</w:t>
              <w:br/>
              <w:t>________________________________</w:t>
              <w:br/>
              <w:t>Fredrik Vangsal</w:t>
              <w:br/>
              <w:t>Styremedlem / Teknisk rådgiver</w:t>
              <w:br/>
              <w:t>Februar ___, 2026</w:t>
            </w:r>
          </w:p>
          <w:p>
            <w:r/>
          </w:p>
          <w:p>
            <w:pPr>
              <w:spacing w:before="200"/>
            </w:pPr>
            <w:r/>
          </w:p>
          <w:p>
            <w:r/>
          </w:p>
          <w:p>
            <w:r/>
          </w:p>
          <w:p>
            <w:pPr>
              <w:spacing w:after="40"/>
            </w:pPr>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5"/>
        <w:szCs w:val="15"/>
      </w:rPr>
      <w:t xml:space="preserve">Acceleration Terms — Aurelian Manufacturing AS  |  Side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i/>
        <w:iCs/>
        <w:color w:val="F50537"/>
        <w:sz w:val="15"/>
        <w:szCs w:val="15"/>
      </w:rPr>
      <w:t xml:space="preserve">DRAFT — </w:t>
    </w:r>
    <w:r>
      <w:rPr>
        <w:rFonts w:ascii="Calibri" w:cs="Calibri" w:eastAsia="Calibri" w:hAnsi="Calibri"/>
        <w:i/>
        <w:iCs/>
        <w:color w:val="666666"/>
        <w:sz w:val="15"/>
        <w:szCs w:val="15"/>
      </w:rPr>
      <w:t xml:space="preserve">Aurelian Manufacturing  |  VDR 01 — Corporate  |  Konfidensielt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2026-02-12T21:06:30.144Z</dcterms:created>
  <dcterms:modified xsi:type="dcterms:W3CDTF">2026-02-12T21:06:30.145Z</dcterms:modified>
</cp:coreProperties>
</file>

<file path=docProps/custom.xml><?xml version="1.0" encoding="utf-8"?>
<Properties xmlns="http://schemas.openxmlformats.org/officeDocument/2006/custom-properties" xmlns:vt="http://schemas.openxmlformats.org/officeDocument/2006/docPropsVTypes"/>
</file>