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rFonts w:ascii="Calibri" w:cs="Calibri" w:eastAsia="Calibri" w:hAnsi="Calibri"/>
                <w:b/>
                <w:bCs/>
                <w:color w:val="1A1A1A"/>
                <w:sz w:val="34"/>
                <w:szCs w:val="34"/>
              </w:rPr>
              <w:t xml:space="preserve">AKSELERASJONS-</w:t>
            </w:r>
          </w:p>
          <w:p>
            <w:pPr>
              <w:spacing w:after="40"/>
            </w:pPr>
            <w:r>
              <w:rPr>
                <w:rFonts w:ascii="Calibri" w:cs="Calibri" w:eastAsia="Calibri" w:hAnsi="Calibri"/>
                <w:b/>
                <w:bCs/>
                <w:color w:val="1A1A1A"/>
                <w:sz w:val="34"/>
                <w:szCs w:val="34"/>
              </w:rPr>
              <w:t xml:space="preserve">VILKÅR</w:t>
            </w:r>
          </w:p>
          <w:p>
            <w:pPr>
              <w:spacing w:after="20"/>
            </w:pPr>
            <w:r>
              <w:rPr>
                <w:rFonts w:ascii="Calibri" w:cs="Calibri" w:eastAsia="Calibri" w:hAnsi="Calibri"/>
                <w:color w:val="F50537"/>
                <w:sz w:val="22"/>
                <w:szCs w:val="22"/>
              </w:rPr>
              <w:t xml:space="preserve">Dobbel trigger  |  Vedlegg til §2.3</w:t>
            </w:r>
          </w:p>
          <w:p>
            <w:pPr>
              <w:spacing w:after="200"/>
            </w:pPr>
            <w:r>
              <w:rPr>
                <w:rFonts w:ascii="Calibri" w:cs="Calibri" w:eastAsia="Calibri" w:hAnsi="Calibri"/>
                <w:color w:val="666666"/>
                <w:sz w:val="18"/>
                <w:szCs w:val="18"/>
              </w:rPr>
              <w:t xml:space="preserve">Aurelian Manufacturing AS  |  VDR 01  |  Februar 2026</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pPr>
            <w:r>
              <w:rPr>
                <w:rFonts w:ascii="Calibri" w:cs="Calibri" w:eastAsia="Calibri" w:hAnsi="Calibri"/>
                <w:b/>
                <w:bCs/>
                <w:color w:val="1A1A1A"/>
                <w:spacing w:val="30"/>
                <w:sz w:val="32"/>
                <w:szCs w:val="32"/>
              </w:rPr>
              <w:t xml:space="preserve">ACCELERATION TERMS</w:t>
            </w:r>
          </w:p>
          <w:p>
            <w:pPr>
              <w:spacing w:after="20"/>
            </w:pPr>
            <w:r>
              <w:rPr>
                <w:rFonts w:ascii="Calibri" w:cs="Calibri" w:eastAsia="Calibri" w:hAnsi="Calibri"/>
                <w:color w:val="F50537"/>
                <w:sz w:val="22"/>
                <w:szCs w:val="22"/>
              </w:rPr>
              <w:t xml:space="preserve">Double Trigger  |  Schedule to §2.3</w:t>
            </w:r>
          </w:p>
          <w:p>
            <w:pPr>
              <w:spacing w:after="200"/>
            </w:pPr>
            <w:r>
              <w:rPr>
                <w:rFonts w:ascii="Calibri" w:cs="Calibri" w:eastAsia="Calibri" w:hAnsi="Calibri"/>
                <w:color w:val="666666"/>
                <w:sz w:val="18"/>
                <w:szCs w:val="18"/>
              </w:rPr>
              <w:t xml:space="preserve">Aurelian Manufacturing AS  |  VDR 01  |  February 2026</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50537" w:sz="2"/>
              </w:pBdr>
              <w:spacing w:before="200" w:after="80"/>
            </w:pPr>
            <w:r>
              <w:rPr>
                <w:rFonts w:ascii="Calibri" w:cs="Calibri" w:eastAsia="Calibri" w:hAnsi="Calibri"/>
                <w:b/>
                <w:bCs/>
                <w:color w:val="F50537"/>
                <w:spacing w:val="50"/>
                <w:sz w:val="20"/>
                <w:szCs w:val="20"/>
              </w:rPr>
              <w:t xml:space="preserve">§ A.1  FORMÅL</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50537" w:sz="2"/>
              </w:pBdr>
              <w:spacing w:before="200" w:after="80"/>
            </w:pPr>
            <w:r>
              <w:rPr>
                <w:rFonts w:ascii="Calibri" w:cs="Calibri" w:eastAsia="Calibri" w:hAnsi="Calibri"/>
                <w:b/>
                <w:bCs/>
                <w:color w:val="F50537"/>
                <w:spacing w:val="50"/>
                <w:sz w:val="20"/>
                <w:szCs w:val="20"/>
              </w:rPr>
              <w:t xml:space="preserve">§ A.1  PURPOSE</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Dette vedlegget utdyper akselerasjonsmekanismen i Aksjonæravtalens §2.3 («Dobbel trigger»). Formålet er å gi gründerne en rettferdig beskyttelse ved eierskifte, samtidig som det sikrer kontinuitet for kjøper og investorer.</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This schedule elaborates on the acceleration mechanism in the Shareholders’ Agreement §2.3 (“Double Trigger”). The purpose is to provide founders with fair protection upon a change of control, while ensuring continuity for acquirers and investors.</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hd w:fill="F5F5F5" w:val="clear"/>
              <w:spacing w:before="60" w:after="60"/>
              <w:ind w:left="200" w:right="200"/>
            </w:pPr>
            <w:r>
              <w:rPr>
                <w:rFonts w:ascii="Calibri" w:cs="Calibri" w:eastAsia="Calibri" w:hAnsi="Calibri"/>
                <w:color w:val="F50537"/>
                <w:sz w:val="18"/>
                <w:szCs w:val="18"/>
              </w:rPr>
              <w:t xml:space="preserve">ℹ </w:t>
            </w:r>
            <w:r>
              <w:rPr>
                <w:rFonts w:ascii="Calibri" w:cs="Calibri" w:eastAsia="Calibri" w:hAnsi="Calibri"/>
                <w:i/>
                <w:iCs/>
                <w:color w:val="666666"/>
                <w:sz w:val="18"/>
                <w:szCs w:val="18"/>
              </w:rPr>
              <w:t xml:space="preserve">Dobbel trigger er europeisk VC-standard. Enkel trigger (automatisk akselerasjon ved salg) er uvanlig i Europa og kan redusere selskapets salgbarhet.</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hd w:fill="F5F5F5" w:val="clear"/>
              <w:spacing w:before="60" w:after="60"/>
              <w:ind w:left="200" w:right="200"/>
            </w:pPr>
            <w:r>
              <w:rPr>
                <w:rFonts w:ascii="Calibri" w:cs="Calibri" w:eastAsia="Calibri" w:hAnsi="Calibri"/>
                <w:color w:val="F50537"/>
                <w:sz w:val="18"/>
                <w:szCs w:val="18"/>
              </w:rPr>
              <w:t xml:space="preserve">ℹ </w:t>
            </w:r>
            <w:r>
              <w:rPr>
                <w:rFonts w:ascii="Calibri" w:cs="Calibri" w:eastAsia="Calibri" w:hAnsi="Calibri"/>
                <w:i/>
                <w:iCs/>
                <w:color w:val="666666"/>
                <w:sz w:val="18"/>
                <w:szCs w:val="18"/>
              </w:rPr>
              <w:t xml:space="preserve">Double trigger is European VC standard. Single trigger (automatic acceleration upon sale) is uncommon in Europe and may reduce company saleability.</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50537" w:sz="2"/>
              </w:pBdr>
              <w:spacing w:before="200" w:after="80"/>
            </w:pPr>
            <w:r>
              <w:rPr>
                <w:rFonts w:ascii="Calibri" w:cs="Calibri" w:eastAsia="Calibri" w:hAnsi="Calibri"/>
                <w:b/>
                <w:bCs/>
                <w:color w:val="F50537"/>
                <w:spacing w:val="50"/>
                <w:sz w:val="20"/>
                <w:szCs w:val="20"/>
              </w:rPr>
              <w:t xml:space="preserve">§ A.2  DEFINISJONER</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50537" w:sz="2"/>
              </w:pBdr>
              <w:spacing w:before="200" w:after="80"/>
            </w:pPr>
            <w:r>
              <w:rPr>
                <w:rFonts w:ascii="Calibri" w:cs="Calibri" w:eastAsia="Calibri" w:hAnsi="Calibri"/>
                <w:b/>
                <w:bCs/>
                <w:color w:val="F50537"/>
                <w:spacing w:val="50"/>
                <w:sz w:val="20"/>
                <w:szCs w:val="20"/>
              </w:rPr>
              <w:t xml:space="preserve">§ A.2  DEFINITIONS</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before="160" w:after="60"/>
            </w:pPr>
            <w:r>
              <w:rPr>
                <w:rFonts w:ascii="Calibri" w:cs="Calibri" w:eastAsia="Calibri" w:hAnsi="Calibri"/>
                <w:b/>
                <w:bCs/>
                <w:color w:val="1A1A1A"/>
                <w:sz w:val="21"/>
                <w:szCs w:val="21"/>
              </w:rPr>
              <w:t xml:space="preserve">A.2.1  Kontrollskifte («Change of Control»)</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before="160" w:after="60"/>
            </w:pPr>
            <w:r>
              <w:rPr>
                <w:rFonts w:ascii="Calibri" w:cs="Calibri" w:eastAsia="Calibri" w:hAnsi="Calibri"/>
                <w:b/>
                <w:bCs/>
                <w:color w:val="1A1A1A"/>
                <w:sz w:val="21"/>
                <w:szCs w:val="21"/>
              </w:rPr>
              <w:t xml:space="preserve">A.2.1  Change of Control</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Kontrollskifte foreligger når ett av følgende inntreffer:</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A Change of Control occurs upon any of the following:</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ind w:left="300"/>
            </w:pPr>
            <w:r>
              <w:rPr>
                <w:rFonts w:ascii="Calibri" w:cs="Calibri" w:eastAsia="Calibri" w:hAnsi="Calibri"/>
                <w:b/>
                <w:bCs/>
                <w:color w:val="F50537"/>
                <w:sz w:val="19"/>
                <w:szCs w:val="19"/>
              </w:rPr>
              <w:t xml:space="preserve">(a) </w:t>
            </w:r>
            <w:r>
              <w:rPr>
                <w:rFonts w:ascii="Calibri" w:cs="Calibri" w:eastAsia="Calibri" w:hAnsi="Calibri"/>
                <w:color w:val="1A1A1A"/>
                <w:sz w:val="19"/>
                <w:szCs w:val="19"/>
              </w:rPr>
              <w:t xml:space="preserve">Overdragelse som gir en tredjepart direkte eller indirekte kontroll over &gt;50 % av stemmerettene i Selskapet (jf. aksjeloven §1-3).</w:t>
            </w:r>
          </w:p>
          <w:p>
            <w:pPr>
              <w:spacing w:after="40"/>
              <w:ind w:left="300"/>
            </w:pPr>
            <w:r>
              <w:rPr>
                <w:rFonts w:ascii="Calibri" w:cs="Calibri" w:eastAsia="Calibri" w:hAnsi="Calibri"/>
                <w:b/>
                <w:bCs/>
                <w:color w:val="F50537"/>
                <w:sz w:val="19"/>
                <w:szCs w:val="19"/>
              </w:rPr>
              <w:t xml:space="preserve">(b) </w:t>
            </w:r>
            <w:r>
              <w:rPr>
                <w:rFonts w:ascii="Calibri" w:cs="Calibri" w:eastAsia="Calibri" w:hAnsi="Calibri"/>
                <w:color w:val="1A1A1A"/>
                <w:sz w:val="19"/>
                <w:szCs w:val="19"/>
              </w:rPr>
              <w:t xml:space="preserve">Fusjon eller fisjon der Selskapets eksisterende aksjonærer eier &lt;50 % av det sammenslåtte/gjenværende selskapet.</w:t>
            </w:r>
          </w:p>
          <w:p>
            <w:pPr>
              <w:spacing w:after="40"/>
              <w:ind w:left="300"/>
            </w:pPr>
            <w:r>
              <w:rPr>
                <w:rFonts w:ascii="Calibri" w:cs="Calibri" w:eastAsia="Calibri" w:hAnsi="Calibri"/>
                <w:b/>
                <w:bCs/>
                <w:color w:val="F50537"/>
                <w:sz w:val="19"/>
                <w:szCs w:val="19"/>
              </w:rPr>
              <w:t xml:space="preserve">(c) </w:t>
            </w:r>
            <w:r>
              <w:rPr>
                <w:rFonts w:ascii="Calibri" w:cs="Calibri" w:eastAsia="Calibri" w:hAnsi="Calibri"/>
                <w:color w:val="1A1A1A"/>
                <w:sz w:val="19"/>
                <w:szCs w:val="19"/>
              </w:rPr>
              <w:t xml:space="preserve">Salg eller overdragelse av vesentlige eiendeler (&gt;75 % av bokført verdi) til tredjepart.</w:t>
            </w:r>
          </w:p>
          <w:p>
            <w:pPr>
              <w:spacing w:after="40"/>
              <w:ind w:left="300"/>
            </w:pPr>
            <w:r>
              <w:rPr>
                <w:rFonts w:ascii="Calibri" w:cs="Calibri" w:eastAsia="Calibri" w:hAnsi="Calibri"/>
                <w:b/>
                <w:bCs/>
                <w:color w:val="F50537"/>
                <w:sz w:val="19"/>
                <w:szCs w:val="19"/>
              </w:rPr>
              <w:t xml:space="preserve">(d) </w:t>
            </w:r>
            <w:r>
              <w:rPr>
                <w:rFonts w:ascii="Calibri" w:cs="Calibri" w:eastAsia="Calibri" w:hAnsi="Calibri"/>
                <w:color w:val="1A1A1A"/>
                <w:sz w:val="19"/>
                <w:szCs w:val="19"/>
              </w:rPr>
              <w:t xml:space="preserve">Godkjent salg iht. drag-along (§7) eller medsalgsrett (§6).</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ind w:left="300"/>
            </w:pPr>
            <w:r>
              <w:rPr>
                <w:rFonts w:ascii="Calibri" w:cs="Calibri" w:eastAsia="Calibri" w:hAnsi="Calibri"/>
                <w:b/>
                <w:bCs/>
                <w:color w:val="F50537"/>
                <w:sz w:val="19"/>
                <w:szCs w:val="19"/>
              </w:rPr>
              <w:t xml:space="preserve">(a) </w:t>
            </w:r>
            <w:r>
              <w:rPr>
                <w:rFonts w:ascii="Calibri" w:cs="Calibri" w:eastAsia="Calibri" w:hAnsi="Calibri"/>
                <w:color w:val="1A1A1A"/>
                <w:sz w:val="19"/>
                <w:szCs w:val="19"/>
              </w:rPr>
              <w:t xml:space="preserve">Transfer giving a third party direct or indirect control of &gt;50% of the voting rights in the Company (cf. Norwegian Companies Act §1-3).</w:t>
            </w:r>
          </w:p>
          <w:p>
            <w:pPr>
              <w:spacing w:after="40"/>
              <w:ind w:left="300"/>
            </w:pPr>
            <w:r>
              <w:rPr>
                <w:rFonts w:ascii="Calibri" w:cs="Calibri" w:eastAsia="Calibri" w:hAnsi="Calibri"/>
                <w:b/>
                <w:bCs/>
                <w:color w:val="F50537"/>
                <w:sz w:val="19"/>
                <w:szCs w:val="19"/>
              </w:rPr>
              <w:t xml:space="preserve">(b) </w:t>
            </w:r>
            <w:r>
              <w:rPr>
                <w:rFonts w:ascii="Calibri" w:cs="Calibri" w:eastAsia="Calibri" w:hAnsi="Calibri"/>
                <w:color w:val="1A1A1A"/>
                <w:sz w:val="19"/>
                <w:szCs w:val="19"/>
              </w:rPr>
              <w:t xml:space="preserve">Merger or demerger where the Company’s existing shareholders own &lt;50% of the combined/surviving entity.</w:t>
            </w:r>
          </w:p>
          <w:p>
            <w:pPr>
              <w:spacing w:after="40"/>
              <w:ind w:left="300"/>
            </w:pPr>
            <w:r>
              <w:rPr>
                <w:rFonts w:ascii="Calibri" w:cs="Calibri" w:eastAsia="Calibri" w:hAnsi="Calibri"/>
                <w:b/>
                <w:bCs/>
                <w:color w:val="F50537"/>
                <w:sz w:val="19"/>
                <w:szCs w:val="19"/>
              </w:rPr>
              <w:t xml:space="preserve">(c) </w:t>
            </w:r>
            <w:r>
              <w:rPr>
                <w:rFonts w:ascii="Calibri" w:cs="Calibri" w:eastAsia="Calibri" w:hAnsi="Calibri"/>
                <w:color w:val="1A1A1A"/>
                <w:sz w:val="19"/>
                <w:szCs w:val="19"/>
              </w:rPr>
              <w:t xml:space="preserve">Sale or transfer of substantially all assets (&gt;75% of book value) to a third party.</w:t>
            </w:r>
          </w:p>
          <w:p>
            <w:pPr>
              <w:spacing w:after="40"/>
              <w:ind w:left="300"/>
            </w:pPr>
            <w:r>
              <w:rPr>
                <w:rFonts w:ascii="Calibri" w:cs="Calibri" w:eastAsia="Calibri" w:hAnsi="Calibri"/>
                <w:b/>
                <w:bCs/>
                <w:color w:val="F50537"/>
                <w:sz w:val="19"/>
                <w:szCs w:val="19"/>
              </w:rPr>
              <w:t xml:space="preserve">(d) </w:t>
            </w:r>
            <w:r>
              <w:rPr>
                <w:rFonts w:ascii="Calibri" w:cs="Calibri" w:eastAsia="Calibri" w:hAnsi="Calibri"/>
                <w:color w:val="1A1A1A"/>
                <w:sz w:val="19"/>
                <w:szCs w:val="19"/>
              </w:rPr>
              <w:t xml:space="preserve">Approved sale pursuant to drag-along (§7) or tag-along (§6).</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before="160" w:after="60"/>
            </w:pPr>
            <w:r>
              <w:rPr>
                <w:rFonts w:ascii="Calibri" w:cs="Calibri" w:eastAsia="Calibri" w:hAnsi="Calibri"/>
                <w:b/>
                <w:bCs/>
                <w:color w:val="1A1A1A"/>
                <w:sz w:val="21"/>
                <w:szCs w:val="21"/>
              </w:rPr>
              <w:t xml:space="preserve">A.2.2  Kvalifisert oppsigelse («Qualifying Termination»)</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before="160" w:after="60"/>
            </w:pPr>
            <w:r>
              <w:rPr>
                <w:rFonts w:ascii="Calibri" w:cs="Calibri" w:eastAsia="Calibri" w:hAnsi="Calibri"/>
                <w:b/>
                <w:bCs/>
                <w:color w:val="1A1A1A"/>
                <w:sz w:val="21"/>
                <w:szCs w:val="21"/>
              </w:rPr>
              <w:t xml:space="preserve">A.2.2  Qualifying Termination</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Kvalifisert oppsigelse foreligger når en Part ufrivillig mister sin operative rolle innen 12 måneder etter et Kontrollskifte, herunder:</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A Qualifying Termination occurs when a Party involuntarily loses their operative role within 12 months following a Change of Control, including:</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ind w:left="300"/>
            </w:pPr>
            <w:r>
              <w:rPr>
                <w:rFonts w:ascii="Calibri" w:cs="Calibri" w:eastAsia="Calibri" w:hAnsi="Calibri"/>
                <w:b/>
                <w:bCs/>
                <w:color w:val="F50537"/>
                <w:sz w:val="19"/>
                <w:szCs w:val="19"/>
              </w:rPr>
              <w:t xml:space="preserve">(a) </w:t>
            </w:r>
            <w:r>
              <w:rPr>
                <w:rFonts w:ascii="Calibri" w:cs="Calibri" w:eastAsia="Calibri" w:hAnsi="Calibri"/>
                <w:color w:val="1A1A1A"/>
                <w:sz w:val="19"/>
                <w:szCs w:val="19"/>
              </w:rPr>
              <w:t xml:space="preserve">Oppsigelse initiert av Selskapet (eller ny eier) uten saklig grunn iht. arbeidsmiljøloven §15-7.</w:t>
            </w:r>
          </w:p>
          <w:p>
            <w:pPr>
              <w:spacing w:after="40"/>
              <w:ind w:left="300"/>
            </w:pPr>
            <w:r>
              <w:rPr>
                <w:rFonts w:ascii="Calibri" w:cs="Calibri" w:eastAsia="Calibri" w:hAnsi="Calibri"/>
                <w:b/>
                <w:bCs/>
                <w:color w:val="F50537"/>
                <w:sz w:val="19"/>
                <w:szCs w:val="19"/>
              </w:rPr>
              <w:t xml:space="preserve">(b) </w:t>
            </w:r>
            <w:r>
              <w:rPr>
                <w:rFonts w:ascii="Calibri" w:cs="Calibri" w:eastAsia="Calibri" w:hAnsi="Calibri"/>
                <w:color w:val="1A1A1A"/>
                <w:sz w:val="19"/>
                <w:szCs w:val="19"/>
              </w:rPr>
              <w:t xml:space="preserve">Vesentlig reduksjon i rolle, ansvar eller myndighet sammenlignet med stillingen umiddelbart før Kontrollskiftet.</w:t>
            </w:r>
          </w:p>
          <w:p>
            <w:pPr>
              <w:spacing w:after="40"/>
              <w:ind w:left="300"/>
            </w:pPr>
            <w:r>
              <w:rPr>
                <w:rFonts w:ascii="Calibri" w:cs="Calibri" w:eastAsia="Calibri" w:hAnsi="Calibri"/>
                <w:b/>
                <w:bCs/>
                <w:color w:val="F50537"/>
                <w:sz w:val="19"/>
                <w:szCs w:val="19"/>
              </w:rPr>
              <w:t xml:space="preserve">(c) </w:t>
            </w:r>
            <w:r>
              <w:rPr>
                <w:rFonts w:ascii="Calibri" w:cs="Calibri" w:eastAsia="Calibri" w:hAnsi="Calibri"/>
                <w:color w:val="1A1A1A"/>
                <w:sz w:val="19"/>
                <w:szCs w:val="19"/>
              </w:rPr>
              <w:t xml:space="preserve">Reduksjon i årlig godtgjørelse (lønn + bonus) med mer enn 15 % uten samtykke.</w:t>
            </w:r>
          </w:p>
          <w:p>
            <w:pPr>
              <w:spacing w:after="40"/>
              <w:ind w:left="300"/>
            </w:pPr>
            <w:r>
              <w:rPr>
                <w:rFonts w:ascii="Calibri" w:cs="Calibri" w:eastAsia="Calibri" w:hAnsi="Calibri"/>
                <w:b/>
                <w:bCs/>
                <w:color w:val="F50537"/>
                <w:sz w:val="19"/>
                <w:szCs w:val="19"/>
              </w:rPr>
              <w:t xml:space="preserve">(d) </w:t>
            </w:r>
            <w:r>
              <w:rPr>
                <w:rFonts w:ascii="Calibri" w:cs="Calibri" w:eastAsia="Calibri" w:hAnsi="Calibri"/>
                <w:color w:val="1A1A1A"/>
                <w:sz w:val="19"/>
                <w:szCs w:val="19"/>
              </w:rPr>
              <w:t xml:space="preserve">Pålagt relokasjon av primær arbeidsplass med mer enn 50 km uten samtykke.</w:t>
            </w:r>
          </w:p>
          <w:p>
            <w:pPr>
              <w:spacing w:after="40"/>
              <w:ind w:left="300"/>
            </w:pPr>
            <w:r>
              <w:rPr>
                <w:rFonts w:ascii="Calibri" w:cs="Calibri" w:eastAsia="Calibri" w:hAnsi="Calibri"/>
                <w:b/>
                <w:bCs/>
                <w:color w:val="F50537"/>
                <w:sz w:val="19"/>
                <w:szCs w:val="19"/>
              </w:rPr>
              <w:t xml:space="preserve">(e) </w:t>
            </w:r>
            <w:r>
              <w:rPr>
                <w:rFonts w:ascii="Calibri" w:cs="Calibri" w:eastAsia="Calibri" w:hAnsi="Calibri"/>
                <w:color w:val="1A1A1A"/>
                <w:sz w:val="19"/>
                <w:szCs w:val="19"/>
              </w:rPr>
              <w:t xml:space="preserve">Vesentlig endring av rapporteringslinje som innebærer degradering.</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ind w:left="300"/>
            </w:pPr>
            <w:r>
              <w:rPr>
                <w:rFonts w:ascii="Calibri" w:cs="Calibri" w:eastAsia="Calibri" w:hAnsi="Calibri"/>
                <w:b/>
                <w:bCs/>
                <w:color w:val="F50537"/>
                <w:sz w:val="19"/>
                <w:szCs w:val="19"/>
              </w:rPr>
              <w:t xml:space="preserve">(a) </w:t>
            </w:r>
            <w:r>
              <w:rPr>
                <w:rFonts w:ascii="Calibri" w:cs="Calibri" w:eastAsia="Calibri" w:hAnsi="Calibri"/>
                <w:color w:val="1A1A1A"/>
                <w:sz w:val="19"/>
                <w:szCs w:val="19"/>
              </w:rPr>
              <w:t xml:space="preserve">Termination initiated by the Company (or new owner) without just cause under the Working Environment Act §15-7.</w:t>
            </w:r>
          </w:p>
          <w:p>
            <w:pPr>
              <w:spacing w:after="40"/>
              <w:ind w:left="300"/>
            </w:pPr>
            <w:r>
              <w:rPr>
                <w:rFonts w:ascii="Calibri" w:cs="Calibri" w:eastAsia="Calibri" w:hAnsi="Calibri"/>
                <w:b/>
                <w:bCs/>
                <w:color w:val="F50537"/>
                <w:sz w:val="19"/>
                <w:szCs w:val="19"/>
              </w:rPr>
              <w:t xml:space="preserve">(b) </w:t>
            </w:r>
            <w:r>
              <w:rPr>
                <w:rFonts w:ascii="Calibri" w:cs="Calibri" w:eastAsia="Calibri" w:hAnsi="Calibri"/>
                <w:color w:val="1A1A1A"/>
                <w:sz w:val="19"/>
                <w:szCs w:val="19"/>
              </w:rPr>
              <w:t xml:space="preserve">Material reduction in role, responsibility, or authority compared to the position immediately prior to the Change of Control.</w:t>
            </w:r>
          </w:p>
          <w:p>
            <w:pPr>
              <w:spacing w:after="40"/>
              <w:ind w:left="300"/>
            </w:pPr>
            <w:r>
              <w:rPr>
                <w:rFonts w:ascii="Calibri" w:cs="Calibri" w:eastAsia="Calibri" w:hAnsi="Calibri"/>
                <w:b/>
                <w:bCs/>
                <w:color w:val="F50537"/>
                <w:sz w:val="19"/>
                <w:szCs w:val="19"/>
              </w:rPr>
              <w:t xml:space="preserve">(c) </w:t>
            </w:r>
            <w:r>
              <w:rPr>
                <w:rFonts w:ascii="Calibri" w:cs="Calibri" w:eastAsia="Calibri" w:hAnsi="Calibri"/>
                <w:color w:val="1A1A1A"/>
                <w:sz w:val="19"/>
                <w:szCs w:val="19"/>
              </w:rPr>
              <w:t xml:space="preserve">Reduction in annual compensation (salary + bonus) exceeding 15% without consent.</w:t>
            </w:r>
          </w:p>
          <w:p>
            <w:pPr>
              <w:spacing w:after="40"/>
              <w:ind w:left="300"/>
            </w:pPr>
            <w:r>
              <w:rPr>
                <w:rFonts w:ascii="Calibri" w:cs="Calibri" w:eastAsia="Calibri" w:hAnsi="Calibri"/>
                <w:b/>
                <w:bCs/>
                <w:color w:val="F50537"/>
                <w:sz w:val="19"/>
                <w:szCs w:val="19"/>
              </w:rPr>
              <w:t xml:space="preserve">(d) </w:t>
            </w:r>
            <w:r>
              <w:rPr>
                <w:rFonts w:ascii="Calibri" w:cs="Calibri" w:eastAsia="Calibri" w:hAnsi="Calibri"/>
                <w:color w:val="1A1A1A"/>
                <w:sz w:val="19"/>
                <w:szCs w:val="19"/>
              </w:rPr>
              <w:t xml:space="preserve">Required relocation of primary workplace by more than 50 km without consent.</w:t>
            </w:r>
          </w:p>
          <w:p>
            <w:pPr>
              <w:spacing w:after="40"/>
              <w:ind w:left="300"/>
            </w:pPr>
            <w:r>
              <w:rPr>
                <w:rFonts w:ascii="Calibri" w:cs="Calibri" w:eastAsia="Calibri" w:hAnsi="Calibri"/>
                <w:b/>
                <w:bCs/>
                <w:color w:val="F50537"/>
                <w:sz w:val="19"/>
                <w:szCs w:val="19"/>
              </w:rPr>
              <w:t xml:space="preserve">(e) </w:t>
            </w:r>
            <w:r>
              <w:rPr>
                <w:rFonts w:ascii="Calibri" w:cs="Calibri" w:eastAsia="Calibri" w:hAnsi="Calibri"/>
                <w:color w:val="1A1A1A"/>
                <w:sz w:val="19"/>
                <w:szCs w:val="19"/>
              </w:rPr>
              <w:t xml:space="preserve">Material change in reporting line constituting a demotion.</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hd w:fill="F5F5F5" w:val="clear"/>
              <w:spacing w:before="60" w:after="60"/>
              <w:ind w:left="200" w:right="200"/>
            </w:pPr>
            <w:r>
              <w:rPr>
                <w:rFonts w:ascii="Calibri" w:cs="Calibri" w:eastAsia="Calibri" w:hAnsi="Calibri"/>
                <w:color w:val="F50537"/>
                <w:sz w:val="18"/>
                <w:szCs w:val="18"/>
              </w:rPr>
              <w:t xml:space="preserve">ℹ </w:t>
            </w:r>
            <w:r>
              <w:rPr>
                <w:rFonts w:ascii="Calibri" w:cs="Calibri" w:eastAsia="Calibri" w:hAnsi="Calibri"/>
                <w:i/>
                <w:iCs/>
                <w:color w:val="666666"/>
                <w:sz w:val="18"/>
                <w:szCs w:val="18"/>
              </w:rPr>
              <w:t xml:space="preserve">Frivillig avgang eller oppsigelse som følge av Bad Leaver-hendelser (§8.2) utløser IKKE akselerasjon. Se §A.5 for unntak.</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hd w:fill="F5F5F5" w:val="clear"/>
              <w:spacing w:before="60" w:after="60"/>
              <w:ind w:left="200" w:right="200"/>
            </w:pPr>
            <w:r>
              <w:rPr>
                <w:rFonts w:ascii="Calibri" w:cs="Calibri" w:eastAsia="Calibri" w:hAnsi="Calibri"/>
                <w:color w:val="F50537"/>
                <w:sz w:val="18"/>
                <w:szCs w:val="18"/>
              </w:rPr>
              <w:t xml:space="preserve">ℹ </w:t>
            </w:r>
            <w:r>
              <w:rPr>
                <w:rFonts w:ascii="Calibri" w:cs="Calibri" w:eastAsia="Calibri" w:hAnsi="Calibri"/>
                <w:i/>
                <w:iCs/>
                <w:color w:val="666666"/>
                <w:sz w:val="18"/>
                <w:szCs w:val="18"/>
              </w:rPr>
              <w:t xml:space="preserve">Voluntary departure or termination resulting from Bad Leaver events (§8.2) does NOT trigger acceleration. See §A.5 for exceptions.</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before="160" w:after="60"/>
            </w:pPr>
            <w:r>
              <w:rPr>
                <w:rFonts w:ascii="Calibri" w:cs="Calibri" w:eastAsia="Calibri" w:hAnsi="Calibri"/>
                <w:b/>
                <w:bCs/>
                <w:color w:val="1A1A1A"/>
                <w:sz w:val="21"/>
                <w:szCs w:val="21"/>
              </w:rPr>
              <w:t xml:space="preserve">A.2.3  Beskyttelsesperiode</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before="160" w:after="60"/>
            </w:pPr>
            <w:r>
              <w:rPr>
                <w:rFonts w:ascii="Calibri" w:cs="Calibri" w:eastAsia="Calibri" w:hAnsi="Calibri"/>
                <w:b/>
                <w:bCs/>
                <w:color w:val="1A1A1A"/>
                <w:sz w:val="21"/>
                <w:szCs w:val="21"/>
              </w:rPr>
              <w:t xml:space="preserve">A.2.3  Protection Period</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Beskyttelsesperioden er 12 måneder regnet fra datoen Kontrollskiftet gjennomføres (closing). Kvalifisert oppsigelse som inntreffer etter utløpet av Beskyttelsesperioden utløser ikke akselerasjon.</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The Protection Period is 12 months calculated from the date the Change of Control is completed (closing). A Qualifying Termination occurring after expiry of the Protection Period does not trigger acceleration.</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50537" w:sz="2"/>
              </w:pBdr>
              <w:spacing w:before="200" w:after="80"/>
            </w:pPr>
            <w:r>
              <w:rPr>
                <w:rFonts w:ascii="Calibri" w:cs="Calibri" w:eastAsia="Calibri" w:hAnsi="Calibri"/>
                <w:b/>
                <w:bCs/>
                <w:color w:val="F50537"/>
                <w:spacing w:val="50"/>
                <w:sz w:val="20"/>
                <w:szCs w:val="20"/>
              </w:rPr>
              <w:t xml:space="preserve">§ A.3  AKSELERASJONSMEKANIKK</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50537" w:sz="2"/>
              </w:pBdr>
              <w:spacing w:before="200" w:after="80"/>
            </w:pPr>
            <w:r>
              <w:rPr>
                <w:rFonts w:ascii="Calibri" w:cs="Calibri" w:eastAsia="Calibri" w:hAnsi="Calibri"/>
                <w:b/>
                <w:bCs/>
                <w:color w:val="F50537"/>
                <w:spacing w:val="50"/>
                <w:sz w:val="20"/>
                <w:szCs w:val="20"/>
              </w:rPr>
              <w:t xml:space="preserve">§ A.3  ACCELERATION MECHANICS</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before="160" w:after="60"/>
            </w:pPr>
            <w:r>
              <w:rPr>
                <w:rFonts w:ascii="Calibri" w:cs="Calibri" w:eastAsia="Calibri" w:hAnsi="Calibri"/>
                <w:b/>
                <w:bCs/>
                <w:color w:val="1A1A1A"/>
                <w:sz w:val="21"/>
                <w:szCs w:val="21"/>
              </w:rPr>
              <w:t xml:space="preserve">A.3.1  Dobbel trigger-krav</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before="160" w:after="60"/>
            </w:pPr>
            <w:r>
              <w:rPr>
                <w:rFonts w:ascii="Calibri" w:cs="Calibri" w:eastAsia="Calibri" w:hAnsi="Calibri"/>
                <w:b/>
                <w:bCs/>
                <w:color w:val="1A1A1A"/>
                <w:sz w:val="21"/>
                <w:szCs w:val="21"/>
              </w:rPr>
              <w:t xml:space="preserve">A.3.1  Double Trigger Requirement</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Akselerasjon krever at BEGGE vilkår er oppfylt:</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Acceleration requires that BOTH conditions are met:</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ind w:left="300"/>
            </w:pPr>
            <w:r>
              <w:rPr>
                <w:rFonts w:ascii="Calibri" w:cs="Calibri" w:eastAsia="Calibri" w:hAnsi="Calibri"/>
                <w:color w:val="F50537"/>
                <w:sz w:val="19"/>
                <w:szCs w:val="19"/>
              </w:rPr>
              <w:t xml:space="preserve">▸ </w:t>
            </w:r>
            <w:r>
              <w:rPr>
                <w:rFonts w:ascii="Calibri" w:cs="Calibri" w:eastAsia="Calibri" w:hAnsi="Calibri"/>
                <w:color w:val="1A1A1A"/>
                <w:sz w:val="19"/>
                <w:szCs w:val="19"/>
              </w:rPr>
              <w:t xml:space="preserve">Trigger 1: Et Kontrollskifte har funnet sted (§A.2.1).</w:t>
            </w:r>
          </w:p>
          <w:p>
            <w:pPr>
              <w:spacing w:after="40"/>
              <w:ind w:left="300"/>
            </w:pPr>
            <w:r>
              <w:rPr>
                <w:rFonts w:ascii="Calibri" w:cs="Calibri" w:eastAsia="Calibri" w:hAnsi="Calibri"/>
                <w:color w:val="F50537"/>
                <w:sz w:val="19"/>
                <w:szCs w:val="19"/>
              </w:rPr>
              <w:t xml:space="preserve">▸ </w:t>
            </w:r>
            <w:r>
              <w:rPr>
                <w:rFonts w:ascii="Calibri" w:cs="Calibri" w:eastAsia="Calibri" w:hAnsi="Calibri"/>
                <w:color w:val="1A1A1A"/>
                <w:sz w:val="19"/>
                <w:szCs w:val="19"/>
              </w:rPr>
              <w:t xml:space="preserve">Trigger 2: En Kvalifisert oppsigelse inntreffer innen Beskyttelsesperioden (§A.2.2–A.2.3).</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ind w:left="300"/>
            </w:pPr>
            <w:r>
              <w:rPr>
                <w:rFonts w:ascii="Calibri" w:cs="Calibri" w:eastAsia="Calibri" w:hAnsi="Calibri"/>
                <w:color w:val="F50537"/>
                <w:sz w:val="19"/>
                <w:szCs w:val="19"/>
              </w:rPr>
              <w:t xml:space="preserve">▸ </w:t>
            </w:r>
            <w:r>
              <w:rPr>
                <w:rFonts w:ascii="Calibri" w:cs="Calibri" w:eastAsia="Calibri" w:hAnsi="Calibri"/>
                <w:color w:val="1A1A1A"/>
                <w:sz w:val="19"/>
                <w:szCs w:val="19"/>
              </w:rPr>
              <w:t xml:space="preserve">Trigger 1: A Change of Control has occurred (§A.2.1).</w:t>
            </w:r>
          </w:p>
          <w:p>
            <w:pPr>
              <w:spacing w:after="40"/>
              <w:ind w:left="300"/>
            </w:pPr>
            <w:r>
              <w:rPr>
                <w:rFonts w:ascii="Calibri" w:cs="Calibri" w:eastAsia="Calibri" w:hAnsi="Calibri"/>
                <w:color w:val="F50537"/>
                <w:sz w:val="19"/>
                <w:szCs w:val="19"/>
              </w:rPr>
              <w:t xml:space="preserve">▸ </w:t>
            </w:r>
            <w:r>
              <w:rPr>
                <w:rFonts w:ascii="Calibri" w:cs="Calibri" w:eastAsia="Calibri" w:hAnsi="Calibri"/>
                <w:color w:val="1A1A1A"/>
                <w:sz w:val="19"/>
                <w:szCs w:val="19"/>
              </w:rPr>
              <w:t xml:space="preserve">Trigger 2: A Qualifying Termination occurs within the Protection Period (§A.2.2–A.2.3).</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before="160" w:after="60"/>
            </w:pPr>
            <w:r>
              <w:rPr>
                <w:rFonts w:ascii="Calibri" w:cs="Calibri" w:eastAsia="Calibri" w:hAnsi="Calibri"/>
                <w:b/>
                <w:bCs/>
                <w:color w:val="1A1A1A"/>
                <w:sz w:val="21"/>
                <w:szCs w:val="21"/>
              </w:rPr>
              <w:t xml:space="preserve">A.3.2  Virkning ved dobbel trigger</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before="160" w:after="60"/>
            </w:pPr>
            <w:r>
              <w:rPr>
                <w:rFonts w:ascii="Calibri" w:cs="Calibri" w:eastAsia="Calibri" w:hAnsi="Calibri"/>
                <w:b/>
                <w:bCs/>
                <w:color w:val="1A1A1A"/>
                <w:sz w:val="21"/>
                <w:szCs w:val="21"/>
              </w:rPr>
              <w:t xml:space="preserve">A.3.2  Effect of Double Trigger</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Ved oppfyllelse av begge triggere akselererer 100 % av den berørte Partens gjenværende uvested aksjer med umiddelbar virkning. Aksjene anses fullt opptjent (vested) fra datoen for Kvalifisert oppsigelse.</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Upon satisfaction of both triggers, 100% of the affected Party’s remaining unvested shares accelerate with immediate effect. The shares are deemed fully vested from the date of the Qualifying Termination.</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before="160" w:after="60"/>
            </w:pPr>
            <w:r>
              <w:rPr>
                <w:rFonts w:ascii="Calibri" w:cs="Calibri" w:eastAsia="Calibri" w:hAnsi="Calibri"/>
                <w:b/>
                <w:bCs/>
                <w:color w:val="1A1A1A"/>
                <w:sz w:val="21"/>
                <w:szCs w:val="21"/>
              </w:rPr>
              <w:t xml:space="preserve">A.3.3  Virkning ved kun Trigger 1 (Kontrollskifte uten oppsigelse)</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before="160" w:after="60"/>
            </w:pPr>
            <w:r>
              <w:rPr>
                <w:rFonts w:ascii="Calibri" w:cs="Calibri" w:eastAsia="Calibri" w:hAnsi="Calibri"/>
                <w:b/>
                <w:bCs/>
                <w:color w:val="1A1A1A"/>
                <w:sz w:val="21"/>
                <w:szCs w:val="21"/>
              </w:rPr>
              <w:t xml:space="preserve">A.3.3  Effect of Trigger 1 Only (Change of Control without termination)</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Dersom et Kontrollskifte gjennomføres, men Parten beholder sin operative rolle, fortsetter vesting i henhold til normal plan (§2.1–2.2). Ny eier trer inn i Selskapets forpliktelser under denne Avtalen.</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If a Change of Control is completed but the Party retains their operative role, vesting continues per the normal schedule (§2.1–2.2). The new owner assumes the Company’s obligations under this Agreement.</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hd w:fill="F5F5F5" w:val="clear"/>
              <w:spacing w:before="60" w:after="60"/>
              <w:ind w:left="200" w:right="200"/>
            </w:pPr>
            <w:r>
              <w:rPr>
                <w:rFonts w:ascii="Calibri" w:cs="Calibri" w:eastAsia="Calibri" w:hAnsi="Calibri"/>
                <w:color w:val="F50537"/>
                <w:sz w:val="18"/>
                <w:szCs w:val="18"/>
              </w:rPr>
              <w:t xml:space="preserve">ℹ </w:t>
            </w:r>
            <w:r>
              <w:rPr>
                <w:rFonts w:ascii="Calibri" w:cs="Calibri" w:eastAsia="Calibri" w:hAnsi="Calibri"/>
                <w:i/>
                <w:iCs/>
                <w:color w:val="666666"/>
                <w:sz w:val="18"/>
                <w:szCs w:val="18"/>
              </w:rPr>
              <w:t xml:space="preserve">Dette er kjernen i dobbel trigger: Beholder du jobben = ingen endring. Mister du jobben etter salg = full akselerasjon. Modellen er balansert mellom gründervern og kjøperens behov for å beholde nøkkelpersonell.</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hd w:fill="F5F5F5" w:val="clear"/>
              <w:spacing w:before="60" w:after="60"/>
              <w:ind w:left="200" w:right="200"/>
            </w:pPr>
            <w:r>
              <w:rPr>
                <w:rFonts w:ascii="Calibri" w:cs="Calibri" w:eastAsia="Calibri" w:hAnsi="Calibri"/>
                <w:color w:val="F50537"/>
                <w:sz w:val="18"/>
                <w:szCs w:val="18"/>
              </w:rPr>
              <w:t xml:space="preserve">ℹ </w:t>
            </w:r>
            <w:r>
              <w:rPr>
                <w:rFonts w:ascii="Calibri" w:cs="Calibri" w:eastAsia="Calibri" w:hAnsi="Calibri"/>
                <w:i/>
                <w:iCs/>
                <w:color w:val="666666"/>
                <w:sz w:val="18"/>
                <w:szCs w:val="18"/>
              </w:rPr>
              <w:t xml:space="preserve">This is the core of double trigger: Keep your job = no change. Lose your job post-sale = full acceleration. The model balances founder protection with the acquirer’s need to retain key personnel.</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50537" w:sz="2"/>
              </w:pBdr>
              <w:spacing w:before="200" w:after="80"/>
            </w:pPr>
            <w:r>
              <w:rPr>
                <w:rFonts w:ascii="Calibri" w:cs="Calibri" w:eastAsia="Calibri" w:hAnsi="Calibri"/>
                <w:b/>
                <w:bCs/>
                <w:color w:val="F50537"/>
                <w:spacing w:val="50"/>
                <w:sz w:val="20"/>
                <w:szCs w:val="20"/>
              </w:rPr>
              <w:t xml:space="preserve">§ A.4  PROSEDYRE OG VARSLING</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50537" w:sz="2"/>
              </w:pBdr>
              <w:spacing w:before="200" w:after="80"/>
            </w:pPr>
            <w:r>
              <w:rPr>
                <w:rFonts w:ascii="Calibri" w:cs="Calibri" w:eastAsia="Calibri" w:hAnsi="Calibri"/>
                <w:b/>
                <w:bCs/>
                <w:color w:val="F50537"/>
                <w:spacing w:val="50"/>
                <w:sz w:val="20"/>
                <w:szCs w:val="20"/>
              </w:rPr>
              <w:t xml:space="preserve">§ A.4  PROCEDURE AND NOTICE</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ind w:left="300"/>
            </w:pPr>
            <w:r>
              <w:rPr>
                <w:rFonts w:ascii="Calibri" w:cs="Calibri" w:eastAsia="Calibri" w:hAnsi="Calibri"/>
                <w:b/>
                <w:bCs/>
                <w:color w:val="F50537"/>
                <w:sz w:val="19"/>
                <w:szCs w:val="19"/>
              </w:rPr>
              <w:t xml:space="preserve">(a) </w:t>
            </w:r>
            <w:r>
              <w:rPr>
                <w:rFonts w:ascii="Calibri" w:cs="Calibri" w:eastAsia="Calibri" w:hAnsi="Calibri"/>
                <w:color w:val="1A1A1A"/>
                <w:sz w:val="19"/>
                <w:szCs w:val="19"/>
              </w:rPr>
              <w:t xml:space="preserve">Varsling: Parten må skriftlig påberope seg akselerasjon innen 60 kalenderdager etter den Kvalifiserte oppsigelsen.</w:t>
            </w:r>
          </w:p>
          <w:p>
            <w:pPr>
              <w:spacing w:after="40"/>
              <w:ind w:left="300"/>
            </w:pPr>
            <w:r>
              <w:rPr>
                <w:rFonts w:ascii="Calibri" w:cs="Calibri" w:eastAsia="Calibri" w:hAnsi="Calibri"/>
                <w:b/>
                <w:bCs/>
                <w:color w:val="F50537"/>
                <w:sz w:val="19"/>
                <w:szCs w:val="19"/>
              </w:rPr>
              <w:t xml:space="preserve">(b) </w:t>
            </w:r>
            <w:r>
              <w:rPr>
                <w:rFonts w:ascii="Calibri" w:cs="Calibri" w:eastAsia="Calibri" w:hAnsi="Calibri"/>
                <w:color w:val="1A1A1A"/>
                <w:sz w:val="19"/>
                <w:szCs w:val="19"/>
              </w:rPr>
              <w:t xml:space="preserve">Dokumentasjon: Varselet skal inneholde dokumentasjon på både Kontrollskiftet og den Kvalifiserte oppsigelsen.</w:t>
            </w:r>
          </w:p>
          <w:p>
            <w:pPr>
              <w:spacing w:after="40"/>
              <w:ind w:left="300"/>
            </w:pPr>
            <w:r>
              <w:rPr>
                <w:rFonts w:ascii="Calibri" w:cs="Calibri" w:eastAsia="Calibri" w:hAnsi="Calibri"/>
                <w:b/>
                <w:bCs/>
                <w:color w:val="F50537"/>
                <w:sz w:val="19"/>
                <w:szCs w:val="19"/>
              </w:rPr>
              <w:t xml:space="preserve">(c) </w:t>
            </w:r>
            <w:r>
              <w:rPr>
                <w:rFonts w:ascii="Calibri" w:cs="Calibri" w:eastAsia="Calibri" w:hAnsi="Calibri"/>
                <w:color w:val="1A1A1A"/>
                <w:sz w:val="19"/>
                <w:szCs w:val="19"/>
              </w:rPr>
              <w:t xml:space="preserve">Styrebehandling: Styret behandler kravet innen 14 virkedager og fatter vedtak med alminnelig flertall.</w:t>
            </w:r>
          </w:p>
          <w:p>
            <w:pPr>
              <w:spacing w:after="40"/>
              <w:ind w:left="300"/>
            </w:pPr>
            <w:r>
              <w:rPr>
                <w:rFonts w:ascii="Calibri" w:cs="Calibri" w:eastAsia="Calibri" w:hAnsi="Calibri"/>
                <w:b/>
                <w:bCs/>
                <w:color w:val="F50537"/>
                <w:sz w:val="19"/>
                <w:szCs w:val="19"/>
              </w:rPr>
              <w:t xml:space="preserve">(d) </w:t>
            </w:r>
            <w:r>
              <w:rPr>
                <w:rFonts w:ascii="Calibri" w:cs="Calibri" w:eastAsia="Calibri" w:hAnsi="Calibri"/>
                <w:color w:val="1A1A1A"/>
                <w:sz w:val="19"/>
                <w:szCs w:val="19"/>
              </w:rPr>
              <w:t xml:space="preserve">Gjennomføring: Ved godkjent akselerasjon oppdateres aksjeboken innen 5 virkedager. Partens aksjer anses fullt vested.</w:t>
            </w:r>
          </w:p>
          <w:p>
            <w:pPr>
              <w:spacing w:after="40"/>
              <w:ind w:left="300"/>
            </w:pPr>
            <w:r>
              <w:rPr>
                <w:rFonts w:ascii="Calibri" w:cs="Calibri" w:eastAsia="Calibri" w:hAnsi="Calibri"/>
                <w:b/>
                <w:bCs/>
                <w:color w:val="F50537"/>
                <w:sz w:val="19"/>
                <w:szCs w:val="19"/>
              </w:rPr>
              <w:t xml:space="preserve">(e) </w:t>
            </w:r>
            <w:r>
              <w:rPr>
                <w:rFonts w:ascii="Calibri" w:cs="Calibri" w:eastAsia="Calibri" w:hAnsi="Calibri"/>
                <w:color w:val="1A1A1A"/>
                <w:sz w:val="19"/>
                <w:szCs w:val="19"/>
              </w:rPr>
              <w:t xml:space="preserve">Tvist: Dersom Styret avviser kravet, kan Parten kreve voldgift iht. §14. Tapende part bærer begge parters rimelige sakskostnader.</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ind w:left="300"/>
            </w:pPr>
            <w:r>
              <w:rPr>
                <w:rFonts w:ascii="Calibri" w:cs="Calibri" w:eastAsia="Calibri" w:hAnsi="Calibri"/>
                <w:b/>
                <w:bCs/>
                <w:color w:val="F50537"/>
                <w:sz w:val="19"/>
                <w:szCs w:val="19"/>
              </w:rPr>
              <w:t xml:space="preserve">(a) </w:t>
            </w:r>
            <w:r>
              <w:rPr>
                <w:rFonts w:ascii="Calibri" w:cs="Calibri" w:eastAsia="Calibri" w:hAnsi="Calibri"/>
                <w:color w:val="1A1A1A"/>
                <w:sz w:val="19"/>
                <w:szCs w:val="19"/>
              </w:rPr>
              <w:t xml:space="preserve">Notice: The Party must invoke acceleration in writing within 60 calendar days of the Qualifying Termination.</w:t>
            </w:r>
          </w:p>
          <w:p>
            <w:pPr>
              <w:spacing w:after="40"/>
              <w:ind w:left="300"/>
            </w:pPr>
            <w:r>
              <w:rPr>
                <w:rFonts w:ascii="Calibri" w:cs="Calibri" w:eastAsia="Calibri" w:hAnsi="Calibri"/>
                <w:b/>
                <w:bCs/>
                <w:color w:val="F50537"/>
                <w:sz w:val="19"/>
                <w:szCs w:val="19"/>
              </w:rPr>
              <w:t xml:space="preserve">(b) </w:t>
            </w:r>
            <w:r>
              <w:rPr>
                <w:rFonts w:ascii="Calibri" w:cs="Calibri" w:eastAsia="Calibri" w:hAnsi="Calibri"/>
                <w:color w:val="1A1A1A"/>
                <w:sz w:val="19"/>
                <w:szCs w:val="19"/>
              </w:rPr>
              <w:t xml:space="preserve">Documentation: The notice must include evidence of both the Change of Control and the Qualifying Termination.</w:t>
            </w:r>
          </w:p>
          <w:p>
            <w:pPr>
              <w:spacing w:after="40"/>
              <w:ind w:left="300"/>
            </w:pPr>
            <w:r>
              <w:rPr>
                <w:rFonts w:ascii="Calibri" w:cs="Calibri" w:eastAsia="Calibri" w:hAnsi="Calibri"/>
                <w:b/>
                <w:bCs/>
                <w:color w:val="F50537"/>
                <w:sz w:val="19"/>
                <w:szCs w:val="19"/>
              </w:rPr>
              <w:t xml:space="preserve">(c) </w:t>
            </w:r>
            <w:r>
              <w:rPr>
                <w:rFonts w:ascii="Calibri" w:cs="Calibri" w:eastAsia="Calibri" w:hAnsi="Calibri"/>
                <w:color w:val="1A1A1A"/>
                <w:sz w:val="19"/>
                <w:szCs w:val="19"/>
              </w:rPr>
              <w:t xml:space="preserve">Board Resolution: The Board considers the claim within 14 business days and resolves by simple majority.</w:t>
            </w:r>
          </w:p>
          <w:p>
            <w:pPr>
              <w:spacing w:after="40"/>
              <w:ind w:left="300"/>
            </w:pPr>
            <w:r>
              <w:rPr>
                <w:rFonts w:ascii="Calibri" w:cs="Calibri" w:eastAsia="Calibri" w:hAnsi="Calibri"/>
                <w:b/>
                <w:bCs/>
                <w:color w:val="F50537"/>
                <w:sz w:val="19"/>
                <w:szCs w:val="19"/>
              </w:rPr>
              <w:t xml:space="preserve">(d) </w:t>
            </w:r>
            <w:r>
              <w:rPr>
                <w:rFonts w:ascii="Calibri" w:cs="Calibri" w:eastAsia="Calibri" w:hAnsi="Calibri"/>
                <w:color w:val="1A1A1A"/>
                <w:sz w:val="19"/>
                <w:szCs w:val="19"/>
              </w:rPr>
              <w:t xml:space="preserve">Execution: Upon approved acceleration, the share register is updated within 5 business days. The Party’s shares are deemed fully vested.</w:t>
            </w:r>
          </w:p>
          <w:p>
            <w:pPr>
              <w:spacing w:after="40"/>
              <w:ind w:left="300"/>
            </w:pPr>
            <w:r>
              <w:rPr>
                <w:rFonts w:ascii="Calibri" w:cs="Calibri" w:eastAsia="Calibri" w:hAnsi="Calibri"/>
                <w:b/>
                <w:bCs/>
                <w:color w:val="F50537"/>
                <w:sz w:val="19"/>
                <w:szCs w:val="19"/>
              </w:rPr>
              <w:t xml:space="preserve">(e) </w:t>
            </w:r>
            <w:r>
              <w:rPr>
                <w:rFonts w:ascii="Calibri" w:cs="Calibri" w:eastAsia="Calibri" w:hAnsi="Calibri"/>
                <w:color w:val="1A1A1A"/>
                <w:sz w:val="19"/>
                <w:szCs w:val="19"/>
              </w:rPr>
              <w:t xml:space="preserve">Dispute: If the Board rejects the claim, the Party may request arbitration per §14. The losing party bears both parties’ reasonable legal costs.</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50537" w:sz="2"/>
              </w:pBdr>
              <w:spacing w:before="200" w:after="80"/>
            </w:pPr>
            <w:r>
              <w:rPr>
                <w:rFonts w:ascii="Calibri" w:cs="Calibri" w:eastAsia="Calibri" w:hAnsi="Calibri"/>
                <w:b/>
                <w:bCs/>
                <w:color w:val="F50537"/>
                <w:spacing w:val="50"/>
                <w:sz w:val="20"/>
                <w:szCs w:val="20"/>
              </w:rPr>
              <w:t xml:space="preserve">§ A.5  UNNTAK OG BEGRENSNINGER</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50537" w:sz="2"/>
              </w:pBdr>
              <w:spacing w:before="200" w:after="80"/>
            </w:pPr>
            <w:r>
              <w:rPr>
                <w:rFonts w:ascii="Calibri" w:cs="Calibri" w:eastAsia="Calibri" w:hAnsi="Calibri"/>
                <w:b/>
                <w:bCs/>
                <w:color w:val="F50537"/>
                <w:spacing w:val="50"/>
                <w:sz w:val="20"/>
                <w:szCs w:val="20"/>
              </w:rPr>
              <w:t xml:space="preserve">§ A.5  EXCEPTIONS AND LIMITATIONS</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Akselerasjon gjelder IKKE dersom:</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Acceleration does NOT apply if:</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ind w:left="300"/>
            </w:pPr>
            <w:r>
              <w:rPr>
                <w:rFonts w:ascii="Calibri" w:cs="Calibri" w:eastAsia="Calibri" w:hAnsi="Calibri"/>
                <w:b/>
                <w:bCs/>
                <w:color w:val="F50537"/>
                <w:sz w:val="19"/>
                <w:szCs w:val="19"/>
              </w:rPr>
              <w:t xml:space="preserve">(a) </w:t>
            </w:r>
            <w:r>
              <w:rPr>
                <w:rFonts w:ascii="Calibri" w:cs="Calibri" w:eastAsia="Calibri" w:hAnsi="Calibri"/>
                <w:color w:val="1A1A1A"/>
                <w:sz w:val="19"/>
                <w:szCs w:val="19"/>
              </w:rPr>
              <w:t xml:space="preserve">Parten har status som Bad Leaver (§8.2) på tidspunktet for Kontrollskiftet eller den angivelige Kvalifiserte oppsigelsen. Bad Leaver-reglene overstyrer akselerasjon.</w:t>
            </w:r>
          </w:p>
          <w:p>
            <w:pPr>
              <w:spacing w:after="40"/>
              <w:ind w:left="300"/>
            </w:pPr>
            <w:r>
              <w:rPr>
                <w:rFonts w:ascii="Calibri" w:cs="Calibri" w:eastAsia="Calibri" w:hAnsi="Calibri"/>
                <w:b/>
                <w:bCs/>
                <w:color w:val="F50537"/>
                <w:sz w:val="19"/>
                <w:szCs w:val="19"/>
              </w:rPr>
              <w:t xml:space="preserve">(b) </w:t>
            </w:r>
            <w:r>
              <w:rPr>
                <w:rFonts w:ascii="Calibri" w:cs="Calibri" w:eastAsia="Calibri" w:hAnsi="Calibri"/>
                <w:color w:val="1A1A1A"/>
                <w:sz w:val="19"/>
                <w:szCs w:val="19"/>
              </w:rPr>
              <w:t xml:space="preserve">Parten frivillig fratrer sin stilling uten at vilkårene for Kvalifisert oppsigelse er oppfylt (§A.2.2).</w:t>
            </w:r>
          </w:p>
          <w:p>
            <w:pPr>
              <w:spacing w:after="40"/>
              <w:ind w:left="300"/>
            </w:pPr>
            <w:r>
              <w:rPr>
                <w:rFonts w:ascii="Calibri" w:cs="Calibri" w:eastAsia="Calibri" w:hAnsi="Calibri"/>
                <w:b/>
                <w:bCs/>
                <w:color w:val="F50537"/>
                <w:sz w:val="19"/>
                <w:szCs w:val="19"/>
              </w:rPr>
              <w:t xml:space="preserve">(c) </w:t>
            </w:r>
            <w:r>
              <w:rPr>
                <w:rFonts w:ascii="Calibri" w:cs="Calibri" w:eastAsia="Calibri" w:hAnsi="Calibri"/>
                <w:color w:val="1A1A1A"/>
                <w:sz w:val="19"/>
                <w:szCs w:val="19"/>
              </w:rPr>
              <w:t xml:space="preserve">Oppsigelsen skyldes en hendelse som ville kvalifisert som Bad Leaver uavhengig av Kontrollskiftet.</w:t>
            </w:r>
          </w:p>
          <w:p>
            <w:pPr>
              <w:spacing w:after="40"/>
              <w:ind w:left="300"/>
            </w:pPr>
            <w:r>
              <w:rPr>
                <w:rFonts w:ascii="Calibri" w:cs="Calibri" w:eastAsia="Calibri" w:hAnsi="Calibri"/>
                <w:b/>
                <w:bCs/>
                <w:color w:val="F50537"/>
                <w:sz w:val="19"/>
                <w:szCs w:val="19"/>
              </w:rPr>
              <w:t xml:space="preserve">(d) </w:t>
            </w:r>
            <w:r>
              <w:rPr>
                <w:rFonts w:ascii="Calibri" w:cs="Calibri" w:eastAsia="Calibri" w:hAnsi="Calibri"/>
                <w:color w:val="1A1A1A"/>
                <w:sz w:val="19"/>
                <w:szCs w:val="19"/>
              </w:rPr>
              <w:t xml:space="preserve">Parten og Selskapet (eller ny eier) inngår en gjensidig fratrådelsesavtale som eksplisitt frafaller akselerasjonsrettigheter.</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ind w:left="300"/>
            </w:pPr>
            <w:r>
              <w:rPr>
                <w:rFonts w:ascii="Calibri" w:cs="Calibri" w:eastAsia="Calibri" w:hAnsi="Calibri"/>
                <w:b/>
                <w:bCs/>
                <w:color w:val="F50537"/>
                <w:sz w:val="19"/>
                <w:szCs w:val="19"/>
              </w:rPr>
              <w:t xml:space="preserve">(a) </w:t>
            </w:r>
            <w:r>
              <w:rPr>
                <w:rFonts w:ascii="Calibri" w:cs="Calibri" w:eastAsia="Calibri" w:hAnsi="Calibri"/>
                <w:color w:val="1A1A1A"/>
                <w:sz w:val="19"/>
                <w:szCs w:val="19"/>
              </w:rPr>
              <w:t xml:space="preserve">The Party has Bad Leaver status (§8.2) at the time of the Change of Control or the alleged Qualifying Termination. Bad Leaver provisions override acceleration.</w:t>
            </w:r>
          </w:p>
          <w:p>
            <w:pPr>
              <w:spacing w:after="40"/>
              <w:ind w:left="300"/>
            </w:pPr>
            <w:r>
              <w:rPr>
                <w:rFonts w:ascii="Calibri" w:cs="Calibri" w:eastAsia="Calibri" w:hAnsi="Calibri"/>
                <w:b/>
                <w:bCs/>
                <w:color w:val="F50537"/>
                <w:sz w:val="19"/>
                <w:szCs w:val="19"/>
              </w:rPr>
              <w:t xml:space="preserve">(b) </w:t>
            </w:r>
            <w:r>
              <w:rPr>
                <w:rFonts w:ascii="Calibri" w:cs="Calibri" w:eastAsia="Calibri" w:hAnsi="Calibri"/>
                <w:color w:val="1A1A1A"/>
                <w:sz w:val="19"/>
                <w:szCs w:val="19"/>
              </w:rPr>
              <w:t xml:space="preserve">The Party voluntarily resigns without the conditions for Qualifying Termination being met (§A.2.2).</w:t>
            </w:r>
          </w:p>
          <w:p>
            <w:pPr>
              <w:spacing w:after="40"/>
              <w:ind w:left="300"/>
            </w:pPr>
            <w:r>
              <w:rPr>
                <w:rFonts w:ascii="Calibri" w:cs="Calibri" w:eastAsia="Calibri" w:hAnsi="Calibri"/>
                <w:b/>
                <w:bCs/>
                <w:color w:val="F50537"/>
                <w:sz w:val="19"/>
                <w:szCs w:val="19"/>
              </w:rPr>
              <w:t xml:space="preserve">(c) </w:t>
            </w:r>
            <w:r>
              <w:rPr>
                <w:rFonts w:ascii="Calibri" w:cs="Calibri" w:eastAsia="Calibri" w:hAnsi="Calibri"/>
                <w:color w:val="1A1A1A"/>
                <w:sz w:val="19"/>
                <w:szCs w:val="19"/>
              </w:rPr>
              <w:t xml:space="preserve">The termination is caused by an event that would qualify as Bad Leaver irrespective of the Change of Control.</w:t>
            </w:r>
          </w:p>
          <w:p>
            <w:pPr>
              <w:spacing w:after="40"/>
              <w:ind w:left="300"/>
            </w:pPr>
            <w:r>
              <w:rPr>
                <w:rFonts w:ascii="Calibri" w:cs="Calibri" w:eastAsia="Calibri" w:hAnsi="Calibri"/>
                <w:b/>
                <w:bCs/>
                <w:color w:val="F50537"/>
                <w:sz w:val="19"/>
                <w:szCs w:val="19"/>
              </w:rPr>
              <w:t xml:space="preserve">(d) </w:t>
            </w:r>
            <w:r>
              <w:rPr>
                <w:rFonts w:ascii="Calibri" w:cs="Calibri" w:eastAsia="Calibri" w:hAnsi="Calibri"/>
                <w:color w:val="1A1A1A"/>
                <w:sz w:val="19"/>
                <w:szCs w:val="19"/>
              </w:rPr>
              <w:t xml:space="preserve">The Party and the Company (or new owner) enter into a mutual separation agreement that explicitly waives acceleration rights.</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hd w:fill="F5F5F5" w:val="clear"/>
              <w:spacing w:before="60" w:after="60"/>
              <w:ind w:left="200" w:right="200"/>
            </w:pPr>
            <w:r>
              <w:rPr>
                <w:rFonts w:ascii="Calibri" w:cs="Calibri" w:eastAsia="Calibri" w:hAnsi="Calibri"/>
                <w:color w:val="F50537"/>
                <w:sz w:val="18"/>
                <w:szCs w:val="18"/>
              </w:rPr>
              <w:t xml:space="preserve">ℹ </w:t>
            </w:r>
            <w:r>
              <w:rPr>
                <w:rFonts w:ascii="Calibri" w:cs="Calibri" w:eastAsia="Calibri" w:hAnsi="Calibri"/>
                <w:i/>
                <w:iCs/>
                <w:color w:val="666666"/>
                <w:sz w:val="18"/>
                <w:szCs w:val="18"/>
              </w:rPr>
              <w:t xml:space="preserve">Garden leave-perioder teller ikke som Kvalifisert oppsigelse så lenge lønn og fordeler opprettholdes. Formell oppsigelsesdato er avgjørende.</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hd w:fill="F5F5F5" w:val="clear"/>
              <w:spacing w:before="60" w:after="60"/>
              <w:ind w:left="200" w:right="200"/>
            </w:pPr>
            <w:r>
              <w:rPr>
                <w:rFonts w:ascii="Calibri" w:cs="Calibri" w:eastAsia="Calibri" w:hAnsi="Calibri"/>
                <w:color w:val="F50537"/>
                <w:sz w:val="18"/>
                <w:szCs w:val="18"/>
              </w:rPr>
              <w:t xml:space="preserve">ℹ </w:t>
            </w:r>
            <w:r>
              <w:rPr>
                <w:rFonts w:ascii="Calibri" w:cs="Calibri" w:eastAsia="Calibri" w:hAnsi="Calibri"/>
                <w:i/>
                <w:iCs/>
                <w:color w:val="666666"/>
                <w:sz w:val="18"/>
                <w:szCs w:val="18"/>
              </w:rPr>
              <w:t xml:space="preserve">Garden leave periods do not count as Qualifying Termination provided salary and benefits are maintained. The formal termination date is determinative.</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50537" w:sz="2"/>
              </w:pBdr>
              <w:spacing w:before="200" w:after="80"/>
            </w:pPr>
            <w:r>
              <w:rPr>
                <w:rFonts w:ascii="Calibri" w:cs="Calibri" w:eastAsia="Calibri" w:hAnsi="Calibri"/>
                <w:b/>
                <w:bCs/>
                <w:color w:val="F50537"/>
                <w:spacing w:val="50"/>
                <w:sz w:val="20"/>
                <w:szCs w:val="20"/>
              </w:rPr>
              <w:t xml:space="preserve">§ A.6  BEREGNINGSEKSEMPLER</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50537" w:sz="2"/>
              </w:pBdr>
              <w:spacing w:before="200" w:after="80"/>
            </w:pPr>
            <w:r>
              <w:rPr>
                <w:rFonts w:ascii="Calibri" w:cs="Calibri" w:eastAsia="Calibri" w:hAnsi="Calibri"/>
                <w:b/>
                <w:bCs/>
                <w:color w:val="F50537"/>
                <w:spacing w:val="50"/>
                <w:sz w:val="20"/>
                <w:szCs w:val="20"/>
              </w:rPr>
              <w:t xml:space="preserve">§ A.6  CALCULATION EXAMPLES</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Eksemplene nedenfor illustrerer utfallet for Hölen Industrier AS (562 500 aksjer) ved salg på ulike tidspunkt, forutsatt at Kvalifisert oppsigelse inntreffer innen Beskyttelsesperioden.</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The examples below illustrate the outcome for Hölen Industrier AS (562,500 shares) upon sale at various points, assuming Qualifying Termination occurs within the Protection Period.</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Scenario: Salg + Kvalifisert oppsigelse (begge triggere oppfylt):</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200"/>
              <w:gridCol w:w="1400"/>
            </w:tblGrid>
            <w:tr>
              <w:tc>
                <w:tcPr>
                  <w:tcW w:type="dxa" w:w="900"/>
                  <w:tcBorders>
                    <w:top w:val="single" w:color="CCCCCC" w:sz="1"/>
                    <w:left w:val="single" w:color="CCCCCC" w:sz="1"/>
                    <w:bottom w:val="single" w:color="CCCCCC" w:sz="1"/>
                    <w:right w:val="single" w:color="CCCCCC" w:sz="1"/>
                  </w:tcBorders>
                  <w:shd w:fill="D5E8F0" w:val="clear"/>
                  <w:tcMar>
                    <w:top w:type="dxa" w:w="30"/>
                    <w:left w:type="dxa" w:w="40"/>
                    <w:bottom w:type="dxa" w:w="30"/>
                    <w:right w:type="dxa" w:w="40"/>
                  </w:tcMar>
                </w:tcPr>
                <w:p>
                  <w:r>
                    <w:rPr>
                      <w:rFonts w:ascii="Calibri" w:cs="Calibri" w:eastAsia="Calibri" w:hAnsi="Calibri"/>
                      <w:b/>
                      <w:bCs/>
                      <w:color w:val="1A1A1A"/>
                      <w:sz w:val="16"/>
                      <w:szCs w:val="16"/>
                    </w:rPr>
                    <w:t xml:space="preserve">Mnd</w:t>
                  </w:r>
                </w:p>
              </w:tc>
              <w:tc>
                <w:tcPr>
                  <w:tcW w:type="dxa" w:w="1100"/>
                  <w:tcBorders>
                    <w:top w:val="single" w:color="CCCCCC" w:sz="1"/>
                    <w:left w:val="single" w:color="CCCCCC" w:sz="1"/>
                    <w:bottom w:val="single" w:color="CCCCCC" w:sz="1"/>
                    <w:right w:val="single" w:color="CCCCCC" w:sz="1"/>
                  </w:tcBorders>
                  <w:shd w:fill="D5E8F0" w:val="clear"/>
                  <w:tcMar>
                    <w:top w:type="dxa" w:w="30"/>
                    <w:left w:type="dxa" w:w="40"/>
                    <w:bottom w:type="dxa" w:w="30"/>
                    <w:right w:type="dxa" w:w="40"/>
                  </w:tcMar>
                </w:tcPr>
                <w:p>
                  <w:r>
                    <w:rPr>
                      <w:rFonts w:ascii="Calibri" w:cs="Calibri" w:eastAsia="Calibri" w:hAnsi="Calibri"/>
                      <w:b/>
                      <w:bCs/>
                      <w:color w:val="1A1A1A"/>
                      <w:sz w:val="16"/>
                      <w:szCs w:val="16"/>
                    </w:rPr>
                    <w:t xml:space="preserve">Vested %</w:t>
                  </w:r>
                </w:p>
              </w:tc>
              <w:tc>
                <w:tcPr>
                  <w:tcW w:type="dxa" w:w="1200"/>
                  <w:tcBorders>
                    <w:top w:val="single" w:color="CCCCCC" w:sz="1"/>
                    <w:left w:val="single" w:color="CCCCCC" w:sz="1"/>
                    <w:bottom w:val="single" w:color="CCCCCC" w:sz="1"/>
                    <w:right w:val="single" w:color="CCCCCC" w:sz="1"/>
                  </w:tcBorders>
                  <w:shd w:fill="D5E8F0" w:val="clear"/>
                  <w:tcMar>
                    <w:top w:type="dxa" w:w="30"/>
                    <w:left w:type="dxa" w:w="40"/>
                    <w:bottom w:type="dxa" w:w="30"/>
                    <w:right w:type="dxa" w:w="40"/>
                  </w:tcMar>
                </w:tcPr>
                <w:p>
                  <w:r>
                    <w:rPr>
                      <w:rFonts w:ascii="Calibri" w:cs="Calibri" w:eastAsia="Calibri" w:hAnsi="Calibri"/>
                      <w:b/>
                      <w:bCs/>
                      <w:color w:val="1A1A1A"/>
                      <w:sz w:val="16"/>
                      <w:szCs w:val="16"/>
                    </w:rPr>
                    <w:t xml:space="preserve">Unvested %</w:t>
                  </w:r>
                </w:p>
              </w:tc>
              <w:tc>
                <w:tcPr>
                  <w:tcW w:type="dxa" w:w="1400"/>
                  <w:tcBorders>
                    <w:top w:val="single" w:color="CCCCCC" w:sz="1"/>
                    <w:left w:val="single" w:color="CCCCCC" w:sz="1"/>
                    <w:bottom w:val="single" w:color="CCCCCC" w:sz="1"/>
                    <w:right w:val="single" w:color="CCCCCC" w:sz="1"/>
                  </w:tcBorders>
                  <w:shd w:fill="D5E8F0" w:val="clear"/>
                  <w:tcMar>
                    <w:top w:type="dxa" w:w="30"/>
                    <w:left w:type="dxa" w:w="40"/>
                    <w:bottom w:type="dxa" w:w="30"/>
                    <w:right w:type="dxa" w:w="40"/>
                  </w:tcMar>
                </w:tcPr>
                <w:p>
                  <w:r>
                    <w:rPr>
                      <w:rFonts w:ascii="Calibri" w:cs="Calibri" w:eastAsia="Calibri" w:hAnsi="Calibri"/>
                      <w:b/>
                      <w:bCs/>
                      <w:color w:val="1A1A1A"/>
                      <w:sz w:val="16"/>
                      <w:szCs w:val="16"/>
                    </w:rPr>
                    <w:t xml:space="preserve">Akselerert?</w:t>
                  </w:r>
                </w:p>
              </w:tc>
            </w:tr>
            <w:tr>
              <w:tc>
                <w:tcPr>
                  <w:tcW w:type="dxa" w:w="9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18</w:t>
                  </w:r>
                </w:p>
              </w:tc>
              <w:tc>
                <w:tcPr>
                  <w:tcW w:type="dxa" w:w="11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25.0%</w:t>
                  </w:r>
                </w:p>
              </w:tc>
              <w:tc>
                <w:tcPr>
                  <w:tcW w:type="dxa" w:w="12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75.0%</w:t>
                  </w:r>
                </w:p>
              </w:tc>
              <w:tc>
                <w:tcPr>
                  <w:tcW w:type="dxa" w:w="14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Ja / Yes</w:t>
                  </w:r>
                </w:p>
              </w:tc>
            </w:tr>
            <w:tr>
              <w:tc>
                <w:tcPr>
                  <w:tcW w:type="dxa" w:w="9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24</w:t>
                  </w:r>
                </w:p>
              </w:tc>
              <w:tc>
                <w:tcPr>
                  <w:tcW w:type="dxa" w:w="11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41.7%</w:t>
                  </w:r>
                </w:p>
              </w:tc>
              <w:tc>
                <w:tcPr>
                  <w:tcW w:type="dxa" w:w="12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58.3%</w:t>
                  </w:r>
                </w:p>
              </w:tc>
              <w:tc>
                <w:tcPr>
                  <w:tcW w:type="dxa" w:w="14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Ja / Yes</w:t>
                  </w:r>
                </w:p>
              </w:tc>
            </w:tr>
            <w:tr>
              <w:tc>
                <w:tcPr>
                  <w:tcW w:type="dxa" w:w="9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30</w:t>
                  </w:r>
                </w:p>
              </w:tc>
              <w:tc>
                <w:tcPr>
                  <w:tcW w:type="dxa" w:w="11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58.3%</w:t>
                  </w:r>
                </w:p>
              </w:tc>
              <w:tc>
                <w:tcPr>
                  <w:tcW w:type="dxa" w:w="12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41.7%</w:t>
                  </w:r>
                </w:p>
              </w:tc>
              <w:tc>
                <w:tcPr>
                  <w:tcW w:type="dxa" w:w="14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Ja / Yes</w:t>
                  </w:r>
                </w:p>
              </w:tc>
            </w:tr>
            <w:tr>
              <w:tc>
                <w:tcPr>
                  <w:tcW w:type="dxa" w:w="9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36</w:t>
                  </w:r>
                </w:p>
              </w:tc>
              <w:tc>
                <w:tcPr>
                  <w:tcW w:type="dxa" w:w="11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75.0%</w:t>
                  </w:r>
                </w:p>
              </w:tc>
              <w:tc>
                <w:tcPr>
                  <w:tcW w:type="dxa" w:w="12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25.0%</w:t>
                  </w:r>
                </w:p>
              </w:tc>
              <w:tc>
                <w:tcPr>
                  <w:tcW w:type="dxa" w:w="14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Ja / Yes</w:t>
                  </w:r>
                </w:p>
              </w:tc>
            </w:tr>
            <w:tr>
              <w:tc>
                <w:tcPr>
                  <w:tcW w:type="dxa" w:w="9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42</w:t>
                  </w:r>
                </w:p>
              </w:tc>
              <w:tc>
                <w:tcPr>
                  <w:tcW w:type="dxa" w:w="11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91.7%</w:t>
                  </w:r>
                </w:p>
              </w:tc>
              <w:tc>
                <w:tcPr>
                  <w:tcW w:type="dxa" w:w="12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8.3%</w:t>
                  </w:r>
                </w:p>
              </w:tc>
              <w:tc>
                <w:tcPr>
                  <w:tcW w:type="dxa" w:w="14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Ja / Yes</w:t>
                  </w:r>
                </w:p>
              </w:tc>
            </w:tr>
            <w:tr>
              <w:tc>
                <w:tcPr>
                  <w:tcW w:type="dxa" w:w="9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48</w:t>
                  </w:r>
                </w:p>
              </w:tc>
              <w:tc>
                <w:tcPr>
                  <w:tcW w:type="dxa" w:w="11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100%</w:t>
                  </w:r>
                </w:p>
              </w:tc>
              <w:tc>
                <w:tcPr>
                  <w:tcW w:type="dxa" w:w="12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0%</w:t>
                  </w:r>
                </w:p>
              </w:tc>
              <w:tc>
                <w:tcPr>
                  <w:tcW w:type="dxa" w:w="14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N/A</w:t>
                  </w:r>
                </w:p>
              </w:tc>
            </w:tr>
          </w:tbl>
          <w:p>
            <w:pPr>
              <w:spacing w:before="80"/>
            </w:pPr>
          </w:p>
          <w:p>
            <w:pPr>
              <w:spacing w:after="60"/>
            </w:pPr>
            <w:r>
              <w:rPr>
                <w:rFonts w:ascii="Calibri" w:cs="Calibri" w:eastAsia="Calibri" w:hAnsi="Calibri"/>
                <w:b w:val="false"/>
                <w:bCs w:val="false"/>
                <w:i w:val="false"/>
                <w:iCs w:val="false"/>
                <w:color w:val="1A1A1A"/>
                <w:sz w:val="20"/>
                <w:szCs w:val="20"/>
              </w:rPr>
              <w:t xml:space="preserve">Ved måned 18: 25 % er vested normalt (cliff). 75 % akselererer = alle 562 500 aksjer fullt vested.</w:t>
            </w:r>
          </w:p>
          <w:p>
            <w:pPr>
              <w:spacing w:after="60"/>
            </w:pPr>
            <w:r>
              <w:rPr>
                <w:rFonts w:ascii="Calibri" w:cs="Calibri" w:eastAsia="Calibri" w:hAnsi="Calibri"/>
                <w:b w:val="false"/>
                <w:bCs w:val="false"/>
                <w:i w:val="false"/>
                <w:iCs w:val="false"/>
                <w:color w:val="1A1A1A"/>
                <w:sz w:val="20"/>
                <w:szCs w:val="20"/>
              </w:rPr>
              <w:t xml:space="preserve">Ved måned 48: Alle aksjer er allerede fullt vested. Akselerasjon er uten praktisk betydning.</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Scenario: Sale + Qualifying Termination (both triggers satisfied):</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200"/>
              <w:gridCol w:w="1400"/>
            </w:tblGrid>
            <w:tr>
              <w:tc>
                <w:tcPr>
                  <w:tcW w:type="dxa" w:w="900"/>
                  <w:tcBorders>
                    <w:top w:val="single" w:color="CCCCCC" w:sz="1"/>
                    <w:left w:val="single" w:color="CCCCCC" w:sz="1"/>
                    <w:bottom w:val="single" w:color="CCCCCC" w:sz="1"/>
                    <w:right w:val="single" w:color="CCCCCC" w:sz="1"/>
                  </w:tcBorders>
                  <w:shd w:fill="D5E8F0" w:val="clear"/>
                  <w:tcMar>
                    <w:top w:type="dxa" w:w="30"/>
                    <w:left w:type="dxa" w:w="40"/>
                    <w:bottom w:type="dxa" w:w="30"/>
                    <w:right w:type="dxa" w:w="40"/>
                  </w:tcMar>
                </w:tcPr>
                <w:p>
                  <w:r>
                    <w:rPr>
                      <w:rFonts w:ascii="Calibri" w:cs="Calibri" w:eastAsia="Calibri" w:hAnsi="Calibri"/>
                      <w:b/>
                      <w:bCs/>
                      <w:color w:val="1A1A1A"/>
                      <w:sz w:val="16"/>
                      <w:szCs w:val="16"/>
                    </w:rPr>
                    <w:t xml:space="preserve">Mo.</w:t>
                  </w:r>
                </w:p>
              </w:tc>
              <w:tc>
                <w:tcPr>
                  <w:tcW w:type="dxa" w:w="1100"/>
                  <w:tcBorders>
                    <w:top w:val="single" w:color="CCCCCC" w:sz="1"/>
                    <w:left w:val="single" w:color="CCCCCC" w:sz="1"/>
                    <w:bottom w:val="single" w:color="CCCCCC" w:sz="1"/>
                    <w:right w:val="single" w:color="CCCCCC" w:sz="1"/>
                  </w:tcBorders>
                  <w:shd w:fill="D5E8F0" w:val="clear"/>
                  <w:tcMar>
                    <w:top w:type="dxa" w:w="30"/>
                    <w:left w:type="dxa" w:w="40"/>
                    <w:bottom w:type="dxa" w:w="30"/>
                    <w:right w:type="dxa" w:w="40"/>
                  </w:tcMar>
                </w:tcPr>
                <w:p>
                  <w:r>
                    <w:rPr>
                      <w:rFonts w:ascii="Calibri" w:cs="Calibri" w:eastAsia="Calibri" w:hAnsi="Calibri"/>
                      <w:b/>
                      <w:bCs/>
                      <w:color w:val="1A1A1A"/>
                      <w:sz w:val="16"/>
                      <w:szCs w:val="16"/>
                    </w:rPr>
                    <w:t xml:space="preserve">Vested %</w:t>
                  </w:r>
                </w:p>
              </w:tc>
              <w:tc>
                <w:tcPr>
                  <w:tcW w:type="dxa" w:w="1200"/>
                  <w:tcBorders>
                    <w:top w:val="single" w:color="CCCCCC" w:sz="1"/>
                    <w:left w:val="single" w:color="CCCCCC" w:sz="1"/>
                    <w:bottom w:val="single" w:color="CCCCCC" w:sz="1"/>
                    <w:right w:val="single" w:color="CCCCCC" w:sz="1"/>
                  </w:tcBorders>
                  <w:shd w:fill="D5E8F0" w:val="clear"/>
                  <w:tcMar>
                    <w:top w:type="dxa" w:w="30"/>
                    <w:left w:type="dxa" w:w="40"/>
                    <w:bottom w:type="dxa" w:w="30"/>
                    <w:right w:type="dxa" w:w="40"/>
                  </w:tcMar>
                </w:tcPr>
                <w:p>
                  <w:r>
                    <w:rPr>
                      <w:rFonts w:ascii="Calibri" w:cs="Calibri" w:eastAsia="Calibri" w:hAnsi="Calibri"/>
                      <w:b/>
                      <w:bCs/>
                      <w:color w:val="1A1A1A"/>
                      <w:sz w:val="16"/>
                      <w:szCs w:val="16"/>
                    </w:rPr>
                    <w:t xml:space="preserve">Unvested %</w:t>
                  </w:r>
                </w:p>
              </w:tc>
              <w:tc>
                <w:tcPr>
                  <w:tcW w:type="dxa" w:w="1400"/>
                  <w:tcBorders>
                    <w:top w:val="single" w:color="CCCCCC" w:sz="1"/>
                    <w:left w:val="single" w:color="CCCCCC" w:sz="1"/>
                    <w:bottom w:val="single" w:color="CCCCCC" w:sz="1"/>
                    <w:right w:val="single" w:color="CCCCCC" w:sz="1"/>
                  </w:tcBorders>
                  <w:shd w:fill="D5E8F0" w:val="clear"/>
                  <w:tcMar>
                    <w:top w:type="dxa" w:w="30"/>
                    <w:left w:type="dxa" w:w="40"/>
                    <w:bottom w:type="dxa" w:w="30"/>
                    <w:right w:type="dxa" w:w="40"/>
                  </w:tcMar>
                </w:tcPr>
                <w:p>
                  <w:r>
                    <w:rPr>
                      <w:rFonts w:ascii="Calibri" w:cs="Calibri" w:eastAsia="Calibri" w:hAnsi="Calibri"/>
                      <w:b/>
                      <w:bCs/>
                      <w:color w:val="1A1A1A"/>
                      <w:sz w:val="16"/>
                      <w:szCs w:val="16"/>
                    </w:rPr>
                    <w:t xml:space="preserve">Accelerated?</w:t>
                  </w:r>
                </w:p>
              </w:tc>
            </w:tr>
            <w:tr>
              <w:tc>
                <w:tcPr>
                  <w:tcW w:type="dxa" w:w="9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18</w:t>
                  </w:r>
                </w:p>
              </w:tc>
              <w:tc>
                <w:tcPr>
                  <w:tcW w:type="dxa" w:w="11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25.0%</w:t>
                  </w:r>
                </w:p>
              </w:tc>
              <w:tc>
                <w:tcPr>
                  <w:tcW w:type="dxa" w:w="12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75.0%</w:t>
                  </w:r>
                </w:p>
              </w:tc>
              <w:tc>
                <w:tcPr>
                  <w:tcW w:type="dxa" w:w="14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Ja / Yes</w:t>
                  </w:r>
                </w:p>
              </w:tc>
            </w:tr>
            <w:tr>
              <w:tc>
                <w:tcPr>
                  <w:tcW w:type="dxa" w:w="9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24</w:t>
                  </w:r>
                </w:p>
              </w:tc>
              <w:tc>
                <w:tcPr>
                  <w:tcW w:type="dxa" w:w="11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41.7%</w:t>
                  </w:r>
                </w:p>
              </w:tc>
              <w:tc>
                <w:tcPr>
                  <w:tcW w:type="dxa" w:w="12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58.3%</w:t>
                  </w:r>
                </w:p>
              </w:tc>
              <w:tc>
                <w:tcPr>
                  <w:tcW w:type="dxa" w:w="14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Ja / Yes</w:t>
                  </w:r>
                </w:p>
              </w:tc>
            </w:tr>
            <w:tr>
              <w:tc>
                <w:tcPr>
                  <w:tcW w:type="dxa" w:w="9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30</w:t>
                  </w:r>
                </w:p>
              </w:tc>
              <w:tc>
                <w:tcPr>
                  <w:tcW w:type="dxa" w:w="11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58.3%</w:t>
                  </w:r>
                </w:p>
              </w:tc>
              <w:tc>
                <w:tcPr>
                  <w:tcW w:type="dxa" w:w="12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41.7%</w:t>
                  </w:r>
                </w:p>
              </w:tc>
              <w:tc>
                <w:tcPr>
                  <w:tcW w:type="dxa" w:w="14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Ja / Yes</w:t>
                  </w:r>
                </w:p>
              </w:tc>
            </w:tr>
            <w:tr>
              <w:tc>
                <w:tcPr>
                  <w:tcW w:type="dxa" w:w="9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36</w:t>
                  </w:r>
                </w:p>
              </w:tc>
              <w:tc>
                <w:tcPr>
                  <w:tcW w:type="dxa" w:w="11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75.0%</w:t>
                  </w:r>
                </w:p>
              </w:tc>
              <w:tc>
                <w:tcPr>
                  <w:tcW w:type="dxa" w:w="12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25.0%</w:t>
                  </w:r>
                </w:p>
              </w:tc>
              <w:tc>
                <w:tcPr>
                  <w:tcW w:type="dxa" w:w="14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Ja / Yes</w:t>
                  </w:r>
                </w:p>
              </w:tc>
            </w:tr>
            <w:tr>
              <w:tc>
                <w:tcPr>
                  <w:tcW w:type="dxa" w:w="9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42</w:t>
                  </w:r>
                </w:p>
              </w:tc>
              <w:tc>
                <w:tcPr>
                  <w:tcW w:type="dxa" w:w="11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91.7%</w:t>
                  </w:r>
                </w:p>
              </w:tc>
              <w:tc>
                <w:tcPr>
                  <w:tcW w:type="dxa" w:w="12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8.3%</w:t>
                  </w:r>
                </w:p>
              </w:tc>
              <w:tc>
                <w:tcPr>
                  <w:tcW w:type="dxa" w:w="14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Ja / Yes</w:t>
                  </w:r>
                </w:p>
              </w:tc>
            </w:tr>
            <w:tr>
              <w:tc>
                <w:tcPr>
                  <w:tcW w:type="dxa" w:w="9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48</w:t>
                  </w:r>
                </w:p>
              </w:tc>
              <w:tc>
                <w:tcPr>
                  <w:tcW w:type="dxa" w:w="11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100%</w:t>
                  </w:r>
                </w:p>
              </w:tc>
              <w:tc>
                <w:tcPr>
                  <w:tcW w:type="dxa" w:w="12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0%</w:t>
                  </w:r>
                </w:p>
              </w:tc>
              <w:tc>
                <w:tcPr>
                  <w:tcW w:type="dxa" w:w="14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N/A</w:t>
                  </w:r>
                </w:p>
              </w:tc>
            </w:tr>
          </w:tbl>
          <w:p>
            <w:pPr>
              <w:spacing w:before="80"/>
            </w:pPr>
          </w:p>
          <w:p>
            <w:pPr>
              <w:spacing w:after="60"/>
            </w:pPr>
            <w:r>
              <w:rPr>
                <w:rFonts w:ascii="Calibri" w:cs="Calibri" w:eastAsia="Calibri" w:hAnsi="Calibri"/>
                <w:b w:val="false"/>
                <w:bCs w:val="false"/>
                <w:i w:val="false"/>
                <w:iCs w:val="false"/>
                <w:color w:val="1A1A1A"/>
                <w:sz w:val="20"/>
                <w:szCs w:val="20"/>
              </w:rPr>
              <w:t xml:space="preserve">At month 18: 25% is vested normally (cliff). 75% accelerates = all 562,500 shares fully vested.</w:t>
            </w:r>
          </w:p>
          <w:p>
            <w:pPr>
              <w:spacing w:after="60"/>
            </w:pPr>
            <w:r>
              <w:rPr>
                <w:rFonts w:ascii="Calibri" w:cs="Calibri" w:eastAsia="Calibri" w:hAnsi="Calibri"/>
                <w:b w:val="false"/>
                <w:bCs w:val="false"/>
                <w:i w:val="false"/>
                <w:iCs w:val="false"/>
                <w:color w:val="1A1A1A"/>
                <w:sz w:val="20"/>
                <w:szCs w:val="20"/>
              </w:rPr>
              <w:t xml:space="preserve">At month 48: All shares are already fully vested. Acceleration has no practical effect.</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Scenario: Salg UTEN Kvalifisert oppsigelse (kun Trigger 1):</w:t>
            </w:r>
          </w:p>
          <w:p>
            <w:pPr>
              <w:spacing w:after="100"/>
            </w:pPr>
            <w:r>
              <w:rPr>
                <w:rFonts w:ascii="Calibri" w:cs="Calibri" w:eastAsia="Calibri" w:hAnsi="Calibri"/>
                <w:b w:val="false"/>
                <w:bCs w:val="false"/>
                <w:i w:val="false"/>
                <w:iCs w:val="false"/>
                <w:color w:val="1A1A1A"/>
                <w:sz w:val="20"/>
                <w:szCs w:val="20"/>
              </w:rPr>
              <w:t xml:space="preserve">Vesting fortsetter normalt. Ingen akselerasjon. Ny eier overtar Selskapets forpliktelser under Avtalen.</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Scenario: Sale WITHOUT Qualifying Termination (Trigger 1 only):</w:t>
            </w:r>
          </w:p>
          <w:p>
            <w:pPr>
              <w:spacing w:after="100"/>
            </w:pPr>
            <w:r>
              <w:rPr>
                <w:rFonts w:ascii="Calibri" w:cs="Calibri" w:eastAsia="Calibri" w:hAnsi="Calibri"/>
                <w:b w:val="false"/>
                <w:bCs w:val="false"/>
                <w:i w:val="false"/>
                <w:iCs w:val="false"/>
                <w:color w:val="1A1A1A"/>
                <w:sz w:val="20"/>
                <w:szCs w:val="20"/>
              </w:rPr>
              <w:t xml:space="preserve">Vesting continues normally. No acceleration. New owner assumes the Company’s obligations under the Agreement.</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50537" w:sz="2"/>
              </w:pBdr>
              <w:spacing w:before="200" w:after="80"/>
            </w:pPr>
            <w:r>
              <w:rPr>
                <w:rFonts w:ascii="Calibri" w:cs="Calibri" w:eastAsia="Calibri" w:hAnsi="Calibri"/>
                <w:b/>
                <w:bCs/>
                <w:color w:val="F50537"/>
                <w:spacing w:val="50"/>
                <w:sz w:val="20"/>
                <w:szCs w:val="20"/>
              </w:rPr>
              <w:t xml:space="preserve">§ A.7  KRYSSREFERANSER</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50537" w:sz="2"/>
              </w:pBdr>
              <w:spacing w:before="200" w:after="80"/>
            </w:pPr>
            <w:r>
              <w:rPr>
                <w:rFonts w:ascii="Calibri" w:cs="Calibri" w:eastAsia="Calibri" w:hAnsi="Calibri"/>
                <w:b/>
                <w:bCs/>
                <w:color w:val="F50537"/>
                <w:spacing w:val="50"/>
                <w:sz w:val="20"/>
                <w:szCs w:val="20"/>
              </w:rPr>
              <w:t xml:space="preserve">§ A.7  CROSS-REFERENCES</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ind w:left="300"/>
            </w:pPr>
            <w:r>
              <w:rPr>
                <w:rFonts w:ascii="Calibri" w:cs="Calibri" w:eastAsia="Calibri" w:hAnsi="Calibri"/>
                <w:color w:val="F50537"/>
                <w:sz w:val="19"/>
                <w:szCs w:val="19"/>
              </w:rPr>
              <w:t xml:space="preserve">▸ </w:t>
            </w:r>
            <w:r>
              <w:rPr>
                <w:rFonts w:ascii="Calibri" w:cs="Calibri" w:eastAsia="Calibri" w:hAnsi="Calibri"/>
                <w:color w:val="1A1A1A"/>
                <w:sz w:val="19"/>
                <w:szCs w:val="19"/>
              </w:rPr>
              <w:t xml:space="preserve">§2.1–2.2: Vesting-plan og behandling av uvested aksjer</w:t>
            </w:r>
          </w:p>
          <w:p>
            <w:pPr>
              <w:spacing w:after="40"/>
              <w:ind w:left="300"/>
            </w:pPr>
            <w:r>
              <w:rPr>
                <w:rFonts w:ascii="Calibri" w:cs="Calibri" w:eastAsia="Calibri" w:hAnsi="Calibri"/>
                <w:color w:val="F50537"/>
                <w:sz w:val="19"/>
                <w:szCs w:val="19"/>
              </w:rPr>
              <w:t xml:space="preserve">▸ </w:t>
            </w:r>
            <w:r>
              <w:rPr>
                <w:rFonts w:ascii="Calibri" w:cs="Calibri" w:eastAsia="Calibri" w:hAnsi="Calibri"/>
                <w:color w:val="1A1A1A"/>
                <w:sz w:val="19"/>
                <w:szCs w:val="19"/>
              </w:rPr>
              <w:t xml:space="preserve">§6: Medsalgsrett (tag-along)</w:t>
            </w:r>
          </w:p>
          <w:p>
            <w:pPr>
              <w:spacing w:after="40"/>
              <w:ind w:left="300"/>
            </w:pPr>
            <w:r>
              <w:rPr>
                <w:rFonts w:ascii="Calibri" w:cs="Calibri" w:eastAsia="Calibri" w:hAnsi="Calibri"/>
                <w:color w:val="F50537"/>
                <w:sz w:val="19"/>
                <w:szCs w:val="19"/>
              </w:rPr>
              <w:t xml:space="preserve">▸ </w:t>
            </w:r>
            <w:r>
              <w:rPr>
                <w:rFonts w:ascii="Calibri" w:cs="Calibri" w:eastAsia="Calibri" w:hAnsi="Calibri"/>
                <w:color w:val="1A1A1A"/>
                <w:sz w:val="19"/>
                <w:szCs w:val="19"/>
              </w:rPr>
              <w:t xml:space="preserve">§7: Medsalgsplikt (drag-along)</w:t>
            </w:r>
          </w:p>
          <w:p>
            <w:pPr>
              <w:spacing w:after="40"/>
              <w:ind w:left="300"/>
            </w:pPr>
            <w:r>
              <w:rPr>
                <w:rFonts w:ascii="Calibri" w:cs="Calibri" w:eastAsia="Calibri" w:hAnsi="Calibri"/>
                <w:color w:val="F50537"/>
                <w:sz w:val="19"/>
                <w:szCs w:val="19"/>
              </w:rPr>
              <w:t xml:space="preserve">▸ </w:t>
            </w:r>
            <w:r>
              <w:rPr>
                <w:rFonts w:ascii="Calibri" w:cs="Calibri" w:eastAsia="Calibri" w:hAnsi="Calibri"/>
                <w:color w:val="1A1A1A"/>
                <w:sz w:val="19"/>
                <w:szCs w:val="19"/>
              </w:rPr>
              <w:t xml:space="preserve">§8.1: Good Leaver — verdsettelse ved avgang</w:t>
            </w:r>
          </w:p>
          <w:p>
            <w:pPr>
              <w:spacing w:after="40"/>
              <w:ind w:left="300"/>
            </w:pPr>
            <w:r>
              <w:rPr>
                <w:rFonts w:ascii="Calibri" w:cs="Calibri" w:eastAsia="Calibri" w:hAnsi="Calibri"/>
                <w:color w:val="F50537"/>
                <w:sz w:val="19"/>
                <w:szCs w:val="19"/>
              </w:rPr>
              <w:t xml:space="preserve">▸ </w:t>
            </w:r>
            <w:r>
              <w:rPr>
                <w:rFonts w:ascii="Calibri" w:cs="Calibri" w:eastAsia="Calibri" w:hAnsi="Calibri"/>
                <w:color w:val="1A1A1A"/>
                <w:sz w:val="19"/>
                <w:szCs w:val="19"/>
              </w:rPr>
              <w:t xml:space="preserve">§8.2: Bad Leaver — overstyrer akselerasjon</w:t>
            </w:r>
          </w:p>
          <w:p>
            <w:pPr>
              <w:spacing w:after="40"/>
              <w:ind w:left="300"/>
            </w:pPr>
            <w:r>
              <w:rPr>
                <w:rFonts w:ascii="Calibri" w:cs="Calibri" w:eastAsia="Calibri" w:hAnsi="Calibri"/>
                <w:color w:val="F50537"/>
                <w:sz w:val="19"/>
                <w:szCs w:val="19"/>
              </w:rPr>
              <w:t xml:space="preserve">▸ </w:t>
            </w:r>
            <w:r>
              <w:rPr>
                <w:rFonts w:ascii="Calibri" w:cs="Calibri" w:eastAsia="Calibri" w:hAnsi="Calibri"/>
                <w:color w:val="1A1A1A"/>
                <w:sz w:val="19"/>
                <w:szCs w:val="19"/>
              </w:rPr>
              <w:t xml:space="preserve">§9: Konkurranseforbud (gjelder også etter akselerasjon)</w:t>
            </w:r>
          </w:p>
          <w:p>
            <w:pPr>
              <w:spacing w:after="40"/>
              <w:ind w:left="300"/>
            </w:pPr>
            <w:r>
              <w:rPr>
                <w:rFonts w:ascii="Calibri" w:cs="Calibri" w:eastAsia="Calibri" w:hAnsi="Calibri"/>
                <w:color w:val="F50537"/>
                <w:sz w:val="19"/>
                <w:szCs w:val="19"/>
              </w:rPr>
              <w:t xml:space="preserve">▸ </w:t>
            </w:r>
            <w:r>
              <w:rPr>
                <w:rFonts w:ascii="Calibri" w:cs="Calibri" w:eastAsia="Calibri" w:hAnsi="Calibri"/>
                <w:color w:val="1A1A1A"/>
                <w:sz w:val="19"/>
                <w:szCs w:val="19"/>
              </w:rPr>
              <w:t xml:space="preserve">§13: IP-bestemmelser</w:t>
            </w:r>
          </w:p>
          <w:p>
            <w:pPr>
              <w:spacing w:after="40"/>
              <w:ind w:left="300"/>
            </w:pPr>
            <w:r>
              <w:rPr>
                <w:rFonts w:ascii="Calibri" w:cs="Calibri" w:eastAsia="Calibri" w:hAnsi="Calibri"/>
                <w:color w:val="F50537"/>
                <w:sz w:val="19"/>
                <w:szCs w:val="19"/>
              </w:rPr>
              <w:t xml:space="preserve">▸ </w:t>
            </w:r>
            <w:r>
              <w:rPr>
                <w:rFonts w:ascii="Calibri" w:cs="Calibri" w:eastAsia="Calibri" w:hAnsi="Calibri"/>
                <w:color w:val="1A1A1A"/>
                <w:sz w:val="19"/>
                <w:szCs w:val="19"/>
              </w:rPr>
              <w:t xml:space="preserve">§14: Lovvalg og voldgift</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ind w:left="300"/>
            </w:pPr>
            <w:r>
              <w:rPr>
                <w:rFonts w:ascii="Calibri" w:cs="Calibri" w:eastAsia="Calibri" w:hAnsi="Calibri"/>
                <w:color w:val="F50537"/>
                <w:sz w:val="19"/>
                <w:szCs w:val="19"/>
              </w:rPr>
              <w:t xml:space="preserve">▸ </w:t>
            </w:r>
            <w:r>
              <w:rPr>
                <w:rFonts w:ascii="Calibri" w:cs="Calibri" w:eastAsia="Calibri" w:hAnsi="Calibri"/>
                <w:color w:val="1A1A1A"/>
                <w:sz w:val="19"/>
                <w:szCs w:val="19"/>
              </w:rPr>
              <w:t xml:space="preserve">§2.1–2.2: Vesting schedule and treatment of unvested shares</w:t>
            </w:r>
          </w:p>
          <w:p>
            <w:pPr>
              <w:spacing w:after="40"/>
              <w:ind w:left="300"/>
            </w:pPr>
            <w:r>
              <w:rPr>
                <w:rFonts w:ascii="Calibri" w:cs="Calibri" w:eastAsia="Calibri" w:hAnsi="Calibri"/>
                <w:color w:val="F50537"/>
                <w:sz w:val="19"/>
                <w:szCs w:val="19"/>
              </w:rPr>
              <w:t xml:space="preserve">▸ </w:t>
            </w:r>
            <w:r>
              <w:rPr>
                <w:rFonts w:ascii="Calibri" w:cs="Calibri" w:eastAsia="Calibri" w:hAnsi="Calibri"/>
                <w:color w:val="1A1A1A"/>
                <w:sz w:val="19"/>
                <w:szCs w:val="19"/>
              </w:rPr>
              <w:t xml:space="preserve">§6: Tag-along right</w:t>
            </w:r>
          </w:p>
          <w:p>
            <w:pPr>
              <w:spacing w:after="40"/>
              <w:ind w:left="300"/>
            </w:pPr>
            <w:r>
              <w:rPr>
                <w:rFonts w:ascii="Calibri" w:cs="Calibri" w:eastAsia="Calibri" w:hAnsi="Calibri"/>
                <w:color w:val="F50537"/>
                <w:sz w:val="19"/>
                <w:szCs w:val="19"/>
              </w:rPr>
              <w:t xml:space="preserve">▸ </w:t>
            </w:r>
            <w:r>
              <w:rPr>
                <w:rFonts w:ascii="Calibri" w:cs="Calibri" w:eastAsia="Calibri" w:hAnsi="Calibri"/>
                <w:color w:val="1A1A1A"/>
                <w:sz w:val="19"/>
                <w:szCs w:val="19"/>
              </w:rPr>
              <w:t xml:space="preserve">§7: Drag-along right</w:t>
            </w:r>
          </w:p>
          <w:p>
            <w:pPr>
              <w:spacing w:after="40"/>
              <w:ind w:left="300"/>
            </w:pPr>
            <w:r>
              <w:rPr>
                <w:rFonts w:ascii="Calibri" w:cs="Calibri" w:eastAsia="Calibri" w:hAnsi="Calibri"/>
                <w:color w:val="F50537"/>
                <w:sz w:val="19"/>
                <w:szCs w:val="19"/>
              </w:rPr>
              <w:t xml:space="preserve">▸ </w:t>
            </w:r>
            <w:r>
              <w:rPr>
                <w:rFonts w:ascii="Calibri" w:cs="Calibri" w:eastAsia="Calibri" w:hAnsi="Calibri"/>
                <w:color w:val="1A1A1A"/>
                <w:sz w:val="19"/>
                <w:szCs w:val="19"/>
              </w:rPr>
              <w:t xml:space="preserve">§8.1: Good Leaver — valuation upon departure</w:t>
            </w:r>
          </w:p>
          <w:p>
            <w:pPr>
              <w:spacing w:after="40"/>
              <w:ind w:left="300"/>
            </w:pPr>
            <w:r>
              <w:rPr>
                <w:rFonts w:ascii="Calibri" w:cs="Calibri" w:eastAsia="Calibri" w:hAnsi="Calibri"/>
                <w:color w:val="F50537"/>
                <w:sz w:val="19"/>
                <w:szCs w:val="19"/>
              </w:rPr>
              <w:t xml:space="preserve">▸ </w:t>
            </w:r>
            <w:r>
              <w:rPr>
                <w:rFonts w:ascii="Calibri" w:cs="Calibri" w:eastAsia="Calibri" w:hAnsi="Calibri"/>
                <w:color w:val="1A1A1A"/>
                <w:sz w:val="19"/>
                <w:szCs w:val="19"/>
              </w:rPr>
              <w:t xml:space="preserve">§8.2: Bad Leaver — overrides acceleration</w:t>
            </w:r>
          </w:p>
          <w:p>
            <w:pPr>
              <w:spacing w:after="40"/>
              <w:ind w:left="300"/>
            </w:pPr>
            <w:r>
              <w:rPr>
                <w:rFonts w:ascii="Calibri" w:cs="Calibri" w:eastAsia="Calibri" w:hAnsi="Calibri"/>
                <w:color w:val="F50537"/>
                <w:sz w:val="19"/>
                <w:szCs w:val="19"/>
              </w:rPr>
              <w:t xml:space="preserve">▸ </w:t>
            </w:r>
            <w:r>
              <w:rPr>
                <w:rFonts w:ascii="Calibri" w:cs="Calibri" w:eastAsia="Calibri" w:hAnsi="Calibri"/>
                <w:color w:val="1A1A1A"/>
                <w:sz w:val="19"/>
                <w:szCs w:val="19"/>
              </w:rPr>
              <w:t xml:space="preserve">§9: Non-compete (continues to apply post-acceleration)</w:t>
            </w:r>
          </w:p>
          <w:p>
            <w:pPr>
              <w:spacing w:after="40"/>
              <w:ind w:left="300"/>
            </w:pPr>
            <w:r>
              <w:rPr>
                <w:rFonts w:ascii="Calibri" w:cs="Calibri" w:eastAsia="Calibri" w:hAnsi="Calibri"/>
                <w:color w:val="F50537"/>
                <w:sz w:val="19"/>
                <w:szCs w:val="19"/>
              </w:rPr>
              <w:t xml:space="preserve">▸ </w:t>
            </w:r>
            <w:r>
              <w:rPr>
                <w:rFonts w:ascii="Calibri" w:cs="Calibri" w:eastAsia="Calibri" w:hAnsi="Calibri"/>
                <w:color w:val="1A1A1A"/>
                <w:sz w:val="19"/>
                <w:szCs w:val="19"/>
              </w:rPr>
              <w:t xml:space="preserve">§13: IP provisions</w:t>
            </w:r>
          </w:p>
          <w:p>
            <w:pPr>
              <w:spacing w:after="40"/>
              <w:ind w:left="300"/>
            </w:pPr>
            <w:r>
              <w:rPr>
                <w:rFonts w:ascii="Calibri" w:cs="Calibri" w:eastAsia="Calibri" w:hAnsi="Calibri"/>
                <w:color w:val="F50537"/>
                <w:sz w:val="19"/>
                <w:szCs w:val="19"/>
              </w:rPr>
              <w:t xml:space="preserve">▸ </w:t>
            </w:r>
            <w:r>
              <w:rPr>
                <w:rFonts w:ascii="Calibri" w:cs="Calibri" w:eastAsia="Calibri" w:hAnsi="Calibri"/>
                <w:color w:val="1A1A1A"/>
                <w:sz w:val="19"/>
                <w:szCs w:val="19"/>
              </w:rPr>
              <w:t xml:space="preserve">§14: Governing law and arbitration</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50537" w:sz="2"/>
              </w:pBdr>
              <w:spacing w:before="200" w:after="80"/>
            </w:pPr>
            <w:r>
              <w:rPr>
                <w:rFonts w:ascii="Calibri" w:cs="Calibri" w:eastAsia="Calibri" w:hAnsi="Calibri"/>
                <w:b/>
                <w:bCs/>
                <w:color w:val="F50537"/>
                <w:spacing w:val="50"/>
                <w:sz w:val="20"/>
                <w:szCs w:val="20"/>
              </w:rPr>
              <w:t xml:space="preserve">§ A.8  IKRAFTTREDELSE</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50537" w:sz="2"/>
              </w:pBdr>
              <w:spacing w:before="200" w:after="80"/>
            </w:pPr>
            <w:r>
              <w:rPr>
                <w:rFonts w:ascii="Calibri" w:cs="Calibri" w:eastAsia="Calibri" w:hAnsi="Calibri"/>
                <w:b/>
                <w:bCs/>
                <w:color w:val="F50537"/>
                <w:spacing w:val="50"/>
                <w:sz w:val="20"/>
                <w:szCs w:val="20"/>
              </w:rPr>
              <w:t xml:space="preserve">§ A.8  EFFECTIVENESS</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Dette vedlegget trer i kraft samtidig med signering av Aksjonæravtalen og utgør en integrert del av denne. Ved motstrid mellom Aksjonæravtalen og dette vedlegget, gjelder vedleggets bestemmelser for spørsmål om akselerasjon.</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This schedule takes effect simultaneously with the execution of the Shareholders’ Agreement and forms an integral part thereof. In the event of conflict between the Shareholders’ Agreement and this schedule, the provisions of this schedule shall prevail on matters of acceleration.</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I tråd med §1.4 (sunset-klausul): Dette vedlegget erstattes sammen med Aksjonæravtalen ved kvalifiserende finansiering &gt;NOK 2 000 000. Akselerasjonsvilkår i ny SHA forhandles med investorer.</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Per §1.4 (sunset clause): This schedule is superseded together with the Shareholders’ Agreement upon qualifying financing &gt;NOK 2,000,000. Acceleration terms in the new SHA are negotiated with investors.</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50537" w:sz="2"/>
              </w:pBdr>
              <w:spacing w:before="200" w:after="80"/>
            </w:pPr>
            <w:r>
              <w:rPr>
                <w:rFonts w:ascii="Calibri" w:cs="Calibri" w:eastAsia="Calibri" w:hAnsi="Calibri"/>
                <w:b/>
                <w:bCs/>
                <w:color w:val="F50537"/>
                <w:spacing w:val="50"/>
                <w:sz w:val="20"/>
                <w:szCs w:val="20"/>
              </w:rPr>
              <w:t xml:space="preserve">SIGNATURER</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50537" w:sz="2"/>
              </w:pBdr>
              <w:spacing w:before="200" w:after="80"/>
            </w:pPr>
            <w:r>
              <w:rPr>
                <w:rFonts w:ascii="Calibri" w:cs="Calibri" w:eastAsia="Calibri" w:hAnsi="Calibri"/>
                <w:b/>
                <w:bCs/>
                <w:color w:val="F50537"/>
                <w:spacing w:val="50"/>
                <w:sz w:val="20"/>
                <w:szCs w:val="20"/>
              </w:rPr>
              <w:t xml:space="preserve"/>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0"/>
            </w:pPr>
            <w:r>
              <w:rPr>
                <w:rFonts w:ascii="Calibri" w:cs="Calibri" w:eastAsia="Calibri" w:hAnsi="Calibri"/>
                <w:b w:val="false"/>
                <w:bCs w:val="false"/>
                <w:i w:val="false"/>
                <w:iCs w:val="false"/>
                <w:color w:val="1A1A1A"/>
                <w:sz w:val="20"/>
                <w:szCs w:val="20"/>
              </w:rPr>
              <w:t xml:space="preserve">Signert som vedlegg til Aksjonæravtalen for Aurelian Manufacturing AS:</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before="200"/>
            </w:pPr>
            <w:r>
              <w:rPr>
                <w:rFonts w:ascii="Calibri" w:cs="Calibri" w:eastAsia="Calibri" w:hAnsi="Calibri"/>
                <w:b/>
                <w:bCs/>
                <w:color w:val="1A1A1A"/>
                <w:sz w:val="20"/>
                <w:szCs w:val="20"/>
              </w:rPr>
              <w:t xml:space="preserve">HÖLEN INDUSTRIER AS</w:t>
            </w:r>
          </w:p>
          <w:p>
            <w:r>
              <w:rPr>
                <w:rFonts w:ascii="Calibri" w:cs="Calibri" w:eastAsia="Calibri" w:hAnsi="Calibri"/>
                <w:color w:val="666666"/>
                <w:sz w:val="18"/>
                <w:szCs w:val="18"/>
              </w:rPr>
              <w:t xml:space="preserve">(Org.nr. 832 249 742)</w:t>
            </w:r>
          </w:p>
          <w:p>
            <w:pPr>
              <w:spacing w:before="200"/>
            </w:pPr>
            <w:r>
              <w:rPr>
                <w:rFonts w:ascii="Calibri" w:cs="Calibri" w:eastAsia="Calibri" w:hAnsi="Calibri"/>
                <w:color w:val="666666"/>
                <w:sz w:val="20"/>
                <w:szCs w:val="20"/>
              </w:rPr>
              <w:t xml:space="preserve">________________________________</w:t>
            </w:r>
          </w:p>
          <w:p>
            <w:r>
              <w:rPr>
                <w:rFonts w:ascii="Calibri" w:cs="Calibri" w:eastAsia="Calibri" w:hAnsi="Calibri"/>
                <w:color w:val="1A1A1A"/>
                <w:sz w:val="20"/>
                <w:szCs w:val="20"/>
              </w:rPr>
              <w:t xml:space="preserve">André Tandberg</w:t>
            </w:r>
          </w:p>
          <w:p>
            <w:r>
              <w:rPr>
                <w:rFonts w:ascii="Calibri" w:cs="Calibri" w:eastAsia="Calibri" w:hAnsi="Calibri"/>
                <w:i/>
                <w:iCs/>
                <w:color w:val="666666"/>
                <w:sz w:val="18"/>
                <w:szCs w:val="18"/>
              </w:rPr>
              <w:t xml:space="preserve">Styremedlem / CEO</w:t>
            </w:r>
          </w:p>
          <w:p>
            <w:pPr>
              <w:spacing w:after="40"/>
            </w:pPr>
            <w:r>
              <w:rPr>
                <w:rFonts w:ascii="Calibri" w:cs="Calibri" w:eastAsia="Calibri" w:hAnsi="Calibri"/>
                <w:color w:val="666666"/>
                <w:sz w:val="18"/>
                <w:szCs w:val="18"/>
              </w:rPr>
              <w:t xml:space="preserve">Februar ___, 2026</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before="200"/>
            </w:pPr>
            <w:r>
              <w:rPr>
                <w:rFonts w:ascii="Calibri" w:cs="Calibri" w:eastAsia="Calibri" w:hAnsi="Calibri"/>
                <w:b/>
                <w:bCs/>
                <w:color w:val="1A1A1A"/>
                <w:sz w:val="20"/>
                <w:szCs w:val="20"/>
              </w:rPr>
              <w:t xml:space="preserve">QUALITY GROUP INVEST AS</w:t>
            </w:r>
          </w:p>
          <w:p>
            <w:r>
              <w:rPr>
                <w:rFonts w:ascii="Calibri" w:cs="Calibri" w:eastAsia="Calibri" w:hAnsi="Calibri"/>
                <w:color w:val="666666"/>
                <w:sz w:val="18"/>
                <w:szCs w:val="18"/>
              </w:rPr>
              <w:t xml:space="preserve">(Org.nr. 913 097 203)</w:t>
            </w:r>
          </w:p>
          <w:p>
            <w:pPr>
              <w:spacing w:before="200"/>
            </w:pPr>
            <w:r>
              <w:rPr>
                <w:rFonts w:ascii="Calibri" w:cs="Calibri" w:eastAsia="Calibri" w:hAnsi="Calibri"/>
                <w:color w:val="666666"/>
                <w:sz w:val="20"/>
                <w:szCs w:val="20"/>
              </w:rPr>
              <w:t xml:space="preserve">________________________________</w:t>
            </w:r>
          </w:p>
          <w:p>
            <w:r>
              <w:rPr>
                <w:rFonts w:ascii="Calibri" w:cs="Calibri" w:eastAsia="Calibri" w:hAnsi="Calibri"/>
                <w:color w:val="1A1A1A"/>
                <w:sz w:val="20"/>
                <w:szCs w:val="20"/>
              </w:rPr>
              <w:t xml:space="preserve">Tore Ausland</w:t>
            </w:r>
          </w:p>
          <w:p>
            <w:r>
              <w:rPr>
                <w:rFonts w:ascii="Calibri" w:cs="Calibri" w:eastAsia="Calibri" w:hAnsi="Calibri"/>
                <w:i/>
                <w:iCs/>
                <w:color w:val="666666"/>
                <w:sz w:val="18"/>
                <w:szCs w:val="18"/>
              </w:rPr>
              <w:t xml:space="preserve">Styreleder</w:t>
            </w:r>
          </w:p>
          <w:p>
            <w:pPr>
              <w:spacing w:after="40"/>
            </w:pPr>
            <w:r>
              <w:rPr>
                <w:rFonts w:ascii="Calibri" w:cs="Calibri" w:eastAsia="Calibri" w:hAnsi="Calibri"/>
                <w:color w:val="666666"/>
                <w:sz w:val="18"/>
                <w:szCs w:val="18"/>
              </w:rPr>
              <w:t xml:space="preserve">Februar ___, 2026</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before="200"/>
            </w:pPr>
            <w:r>
              <w:rPr>
                <w:rFonts w:ascii="Calibri" w:cs="Calibri" w:eastAsia="Calibri" w:hAnsi="Calibri"/>
                <w:b/>
                <w:bCs/>
                <w:color w:val="1A1A1A"/>
                <w:sz w:val="20"/>
                <w:szCs w:val="20"/>
              </w:rPr>
              <w:t xml:space="preserve">STAH INVEST AS</w:t>
            </w:r>
          </w:p>
          <w:p>
            <w:r>
              <w:rPr>
                <w:rFonts w:ascii="Calibri" w:cs="Calibri" w:eastAsia="Calibri" w:hAnsi="Calibri"/>
                <w:color w:val="666666"/>
                <w:sz w:val="18"/>
                <w:szCs w:val="18"/>
              </w:rPr>
              <w:t xml:space="preserve">(Org.nr. 937 920 368)</w:t>
            </w:r>
          </w:p>
          <w:p>
            <w:pPr>
              <w:spacing w:before="200"/>
            </w:pPr>
            <w:r>
              <w:rPr>
                <w:rFonts w:ascii="Calibri" w:cs="Calibri" w:eastAsia="Calibri" w:hAnsi="Calibri"/>
                <w:color w:val="666666"/>
                <w:sz w:val="20"/>
                <w:szCs w:val="20"/>
              </w:rPr>
              <w:t xml:space="preserve">________________________________</w:t>
            </w:r>
          </w:p>
          <w:p>
            <w:r>
              <w:rPr>
                <w:rFonts w:ascii="Calibri" w:cs="Calibri" w:eastAsia="Calibri" w:hAnsi="Calibri"/>
                <w:color w:val="1A1A1A"/>
                <w:sz w:val="20"/>
                <w:szCs w:val="20"/>
              </w:rPr>
              <w:t xml:space="preserve">Henrik S. Strøm</w:t>
            </w:r>
          </w:p>
          <w:p>
            <w:r>
              <w:rPr>
                <w:rFonts w:ascii="Calibri" w:cs="Calibri" w:eastAsia="Calibri" w:hAnsi="Calibri"/>
                <w:i/>
                <w:iCs/>
                <w:color w:val="666666"/>
                <w:sz w:val="18"/>
                <w:szCs w:val="18"/>
              </w:rPr>
              <w:t xml:space="preserve">Styremedlem</w:t>
            </w:r>
          </w:p>
          <w:p>
            <w:pPr>
              <w:spacing w:after="40"/>
            </w:pPr>
            <w:r>
              <w:rPr>
                <w:rFonts w:ascii="Calibri" w:cs="Calibri" w:eastAsia="Calibri" w:hAnsi="Calibri"/>
                <w:color w:val="666666"/>
                <w:sz w:val="18"/>
                <w:szCs w:val="18"/>
              </w:rPr>
              <w:t xml:space="preserve">Februar ___, 2026</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tc>
      </w:tr>
    </w:tbl>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5"/>
        <w:szCs w:val="15"/>
      </w:rPr>
      <w:t xml:space="preserve">Acceleration Terms — Aurelian Manufacturing AS  |  Side </w:t>
    </w:r>
    <w:r>
      <w:rPr>
        <w:rFonts w:ascii="Calibri" w:cs="Calibri" w:eastAsia="Calibri" w:hAnsi="Calibri"/>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i/>
        <w:iCs/>
        <w:color w:val="F50537"/>
        <w:sz w:val="15"/>
        <w:szCs w:val="15"/>
      </w:rPr>
      <w:t xml:space="preserve">DRAFT — </w:t>
    </w:r>
    <w:r>
      <w:rPr>
        <w:rFonts w:ascii="Calibri" w:cs="Calibri" w:eastAsia="Calibri" w:hAnsi="Calibri"/>
        <w:i/>
        <w:iCs/>
        <w:color w:val="666666"/>
        <w:sz w:val="15"/>
        <w:szCs w:val="15"/>
      </w:rPr>
      <w:t xml:space="preserve">Aurelian Manufacturing  |  VDR 01 — Corporate  |  Konfidensielt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2026-02-12T21:06:30.144Z</dcterms:created>
  <dcterms:modified xsi:type="dcterms:W3CDTF">2026-02-12T21:06:30.145Z</dcterms:modified>
</cp:coreProperties>
</file>

<file path=docProps/custom.xml><?xml version="1.0" encoding="utf-8"?>
<Properties xmlns="http://schemas.openxmlformats.org/officeDocument/2006/custom-properties" xmlns:vt="http://schemas.openxmlformats.org/officeDocument/2006/docPropsVTypes"/>
</file>