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Grunnlag for Verdisetting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Ramp-up, transjevis skalering og økonomisk utvikling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02.01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r>
        <w:rPr>
          <w:rFonts w:ascii="Calibri" w:hAnsi="Calibri"/>
          <w:i/>
          <w:color w:val="6B6B6B"/>
          <w:sz w:val="18"/>
        </w:rPr>
        <w:t>Sammenheng med finansieringsstrukturen: Grunnlaget for verdsettelse i dette dokumentet er direkte forankret i den industrielle verdiskapingen, kontantstrømpotensialet og skaleringslogikken som senere benyttes i finansieringsstrukturen.</w:t>
      </w:r>
    </w:p>
    <w:p>
      <w:pPr>
        <w:pStyle w:val="Heading1"/>
      </w:pPr>
      <w:r>
        <w:rPr>
          <w:rFonts w:ascii="Calibri" w:hAnsi="Calibri"/>
        </w:rPr>
        <w:t>1. Låst metodikk og forutsetninger</w:t>
      </w:r>
    </w:p>
    <w:p>
      <w:pPr>
        <w:pStyle w:val="Heading2"/>
      </w:pPr>
      <w:r>
        <w:rPr>
          <w:rFonts w:ascii="Calibri" w:hAnsi="Calibri"/>
        </w:rPr>
        <w:t>1.1 Kapasitetsgrunnlag</w:t>
      </w:r>
    </w:p>
    <w:p>
      <w:r>
        <w:rPr>
          <w:rFonts w:ascii="Calibri" w:hAnsi="Calibri"/>
          <w:b w:val="0"/>
          <w:i w:val="0"/>
          <w:color w:val="2B2B2B"/>
          <w:sz w:val="22"/>
        </w:rPr>
        <w:t>Teoretiske timer: 8.760 timer/år (24/7)</w:t>
      </w:r>
    </w:p>
    <w:p>
      <w:r>
        <w:rPr>
          <w:rFonts w:ascii="Calibri" w:hAnsi="Calibri"/>
          <w:b w:val="0"/>
          <w:i w:val="0"/>
          <w:color w:val="2B2B2B"/>
          <w:sz w:val="22"/>
        </w:rPr>
        <w:t>Normalisert timepris: 3.000 NOK</w:t>
      </w:r>
    </w:p>
    <w:p>
      <w:r>
        <w:rPr>
          <w:rFonts w:ascii="Calibri" w:hAnsi="Calibri"/>
          <w:b w:val="0"/>
          <w:i w:val="0"/>
          <w:color w:val="2B2B2B"/>
          <w:sz w:val="22"/>
        </w:rPr>
        <w:t>Teoretisk omsetning per CNC ved 100%: 26.28 MNOK/år</w:t>
      </w:r>
    </w:p>
    <w:p>
      <w:r>
        <w:rPr>
          <w:rFonts w:ascii="Calibri" w:hAnsi="Calibri"/>
          <w:i/>
          <w:color w:val="6B6B6B"/>
          <w:sz w:val="18"/>
        </w:rPr>
        <w:t>Utnyttelsesgrad refererer til 8.760 timer, ikke begrenset driftstimetall</w:t>
      </w:r>
    </w:p>
    <w:p>
      <w:pPr>
        <w:pStyle w:val="Heading2"/>
      </w:pPr>
      <w:r>
        <w:rPr>
          <w:rFonts w:ascii="Calibri" w:hAnsi="Calibri"/>
        </w:rPr>
        <w:t>1.2 Kostnadsstruktur</w:t>
      </w:r>
    </w:p>
    <w:p>
      <w:r>
        <w:rPr>
          <w:rFonts w:ascii="Calibri" w:hAnsi="Calibri"/>
          <w:i/>
          <w:color w:val="6B6B6B"/>
          <w:sz w:val="18"/>
        </w:rPr>
        <w:t>Kilde: 02 Economic Tables &amp; Projections (VDR 02.04)</w:t>
      </w:r>
    </w:p>
    <w:p>
      <w:r>
        <w:rPr>
          <w:rFonts w:ascii="Calibri" w:hAnsi="Calibri"/>
          <w:b w:val="0"/>
          <w:i w:val="0"/>
          <w:color w:val="2B2B2B"/>
          <w:sz w:val="22"/>
        </w:rPr>
        <w:t>Variable kostnader: 8% av omsetning (moden drift); 13% i oppstart (2027–2028)</w:t>
      </w:r>
    </w:p>
    <w:p>
      <w:r>
        <w:rPr>
          <w:rFonts w:ascii="Calibri" w:hAnsi="Calibri"/>
          <w:b w:val="0"/>
          <w:i w:val="0"/>
          <w:color w:val="2B2B2B"/>
          <w:sz w:val="22"/>
        </w:rPr>
        <w:t>Variable cost curve: 13% (2027–28) → 11.75% (2029) → 10.5% (2030) → 9.25% (2031) → 8% (2032+)</w:t>
      </w:r>
    </w:p>
    <w:p>
      <w:r>
        <w:rPr>
          <w:rFonts w:ascii="Calibri" w:hAnsi="Calibri"/>
          <w:b w:val="0"/>
          <w:i w:val="0"/>
          <w:color w:val="2B2B2B"/>
          <w:sz w:val="22"/>
        </w:rPr>
        <w:t>Total kostnad ved 20 CNC steady state (60% util, 8% var): ~92.75 MNOK</w:t>
      </w:r>
    </w:p>
    <w:p>
      <w:r>
        <w:rPr>
          <w:rFonts w:ascii="Calibri" w:hAnsi="Calibri"/>
          <w:b w:val="0"/>
          <w:i w:val="0"/>
          <w:color w:val="2B2B2B"/>
          <w:sz w:val="22"/>
        </w:rPr>
        <w:t>CAPEX per CNC inkl. automasjon: 10 MNOK</w:t>
      </w:r>
    </w:p>
    <w:p>
      <w:r>
        <w:rPr>
          <w:rFonts w:ascii="Calibri" w:hAnsi="Calibri"/>
          <w:b w:val="0"/>
          <w:i w:val="0"/>
          <w:color w:val="2B2B2B"/>
          <w:sz w:val="22"/>
        </w:rPr>
        <w:t>Avskrivning: 1.25 MNOK per CNC per år (8 års levetid)</w:t>
      </w:r>
    </w:p>
    <w:p>
      <w:r>
        <w:rPr>
          <w:rFonts w:ascii="Calibri" w:hAnsi="Calibri"/>
          <w:b w:val="0"/>
          <w:i w:val="0"/>
          <w:color w:val="2B2B2B"/>
          <w:sz w:val="22"/>
        </w:rPr>
        <w:t>Personalkostnad: 0.8 FTE/CNC operasjon + 4 admin FTE</w:t>
      </w:r>
    </w:p>
    <w:p>
      <w:r>
        <w:rPr>
          <w:rFonts w:ascii="Calibri" w:hAnsi="Calibri"/>
          <w:b w:val="0"/>
          <w:i w:val="0"/>
          <w:color w:val="2B2B2B"/>
          <w:sz w:val="22"/>
        </w:rPr>
        <w:t>Facility lease: 5.2 MNOK/år</w:t>
      </w:r>
    </w:p>
    <w:p>
      <w:r>
        <w:rPr>
          <w:rFonts w:ascii="Calibri" w:hAnsi="Calibri"/>
          <w:b w:val="0"/>
          <w:i w:val="0"/>
          <w:color w:val="2B2B2B"/>
          <w:sz w:val="22"/>
        </w:rPr>
        <w:t>Annen driftskostnad: 150.000 NOK per CNC per år</w:t>
      </w:r>
    </w:p>
    <w:p>
      <w:r>
        <w:rPr>
          <w:rFonts w:ascii="Calibri" w:hAnsi="Calibri"/>
          <w:b w:val="0"/>
          <w:i w:val="0"/>
          <w:color w:val="2B2B2B"/>
          <w:sz w:val="22"/>
        </w:rPr>
        <w:t>Shop base setup: 8.6 MNOK per site</w:t>
      </w:r>
    </w:p>
    <w:p>
      <w:pPr>
        <w:pStyle w:val="Heading1"/>
      </w:pPr>
      <w:r>
        <w:rPr>
          <w:rFonts w:ascii="Calibri" w:hAnsi="Calibri"/>
        </w:rPr>
        <w:t>2. Fasevis ramp-up og finansieringsstruktur</w:t>
      </w:r>
    </w:p>
    <w:p>
      <w:r>
        <w:rPr>
          <w:rFonts w:ascii="Calibri" w:hAnsi="Calibri"/>
          <w:b w:val="0"/>
          <w:i w:val="0"/>
          <w:color w:val="2B2B2B"/>
          <w:sz w:val="22"/>
        </w:rPr>
        <w:t>Pre-Seed: 5 MNOK — etablering, forprosjekt, risikoreduksjon (ingen maskin-CAPEX)</w:t>
      </w:r>
    </w:p>
    <w:p>
      <w:r>
        <w:rPr>
          <w:rFonts w:ascii="Calibri" w:hAnsi="Calibri"/>
          <w:b w:val="0"/>
          <w:i w:val="0"/>
          <w:color w:val="2B2B2B"/>
          <w:sz w:val="22"/>
        </w:rPr>
        <w:t>Seed: 51.3 MNOK egenkapital + 29.3 MNOK bankgjeld. 5 CNC-maskiner med 50% egenkapitalandel. Buffer: 10 MNOK.</w:t>
      </w:r>
    </w:p>
    <w:p>
      <w:r>
        <w:rPr>
          <w:rFonts w:ascii="Calibri" w:hAnsi="Calibri"/>
          <w:b w:val="0"/>
          <w:i w:val="0"/>
          <w:color w:val="2B2B2B"/>
          <w:sz w:val="22"/>
        </w:rPr>
        <w:t>Serie A: 45 MNOK egenkapital + 105 MNOK bankgjeld. 15 nye CNC (3×5 transjer) med 30% egenkapitalandel.</w:t>
      </w:r>
    </w:p>
    <w:p>
      <w:r>
        <w:rPr>
          <w:rFonts w:ascii="Calibri" w:hAnsi="Calibri"/>
          <w:b w:val="0"/>
          <w:i w:val="0"/>
          <w:color w:val="2B2B2B"/>
          <w:sz w:val="22"/>
        </w:rPr>
        <w:t>Total equity: 101.3 MNOK</w:t>
      </w:r>
    </w:p>
    <w:p>
      <w:pPr>
        <w:pStyle w:val="Heading1"/>
      </w:pPr>
      <w:r>
        <w:rPr>
          <w:rFonts w:ascii="Calibri" w:hAnsi="Calibri"/>
        </w:rPr>
        <w:t>3. Modent verksted — omsetning og resultat</w:t>
      </w:r>
    </w:p>
    <w:p>
      <w:r>
        <w:rPr>
          <w:rFonts w:ascii="Calibri" w:hAnsi="Calibri"/>
          <w:i/>
          <w:color w:val="6B6B6B"/>
          <w:sz w:val="18"/>
        </w:rPr>
        <w:t>Kilde: 02 Economic Tables &amp; Projections (VDR 02.04)</w:t>
      </w:r>
    </w:p>
    <w:p>
      <w:pPr>
        <w:pStyle w:val="Heading2"/>
      </w:pPr>
      <w:r>
        <w:rPr>
          <w:rFonts w:ascii="Calibri" w:hAnsi="Calibri"/>
        </w:rPr>
        <w:t>Tabell 3A — År-for-år finansielt oppsett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Regnskapår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Snitt CNC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Snitt util.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Omsetning</w:t>
              <w:br/>
              <w:t>(MNOK)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Kostnader</w:t>
              <w:br/>
              <w:t>(MNOK)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Brutto</w:t>
              <w:br/>
              <w:t>(MNOK)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Kundeprog.</w:t>
              <w:br/>
              <w:t>(MNOK)</w:t>
            </w:r>
          </w:p>
        </w:tc>
        <w:tc>
          <w:tcPr>
            <w:tcW w:type="dxa" w:w="113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Aurelian</w:t>
              <w:br/>
              <w:t>(MNOK)</w:t>
            </w:r>
          </w:p>
        </w:tc>
      </w:tr>
      <w:tr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2027 H2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20%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10.9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13.4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-2.5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-2.5</w:t>
            </w:r>
          </w:p>
        </w:tc>
      </w:tr>
      <w:tr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37.5%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49.3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34.1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15.2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15.2</w:t>
            </w:r>
          </w:p>
        </w:tc>
      </w:tr>
      <w:tr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2029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12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42.5%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134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61.1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72.9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72.9</w:t>
            </w:r>
          </w:p>
        </w:tc>
      </w:tr>
      <w:tr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17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47.5%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212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80.2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131.8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131.8</w:t>
            </w:r>
          </w:p>
        </w:tc>
      </w:tr>
      <w:tr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2031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52.5%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276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92.8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183.2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16.4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166.8</w:t>
            </w:r>
          </w:p>
        </w:tc>
      </w:tr>
      <w:tr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2032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57.5%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302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92.4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209.6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27.3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182.3</w:t>
            </w:r>
          </w:p>
        </w:tc>
      </w:tr>
      <w:tr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2033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22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60%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347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98.0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249.0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42.0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207.0</w:t>
            </w:r>
          </w:p>
        </w:tc>
      </w:tr>
      <w:tr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2034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62.5%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394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103.8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290.2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57.6</w:t>
            </w:r>
          </w:p>
        </w:tc>
        <w:tc>
          <w:tcPr>
            <w:tcW w:type="dxa" w:w="113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232.6</w:t>
            </w:r>
          </w:p>
        </w:tc>
      </w:tr>
      <w:tr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2035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65%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427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107.2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319.8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72.0</w:t>
            </w:r>
          </w:p>
        </w:tc>
        <w:tc>
          <w:tcPr>
            <w:tcW w:type="dxa" w:w="113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247.8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Akkumulert Aurelian-fortjeneste 2027–2035: ~1.254 MNOK</w:t>
      </w:r>
    </w:p>
    <w:p>
      <w:r>
        <w:rPr>
          <w:rFonts w:ascii="Calibri" w:hAnsi="Calibri"/>
          <w:i/>
          <w:color w:val="6B6B6B"/>
          <w:sz w:val="18"/>
        </w:rPr>
        <w:t>Kundeprogram: gjelder kun når flåteutnyttelse overstiger 45%, kun for kvalifiserte strategiske kunder</w:t>
      </w:r>
    </w:p>
    <w:p>
      <w:pPr>
        <w:pStyle w:val="Heading1"/>
      </w:pPr>
      <w:r>
        <w:rPr>
          <w:rFonts w:ascii="Calibri" w:hAnsi="Calibri"/>
        </w:rPr>
        <w:t>4. Akkumulert finansiell prognose</w:t>
      </w:r>
    </w:p>
    <w:p>
      <w:pPr>
        <w:pStyle w:val="Heading2"/>
      </w:pPr>
      <w:r>
        <w:rPr>
          <w:rFonts w:ascii="Calibri" w:hAnsi="Calibri"/>
        </w:rPr>
        <w:t>Tabell 4 — Akkumulert fremskrivning (fra Tabell 3A)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År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Årlig omsetning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Fortjeneste totalt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Kundeprogram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Aurelian fortjeneste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Akkumulert Aurelian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2027 H2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10.9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-2.5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-2.5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-2.5</w:t>
            </w:r>
          </w:p>
        </w:tc>
      </w:tr>
      <w:tr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49.3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15.2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15.2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12.7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2029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134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72.9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72.9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85.6</w:t>
            </w:r>
          </w:p>
        </w:tc>
      </w:tr>
      <w:tr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212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131.8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131.8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217.4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2031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276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183.2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16.4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166.8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384.2</w:t>
            </w:r>
          </w:p>
        </w:tc>
      </w:tr>
      <w:tr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2032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302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209.6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27.3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182.3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566.5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2033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347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249.0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42.0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207.0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773.5</w:t>
            </w:r>
          </w:p>
        </w:tc>
      </w:tr>
      <w:tr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2034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394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290.2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57.6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232.6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1,006.1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427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319.8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72.0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247.8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1,253.9</w:t>
            </w:r>
          </w:p>
        </w:tc>
      </w:tr>
    </w:tbl>
    <w:p>
      <w:pPr>
        <w:pStyle w:val="Heading2"/>
      </w:pPr>
      <w:r>
        <w:rPr>
          <w:rFonts w:ascii="Calibri" w:hAnsi="Calibri"/>
        </w:rPr>
        <w:t>4.1 Tolkning</w:t>
      </w:r>
    </w:p>
    <w:p>
      <w:r>
        <w:rPr>
          <w:rFonts w:ascii="Calibri" w:hAnsi="Calibri"/>
          <w:b w:val="0"/>
          <w:i w:val="0"/>
          <w:color w:val="2B2B2B"/>
          <w:sz w:val="22"/>
        </w:rPr>
        <w:t>Delingsmekanismen aktiveres først etter dokumentert flåteutnyttelse over 45%, og kun for kvalifiserte strategiske kunder med volumer over 100.000 timer/år. Aurelian beholder 100% av inntektene under 45% utnyttelse.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 (master document)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02.01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