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960"/>
        <w:pBdr>
          <w:top w:val="single" w:sz="24" w:space="1" w:color="F50537"/>
        </w:pBdr>
      </w:pP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Aurelian Manufacturing</w:t>
      </w:r>
    </w:p>
    <w:p>
      <w:pPr>
        <w:spacing w:after="160"/>
        <w:jc w:val="left"/>
      </w:pPr>
      <w:r>
        <w:rPr>
          <w:rFonts w:ascii="Calibri" w:hAnsi="Calibri"/>
          <w:b/>
          <w:color w:val="2B2B2B"/>
          <w:sz w:val="56"/>
        </w:rPr>
        <w:t>CAPEX Breakdown by Phase</w:t>
      </w:r>
    </w:p>
    <w:p>
      <w:pPr>
        <w:spacing w:after="480"/>
        <w:jc w:val="left"/>
      </w:pPr>
      <w:r>
        <w:rPr>
          <w:rFonts w:ascii="Calibri" w:hAnsi="Calibri"/>
          <w:color w:val="6B6B6B"/>
          <w:sz w:val="28"/>
        </w:rPr>
        <w:t>Investment Schedule &amp; Machine Deployment</w:t>
      </w:r>
    </w:p>
    <w:p>
      <w:pPr>
        <w:spacing w:after="80"/>
      </w:pPr>
      <w:r>
        <w:rPr>
          <w:rFonts w:ascii="Calibri" w:hAnsi="Calibri"/>
          <w:color w:val="6B6B6B"/>
          <w:sz w:val="22"/>
        </w:rPr>
        <w:t>VDR 02.04</w:t>
      </w:r>
    </w:p>
    <w:p>
      <w:pPr>
        <w:spacing w:after="720"/>
      </w:pPr>
      <w:r>
        <w:rPr>
          <w:rFonts w:ascii="Calibri" w:hAnsi="Calibri"/>
          <w:color w:val="6B6B6B"/>
          <w:sz w:val="22"/>
        </w:rPr>
        <w:t>February 2026</w:t>
      </w:r>
    </w:p>
    <w:p>
      <w:pPr>
        <w:spacing w:after="0"/>
      </w:pPr>
      <w:r>
        <w:rPr>
          <w:rFonts w:ascii="Calibri" w:hAnsi="Calibri"/>
          <w:b/>
          <w:color w:val="6B6B6B"/>
          <w:sz w:val="22"/>
        </w:rPr>
        <w:t>CONFIDENTIAL</w:t>
      </w:r>
    </w:p>
    <w:p>
      <w:r>
        <w:br w:type="page"/>
      </w:r>
    </w:p>
    <w:p>
      <w:pPr>
        <w:pStyle w:val="Heading1"/>
      </w:pPr>
      <w:r>
        <w:rPr>
          <w:rFonts w:ascii="Calibri" w:hAnsi="Calibri"/>
        </w:rPr>
        <w:t>1. Investment Overview</w:t>
      </w:r>
    </w:p>
    <w:p>
      <w:r>
        <w:rPr>
          <w:rFonts w:ascii="Calibri" w:hAnsi="Calibri"/>
          <w:b w:val="0"/>
          <w:i w:val="0"/>
          <w:color w:val="2B2B2B"/>
          <w:sz w:val="22"/>
        </w:rPr>
        <w:t>This document details the capital expenditure plan for Aurelian Manufacturing's first workshop. All CNC investments follow a phased approach aligned with commercial traction and operational maturity. Total machine CAPEX across all phases is approximately 200 MNOK.</w:t>
      </w:r>
    </w:p>
    <w:p>
      <w:pPr>
        <w:pStyle w:val="Heading2"/>
      </w:pPr>
      <w:r>
        <w:rPr>
          <w:rFonts w:ascii="Calibri" w:hAnsi="Calibri"/>
        </w:rPr>
        <w:t>1.1 Core CAPEX Assumptions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Cost per CNC (incl. automation)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 MNOK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Depreciation life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 years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Annual depreciation per CNC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1.25 MNOK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supplier (primary)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MAZAK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supplier (backup)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DMG MORI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Resale value retention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50-70% (market analysis, CNC Resale Value Analysis (VDR 04.02))</w:t>
            </w:r>
          </w:p>
        </w:tc>
      </w:tr>
    </w:tbl>
    <w:p>
      <w:pPr>
        <w:pStyle w:val="Heading1"/>
      </w:pPr>
      <w:r>
        <w:rPr>
          <w:rFonts w:ascii="Calibri" w:hAnsi="Calibri"/>
        </w:rPr>
        <w:t>2. Phase Structure</w:t>
      </w:r>
    </w:p>
    <w:p>
      <w:r>
        <w:rPr>
          <w:rFonts w:ascii="Calibri" w:hAnsi="Calibri"/>
          <w:b w:val="0"/>
          <w:i w:val="0"/>
          <w:color w:val="2B2B2B"/>
          <w:sz w:val="22"/>
        </w:rPr>
        <w:t>The investment is structured across three fundraising rounds, with machine deployment tied to capital availability and commercial demand.</w:t>
      </w:r>
    </w:p>
    <w:p>
      <w:pPr>
        <w:pStyle w:val="Heading2"/>
      </w:pPr>
      <w:r>
        <w:rPr>
          <w:rFonts w:ascii="Calibri" w:hAnsi="Calibri"/>
        </w:rPr>
        <w:t>2.1 Pre-Seed Phase (2026-2027)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machines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 (no machine CAPEX)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Equity raised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 MNOK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Purpose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Establishment, pre-project, risk reduction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Key activities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Company registration, facility planning, customer qualification, team building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Machine CAPEX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 MNOK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Pre-Seed is a zero-CAPEX phase focused entirely on de-risking the project. All capital is deployed toward commercial validation, facility planning, and regulatory groundwork.</w:t>
      </w:r>
    </w:p>
    <w:p>
      <w:pPr>
        <w:pStyle w:val="Heading2"/>
      </w:pPr>
      <w:r>
        <w:rPr>
          <w:rFonts w:ascii="Calibri" w:hAnsi="Calibri"/>
        </w:rPr>
        <w:t>2.2 Seed Phase (2027-2028)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machines deployed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Equity raised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51.3 MNOK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Bank debt (per CNC)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5.0 MNOK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Total bank debt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25.0 MNOK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Machine CAPEX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 MNOK (5 × 10 MNOK)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Shop base setup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8.6 MNOK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Operating buffer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 MNOK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Equity share of CNC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50%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First revenue target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August 2027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Target utilization (Year 1)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20-37.5%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Seed deploys the first 5 CNC machines with a 50/50 equity-debt split on equipment financing. The 10 MNOK operating buffer ensures runway through commercial ramp-up.</w:t>
      </w:r>
    </w:p>
    <w:p>
      <w:pPr>
        <w:pStyle w:val="Heading2"/>
      </w:pPr>
      <w:r>
        <w:rPr>
          <w:rFonts w:ascii="Calibri" w:hAnsi="Calibri"/>
        </w:rPr>
        <w:t>2.3 Serie A Phase (2028-2031)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Item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Additional CNC machines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 (3 tranches of 5)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Equity raised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45 MNOK (may be split in two closings)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Debt per CNC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7.0 MNOK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Total additional bank debt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105 MNOK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Machine CAPEX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150 MNOK (15 × 10 MNOK)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Equity share of CNC (avg)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30-35%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Target utilization (steady state)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60-65%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Serie A scales from 5 to 20 machines in three tranches, with decreasing equity requirements per tranche as operational track record reduces bank risk.</w:t>
      </w:r>
    </w:p>
    <w:p>
      <w:pPr>
        <w:pStyle w:val="Heading1"/>
      </w:pPr>
      <w:r>
        <w:rPr>
          <w:rFonts w:ascii="Calibri" w:hAnsi="Calibri"/>
        </w:rPr>
        <w:t>3. CAPEX Timeline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Year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New 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Total CNC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Annual CAPEX (MNOK)</w:t>
            </w:r>
          </w:p>
        </w:tc>
        <w:tc>
          <w:tcPr>
            <w:tcW w:type="dxa" w:w="181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Accumulated CAPEX (MNOK)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2027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</w:t>
            </w:r>
          </w:p>
        </w:tc>
      </w:tr>
      <w:tr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2029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</w:t>
            </w:r>
          </w:p>
        </w:tc>
        <w:tc>
          <w:tcPr>
            <w:tcW w:type="dxa" w:w="181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150</w:t>
            </w:r>
          </w:p>
        </w:tc>
      </w:tr>
      <w:tr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</w:t>
            </w:r>
          </w:p>
        </w:tc>
        <w:tc>
          <w:tcPr>
            <w:tcW w:type="dxa" w:w="181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200</w:t>
            </w:r>
          </w:p>
        </w:tc>
      </w:tr>
    </w:tbl>
    <w:p>
      <w:r>
        <w:rPr>
          <w:rFonts w:ascii="Calibri" w:hAnsi="Calibri"/>
          <w:b w:val="0"/>
          <w:i w:val="0"/>
          <w:color w:val="2B2B2B"/>
          <w:sz w:val="22"/>
        </w:rPr>
        <w:t>Deployment follows a steady 5-machine-per-year cadence, creating predictable capital requirements and allowing operational maturity between tranches.</w:t>
      </w:r>
    </w:p>
    <w:p>
      <w:pPr>
        <w:pStyle w:val="Heading1"/>
      </w:pPr>
      <w:r>
        <w:rPr>
          <w:rFonts w:ascii="Calibri" w:hAnsi="Calibri"/>
        </w:rPr>
        <w:t>4. Financing Structure per Phase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Phase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Machines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CAPEX (MNOK)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Equity (MNOK)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Bank Debt (MNOK)</w:t>
            </w:r>
          </w:p>
        </w:tc>
        <w:tc>
          <w:tcPr>
            <w:tcW w:type="dxa" w:w="1512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EK %</w:t>
            </w:r>
          </w:p>
        </w:tc>
      </w:tr>
      <w:tr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Pre-Seed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100%</w:t>
            </w:r>
          </w:p>
        </w:tc>
      </w:tr>
      <w:tr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Seed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51.3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50%</w:t>
            </w:r>
          </w:p>
        </w:tc>
      </w:tr>
      <w:tr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Serie A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150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45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105</w:t>
            </w:r>
          </w:p>
        </w:tc>
        <w:tc>
          <w:tcPr>
            <w:tcW w:type="dxa" w:w="1512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30%</w:t>
            </w:r>
          </w:p>
        </w:tc>
      </w:tr>
      <w:tr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Total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200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101.3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130</w:t>
            </w:r>
          </w:p>
        </w:tc>
        <w:tc>
          <w:tcPr>
            <w:tcW w:type="dxa" w:w="1512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—</w:t>
            </w:r>
          </w:p>
        </w:tc>
      </w:tr>
    </w:tbl>
    <w:p>
      <w:pPr>
        <w:pStyle w:val="Heading1"/>
      </w:pPr>
      <w:r>
        <w:rPr>
          <w:rFonts w:ascii="Calibri" w:hAnsi="Calibri"/>
        </w:rPr>
        <w:t>5. Depreciation &amp; Residual Value</w:t>
      </w:r>
    </w:p>
    <w:p>
      <w:pPr>
        <w:pStyle w:val="Heading2"/>
      </w:pPr>
      <w:r>
        <w:rPr>
          <w:rFonts w:ascii="Calibri" w:hAnsi="Calibri"/>
        </w:rPr>
        <w:t>5.1 Annual Depreciation Schedule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Year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Active CNC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Annual Depreciation (MNOK)</w:t>
            </w:r>
          </w:p>
        </w:tc>
        <w:tc>
          <w:tcPr>
            <w:tcW w:type="dxa" w:w="2268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Accumulated (MNOK)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2027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6.25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6.25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2028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12.5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18.75</w:t>
            </w:r>
          </w:p>
        </w:tc>
      </w:tr>
      <w:tr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2029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18.75</w:t>
            </w:r>
          </w:p>
        </w:tc>
        <w:tc>
          <w:tcPr>
            <w:tcW w:type="dxa" w:w="2268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37.5</w:t>
            </w:r>
          </w:p>
        </w:tc>
      </w:tr>
      <w:tr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2030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25.0</w:t>
            </w:r>
          </w:p>
        </w:tc>
        <w:tc>
          <w:tcPr>
            <w:tcW w:type="dxa" w:w="2268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62.5</w:t>
            </w:r>
          </w:p>
        </w:tc>
      </w:tr>
    </w:tbl>
    <w:p>
      <w:pPr>
        <w:pStyle w:val="Heading2"/>
      </w:pPr>
      <w:r>
        <w:rPr>
          <w:rFonts w:ascii="Calibri" w:hAnsi="Calibri"/>
        </w:rPr>
        <w:t>5.2 Residual Value Protection</w:t>
      </w:r>
    </w:p>
    <w:p>
      <w:r>
        <w:rPr>
          <w:rFonts w:ascii="Calibri" w:hAnsi="Calibri"/>
          <w:b w:val="0"/>
          <w:i w:val="0"/>
          <w:color w:val="2B2B2B"/>
          <w:sz w:val="22"/>
        </w:rPr>
        <w:t>MAZAK and DMG MORI machines retain 50-70% of acquisition value over a 2-7 year horizon (ref. CNC Resale Value Analysis (VDR 04.02)). At 20 machines with 10 MNOK acquisition cost, the residual value floor is estimated at 100-140 MNOK, providing significant downside protection for equity investors and lenders.</w:t>
      </w:r>
    </w:p>
    <w:p>
      <w:pPr>
        <w:pStyle w:val="Heading1"/>
      </w:pPr>
      <w:r>
        <w:rPr>
          <w:rFonts w:ascii="Calibri" w:hAnsi="Calibri"/>
        </w:rPr>
        <w:t>6. Self-Funded Scaling (Post-Serie A)</w:t>
      </w:r>
    </w:p>
    <w:p>
      <w:r>
        <w:rPr>
          <w:rFonts w:ascii="Calibri" w:hAnsi="Calibri"/>
          <w:b w:val="0"/>
          <w:i w:val="0"/>
          <w:color w:val="2B2B2B"/>
          <w:sz w:val="22"/>
        </w:rPr>
        <w:t>From approximately 2030, Aurelian's cash flow generation enables self-funded expansion beyond 20 CNC machines without additional equity. Projected free cash flow at 60% utilization with 20 machines supports acquisition of 3-5 additional machines per year from retained earnings.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3024"/>
        <w:gridCol w:w="3024"/>
        <w:gridCol w:w="3024"/>
      </w:tblGrid>
      <w:tr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Parameter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Value</w:t>
            </w:r>
          </w:p>
        </w:tc>
        <w:tc>
          <w:tcPr>
            <w:tcW w:type="dxa" w:w="3024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Source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Self-funded scaling start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~2030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FM8 cash flow model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Additional machines (self-funded)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5 (to 25 total)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&amp; Projections</w:t>
            </w:r>
          </w:p>
        </w:tc>
      </w:tr>
      <w:tr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Capital required per machine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10 MNOK</w:t>
            </w:r>
          </w:p>
        </w:tc>
        <w:tc>
          <w:tcPr>
            <w:tcW w:type="dxa" w:w="3024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Standard CAPEX assumption</w:t>
            </w:r>
          </w:p>
        </w:tc>
      </w:tr>
      <w:tr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Funding source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Operating cash flow</w:t>
            </w:r>
          </w:p>
        </w:tc>
        <w:tc>
          <w:tcPr>
            <w:tcW w:type="dxa" w:w="3024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No additional equity dilution</w:t>
            </w:r>
          </w:p>
        </w:tc>
      </w:tr>
    </w:tbl>
    <w:p>
      <w:pPr>
        <w:pStyle w:val="Heading2"/>
      </w:pPr>
      <w:r>
        <w:rPr>
          <w:rFonts w:ascii="Calibri" w:hAnsi="Calibri"/>
        </w:rPr>
        <w:t>References</w:t>
      </w:r>
    </w:p>
    <w:tbl>
      <w:tblPr>
        <w:tblW w:type="auto" w:w="0"/>
        <w:jc w:val="left"/>
        <w:tblLook w:firstColumn="1" w:firstRow="1" w:lastColumn="0" w:lastRow="0" w:noHBand="0" w:noVBand="1" w:val="04A0"/>
        <w:tblW w:w="5000" w:type="pct"/>
        <w:tblBorders>
          <w:top w:val="single" w:sz="4" w:space="0" w:color="D3D3D3"/>
          <w:bottom w:val="single" w:sz="4" w:space="0" w:color="D3D3D3"/>
          <w:insideH w:val="single" w:sz="4" w:space="0" w:color="D3D3D3"/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4536"/>
        <w:gridCol w:w="4536"/>
      </w:tblGrid>
      <w:tr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VDR ref</w:t>
            </w:r>
          </w:p>
        </w:tc>
        <w:tc>
          <w:tcPr>
            <w:tcW w:type="dxa" w:w="4536"/>
            <w:shd w:val="clear" w:fill="2B2B2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22"/>
              </w:rPr>
              <w:t>Document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02.04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 Economic Tables &amp; Projections (master document)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02.06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Use of Funds — Seed</w:t>
            </w:r>
          </w:p>
        </w:tc>
      </w:tr>
      <w:tr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04.02</w:t>
            </w:r>
          </w:p>
        </w:tc>
        <w:tc>
          <w:tcPr>
            <w:tcW w:type="dxa" w:w="4536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CNC Equipment Specifications</w:t>
            </w:r>
          </w:p>
        </w:tc>
      </w:tr>
      <w:tr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04.04</w:t>
            </w:r>
          </w:p>
        </w:tc>
        <w:tc>
          <w:tcPr>
            <w:tcW w:type="dxa" w:w="4536"/>
            <w:shd w:val="clear" w:fill="F5F5F5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jc w:val="left"/>
            </w:pPr>
            <w:r>
              <w:rPr>
                <w:rFonts w:ascii="Calibri" w:hAnsi="Calibri"/>
                <w:color w:val="2B2B2B"/>
                <w:sz w:val="22"/>
              </w:rPr>
              <w:t>Facility Strategy (Norbygg)</w:t>
            </w:r>
          </w:p>
        </w:tc>
      </w:tr>
    </w:tbl>
    <w:p>
      <w:pPr>
        <w:spacing w:before="480"/>
      </w:pPr>
      <w:r>
        <w:rPr>
          <w:rFonts w:ascii="Calibri" w:hAnsi="Calibri"/>
          <w:color w:val="6B6B6B"/>
          <w:sz w:val="18"/>
        </w:rPr>
        <w:t>Aurelian Manufacturing AS  |  VDR 02.04  |  Confidential</w:t>
      </w:r>
    </w:p>
    <w:p>
      <w:r>
        <w:rPr>
          <w:rFonts w:ascii="Calibri" w:hAnsi="Calibri"/>
          <w:i/>
          <w:color w:val="6B6B6B"/>
          <w:sz w:val="18"/>
        </w:rPr>
        <w:t>Contact: Andre Tandberg, CEO — andre@aurelian.no</w:t>
      </w:r>
    </w:p>
    <w:p>
      <w:r>
        <w:rPr>
          <w:rFonts w:ascii="Calibri" w:hAnsi="Calibri"/>
          <w:i/>
          <w:color w:val="6B6B6B"/>
          <w:sz w:val="18"/>
        </w:rPr>
        <w:t>Contact: Tore Ausland, VP Business Development — tore@aurelian.no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  <w:tabs>
        <w:tab w:val="center" w:pos="4820"/>
        <w:tab w:val="right" w:pos="9639"/>
      </w:tabs>
      <w:pBdr>
        <w:top w:val="single" w:sz="4" w:space="1" w:color="D3D3D3"/>
      </w:pBdr>
    </w:pPr>
    <w:r>
      <w:rPr>
        <w:rFonts w:ascii="Calibri" w:hAnsi="Calibri"/>
        <w:color w:val="6B6B6B"/>
        <w:sz w:val="18"/>
      </w:rPr>
      <w:t>CONFIDENTIAL</w:t>
    </w:r>
    <w:r>
      <w:tab/>
    </w:r>
    <w:r>
      <w:rPr>
        <w:rFonts w:ascii="Calibri" w:hAnsi="Calibri"/>
        <w:color w:val="6B6B6B"/>
        <w:sz w:val="18"/>
      </w:rPr>
      <w:t xml:space="preserve">Page </w:t>
    </w:r>
    <w:fldSimple w:instr=" PAGE ">
      <w:r>
        <w:rPr>
          <w:rFonts w:ascii="Calibri" w:hAnsi="Calibri"/>
          <w:sz w:val="18"/>
          <w:color w:val="6B6B6B"/>
        </w:rPr>
        <w:t>2</w:t>
      </w:r>
    </w:fldSimple>
    <w:r>
      <w:tab/>
    </w:r>
    <w:r>
      <w:rPr>
        <w:rFonts w:ascii="Calibri" w:hAnsi="Calibri"/>
        <w:color w:val="6B6B6B"/>
        <w:sz w:val="18"/>
      </w:rPr>
      <w:t>February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F50537"/>
      </w:pBdr>
    </w:pPr>
    <w:r>
      <w:rPr>
        <w:rFonts w:ascii="Calibri" w:hAnsi="Calibri"/>
        <w:color w:val="6B6B6B"/>
        <w:sz w:val="18"/>
      </w:rPr>
      <w:t>Aurelian Manufacturing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B2B2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F50537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B2B2B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8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6B6B6B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2B2B2B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