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960"/>
        <w:pBdr>
          <w:top w:val="single" w:sz="24" w:space="1" w:color="F50537"/>
        </w:pBdr>
      </w:pPr>
    </w:p>
    <w:p>
      <w:pPr>
        <w:spacing w:after="480"/>
        <w:jc w:val="left"/>
      </w:pPr>
      <w:r>
        <w:rPr>
          <w:rFonts w:ascii="Calibri" w:hAnsi="Calibri"/>
          <w:color w:val="6B6B6B"/>
          <w:sz w:val="28"/>
        </w:rPr>
        <w:t>Aurelian Manufacturing</w:t>
      </w:r>
    </w:p>
    <w:p>
      <w:pPr>
        <w:spacing w:after="160"/>
        <w:jc w:val="left"/>
      </w:pPr>
      <w:r>
        <w:rPr>
          <w:rFonts w:ascii="Calibri" w:hAnsi="Calibri"/>
          <w:b/>
          <w:color w:val="2B2B2B"/>
          <w:sz w:val="56"/>
        </w:rPr>
        <w:t>Use of Funds — Seed Round</w:t>
      </w:r>
    </w:p>
    <w:p>
      <w:pPr>
        <w:spacing w:after="480"/>
        <w:jc w:val="left"/>
      </w:pPr>
      <w:r>
        <w:rPr>
          <w:rFonts w:ascii="Calibri" w:hAnsi="Calibri"/>
          <w:color w:val="6B6B6B"/>
          <w:sz w:val="28"/>
        </w:rPr>
        <w:t>Capital Deployment Plan for First Workshop Establishment</w:t>
      </w:r>
    </w:p>
    <w:p>
      <w:pPr>
        <w:spacing w:after="80"/>
      </w:pPr>
      <w:r>
        <w:rPr>
          <w:rFonts w:ascii="Calibri" w:hAnsi="Calibri"/>
          <w:color w:val="6B6B6B"/>
          <w:sz w:val="22"/>
        </w:rPr>
        <w:t>VDR 02.06</w:t>
      </w:r>
    </w:p>
    <w:p>
      <w:pPr>
        <w:spacing w:after="720"/>
      </w:pPr>
      <w:r>
        <w:rPr>
          <w:rFonts w:ascii="Calibri" w:hAnsi="Calibri"/>
          <w:color w:val="6B6B6B"/>
          <w:sz w:val="22"/>
        </w:rPr>
        <w:t>February 2026</w:t>
      </w:r>
    </w:p>
    <w:p>
      <w:pPr>
        <w:spacing w:after="0"/>
      </w:pPr>
      <w:r>
        <w:rPr>
          <w:rFonts w:ascii="Calibri" w:hAnsi="Calibri"/>
          <w:b/>
          <w:color w:val="6B6B6B"/>
          <w:sz w:val="22"/>
        </w:rPr>
        <w:t>CONFIDENTIAL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1. Overview</w:t>
      </w:r>
    </w:p>
    <w:p>
      <w:r>
        <w:rPr>
          <w:rFonts w:ascii="Calibri" w:hAnsi="Calibri"/>
          <w:b w:val="0"/>
          <w:i w:val="0"/>
          <w:color w:val="2B2B2B"/>
          <w:sz w:val="22"/>
        </w:rPr>
        <w:t>Aurelian Manufacturing seeks 51.3 MNOK in equity in the Seed round, with a pre-money valuation of 130 MNOK. Combined with 29.3 MNOK in bank debt, this provides a total capital base of 80.6 MNOK to establish production capacity with 5 CNC machines and an operational buffer.</w:t>
      </w:r>
    </w:p>
    <w:p>
      <w:r>
        <w:rPr>
          <w:rFonts w:ascii="Calibri" w:hAnsi="Calibri"/>
          <w:b w:val="0"/>
          <w:color w:val="2B2B2B"/>
          <w:sz w:val="22"/>
        </w:rPr>
        <w:t xml:space="preserve">All financial figures in this document are sourced from </w:t>
      </w:r>
      <w:r>
        <w:rPr>
          <w:rFonts w:ascii="Calibri" w:hAnsi="Calibri"/>
          <w:b/>
          <w:color w:val="2B2B2B"/>
          <w:sz w:val="22"/>
        </w:rPr>
        <w:t>02 Economic Tables &amp; Projections</w:t>
      </w:r>
      <w:r>
        <w:rPr>
          <w:rFonts w:ascii="Calibri" w:hAnsi="Calibri"/>
          <w:b w:val="0"/>
          <w:color w:val="2B2B2B"/>
          <w:sz w:val="22"/>
        </w:rPr>
        <w:t xml:space="preserve"> (VDR 02.04). Future revenue and profit estimates are projections based on model assumptions.</w:t>
      </w:r>
    </w:p>
    <w:p>
      <w:pPr>
        <w:pStyle w:val="Heading1"/>
      </w:pPr>
      <w:r>
        <w:rPr>
          <w:rFonts w:ascii="Calibri" w:hAnsi="Calibri"/>
        </w:rPr>
        <w:t>2. Capital Structure — Seed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Source</w:t>
            </w:r>
          </w:p>
        </w:tc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Amount (MNOK)</w:t>
            </w:r>
          </w:p>
        </w:tc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Share</w:t>
            </w:r>
          </w:p>
        </w:tc>
      </w:tr>
      <w:tr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Equity (Seed investors)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51.3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63.6%</w:t>
            </w:r>
          </w:p>
        </w:tc>
      </w:tr>
      <w:tr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Bank debt (machines + shop base)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29.3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36.4%</w:t>
            </w:r>
          </w:p>
        </w:tc>
      </w:tr>
      <w:tr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12" w:space="0" w:color="2B2B2B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2B2B2B"/>
                <w:sz w:val="22"/>
              </w:rPr>
              <w:t>Total available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12" w:space="0" w:color="2B2B2B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2B2B2B"/>
                <w:sz w:val="22"/>
              </w:rPr>
              <w:t>80.6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12" w:space="0" w:color="2B2B2B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2B2B2B"/>
                <w:sz w:val="22"/>
              </w:rPr>
              <w:t>100%</w:t>
            </w:r>
          </w:p>
        </w:tc>
      </w:tr>
    </w:tbl>
    <w:p>
      <w:r>
        <w:rPr>
          <w:rFonts w:ascii="Calibri" w:hAnsi="Calibri"/>
          <w:b/>
          <w:color w:val="2B2B2B"/>
          <w:sz w:val="22"/>
        </w:rPr>
        <w:t xml:space="preserve">Debt ratio (Seed): </w:t>
      </w:r>
      <w:r>
        <w:rPr>
          <w:rFonts w:ascii="Calibri" w:hAnsi="Calibri"/>
          <w:b w:val="0"/>
          <w:color w:val="2B2B2B"/>
          <w:sz w:val="22"/>
        </w:rPr>
        <w:t>50% of machine CAPEX financed with bank debt.</w:t>
      </w:r>
    </w:p>
    <w:p>
      <w:pPr>
        <w:pStyle w:val="Heading1"/>
      </w:pPr>
      <w:r>
        <w:rPr>
          <w:rFonts w:ascii="Calibri" w:hAnsi="Calibri"/>
        </w:rPr>
        <w:t>3. Use of Funds — Detailed</w:t>
      </w:r>
    </w:p>
    <w:p>
      <w:pPr>
        <w:pStyle w:val="Heading2"/>
      </w:pPr>
      <w:r>
        <w:rPr>
          <w:rFonts w:ascii="Calibri" w:hAnsi="Calibri"/>
        </w:rPr>
        <w:t>3.1 CNC Machines and Automation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Item</w:t>
            </w:r>
          </w:p>
        </w:tc>
        <w:tc>
          <w:tcPr>
            <w:tcW w:type="dxa" w:w="226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Quantity</w:t>
            </w:r>
          </w:p>
        </w:tc>
        <w:tc>
          <w:tcPr>
            <w:tcW w:type="dxa" w:w="226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Unit cost</w:t>
            </w:r>
          </w:p>
        </w:tc>
        <w:tc>
          <w:tcPr>
            <w:tcW w:type="dxa" w:w="226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Total (MNOK)</w:t>
            </w:r>
          </w:p>
        </w:tc>
      </w:tr>
      <w:tr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CNC machines (MAZAK/DMG MORI) incl. automation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10.0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50.0</w:t>
            </w:r>
          </w:p>
        </w:tc>
      </w:tr>
    </w:tbl>
    <w:p>
      <w:r>
        <w:rPr>
          <w:rFonts w:ascii="Calibri" w:hAnsi="Calibri"/>
          <w:b/>
          <w:i w:val="0"/>
          <w:color w:val="2B2B2B"/>
          <w:sz w:val="22"/>
        </w:rPr>
        <w:t>Machine specification:</w:t>
      </w:r>
    </w:p>
    <w:p>
      <w:pPr>
        <w:pStyle w:val="ListBullet"/>
      </w:pPr>
      <w:r>
        <w:rPr>
          <w:rFonts w:ascii="Calibri" w:hAnsi="Calibri"/>
          <w:color w:val="2B2B2B"/>
          <w:sz w:val="22"/>
        </w:rPr>
        <w:t>Multi-axis milling and turning centres</w:t>
      </w:r>
    </w:p>
    <w:p>
      <w:pPr>
        <w:pStyle w:val="ListBullet"/>
      </w:pPr>
      <w:r>
        <w:rPr>
          <w:rFonts w:ascii="Calibri" w:hAnsi="Calibri"/>
          <w:color w:val="2B2B2B"/>
          <w:sz w:val="22"/>
        </w:rPr>
        <w:t>MAZAK MPP/PALLETECH pallet systems</w:t>
      </w:r>
    </w:p>
    <w:p>
      <w:pPr>
        <w:pStyle w:val="ListBullet"/>
      </w:pPr>
      <w:r>
        <w:rPr>
          <w:rFonts w:ascii="Calibri" w:hAnsi="Calibri"/>
          <w:color w:val="2B2B2B"/>
          <w:sz w:val="22"/>
        </w:rPr>
        <w:t>Robotic loading/unloading</w:t>
      </w:r>
    </w:p>
    <w:p>
      <w:pPr>
        <w:pStyle w:val="ListBullet"/>
      </w:pPr>
      <w:r>
        <w:rPr>
          <w:rFonts w:ascii="Calibri" w:hAnsi="Calibri"/>
          <w:color w:val="2B2B2B"/>
          <w:sz w:val="22"/>
        </w:rPr>
        <w:t>Integrated monitoring and SPC</w:t>
      </w:r>
    </w:p>
    <w:p>
      <w:pPr>
        <w:pStyle w:val="ListBullet"/>
      </w:pPr>
      <w:r>
        <w:rPr>
          <w:rFonts w:ascii="Calibri" w:hAnsi="Calibri"/>
          <w:color w:val="2B2B2B"/>
          <w:sz w:val="22"/>
        </w:rPr>
        <w:t>Installation, commissioning and training included</w:t>
      </w:r>
    </w:p>
    <w:p>
      <w:r>
        <w:rPr>
          <w:rFonts w:ascii="Calibri" w:hAnsi="Calibri"/>
          <w:b/>
          <w:color w:val="2B2B2B"/>
          <w:sz w:val="22"/>
        </w:rPr>
        <w:t xml:space="preserve">Financing: </w:t>
      </w:r>
      <w:r>
        <w:rPr>
          <w:rFonts w:ascii="Calibri" w:hAnsi="Calibri"/>
          <w:b w:val="0"/>
          <w:color w:val="2B2B2B"/>
          <w:sz w:val="22"/>
        </w:rPr>
        <w:t>50% equity (25.0 MNOK) + 50% bank debt (25.0 MNOK)</w:t>
      </w:r>
    </w:p>
    <w:p>
      <w:pPr>
        <w:pStyle w:val="Heading2"/>
      </w:pPr>
      <w:r>
        <w:rPr>
          <w:rFonts w:ascii="Calibri" w:hAnsi="Calibri"/>
        </w:rPr>
        <w:t>3.2 Shop Base Setup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4536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Item</w:t>
            </w:r>
          </w:p>
        </w:tc>
        <w:tc>
          <w:tcPr>
            <w:tcW w:type="dxa" w:w="4536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Amount (MNOK)</w:t>
            </w:r>
          </w:p>
        </w:tc>
      </w:tr>
      <w:tr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Measurement room (Wenzel CMM, Jenoptik, equipment)</w:t>
            </w:r>
          </w:p>
        </w:tc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3.91</w:t>
            </w:r>
          </w:p>
        </w:tc>
      </w:tr>
      <w:tr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Cutting / raw goods (automated saw, shelving, misc)</w:t>
            </w:r>
          </w:p>
        </w:tc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1.50</w:t>
            </w:r>
          </w:p>
        </w:tc>
      </w:tr>
      <w:tr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Compressor (Kaeser)</w:t>
            </w:r>
          </w:p>
        </w:tc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0.36</w:t>
            </w:r>
          </w:p>
        </w:tc>
      </w:tr>
      <w:tr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Machine extraction (Absolent, 4 machines)</w:t>
            </w:r>
          </w:p>
        </w:tc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2.00</w:t>
            </w:r>
          </w:p>
        </w:tc>
      </w:tr>
      <w:tr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Forklift (used + top brand)</w:t>
            </w:r>
          </w:p>
        </w:tc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0.85</w:t>
            </w:r>
          </w:p>
        </w:tc>
      </w:tr>
      <w:tr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12" w:space="0" w:color="2B2B2B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2B2B2B"/>
                <w:sz w:val="22"/>
              </w:rPr>
              <w:t>Shop base total</w:t>
            </w:r>
          </w:p>
        </w:tc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12" w:space="0" w:color="2B2B2B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2B2B2B"/>
                <w:sz w:val="22"/>
              </w:rPr>
              <w:t>~8.6</w:t>
            </w:r>
          </w:p>
        </w:tc>
      </w:tr>
    </w:tbl>
    <w:p>
      <w:r>
        <w:rPr>
          <w:rFonts w:ascii="Calibri" w:hAnsi="Calibri"/>
          <w:b/>
          <w:color w:val="2B2B2B"/>
          <w:sz w:val="22"/>
        </w:rPr>
        <w:t xml:space="preserve">Financing: </w:t>
      </w:r>
      <w:r>
        <w:rPr>
          <w:rFonts w:ascii="Calibri" w:hAnsi="Calibri"/>
          <w:b w:val="0"/>
          <w:color w:val="2B2B2B"/>
          <w:sz w:val="22"/>
        </w:rPr>
        <w:t>Partially equity, partially bank debt (4.3 MNOK debt for long-term assets).</w:t>
      </w:r>
    </w:p>
    <w:p>
      <w:pPr>
        <w:pStyle w:val="Heading2"/>
      </w:pPr>
      <w:r>
        <w:rPr>
          <w:rFonts w:ascii="Calibri" w:hAnsi="Calibri"/>
        </w:rPr>
        <w:t>3.3 Operational Buffer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4536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Item</w:t>
            </w:r>
          </w:p>
        </w:tc>
        <w:tc>
          <w:tcPr>
            <w:tcW w:type="dxa" w:w="4536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Amount (MNOK)</w:t>
            </w:r>
          </w:p>
        </w:tc>
      </w:tr>
      <w:tr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Working capital (6 months)</w:t>
            </w:r>
          </w:p>
        </w:tc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6.0</w:t>
            </w:r>
          </w:p>
        </w:tc>
      </w:tr>
      <w:tr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Contingency</w:t>
            </w:r>
          </w:p>
        </w:tc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4.0</w:t>
            </w:r>
          </w:p>
        </w:tc>
      </w:tr>
      <w:tr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12" w:space="0" w:color="2B2B2B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2B2B2B"/>
                <w:sz w:val="22"/>
              </w:rPr>
              <w:t>Buffer total</w:t>
            </w:r>
          </w:p>
        </w:tc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12" w:space="0" w:color="2B2B2B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2B2B2B"/>
                <w:sz w:val="22"/>
              </w:rPr>
              <w:t>10.0</w:t>
            </w:r>
          </w:p>
        </w:tc>
      </w:tr>
    </w:tbl>
    <w:p>
      <w:r>
        <w:rPr>
          <w:rFonts w:ascii="Calibri" w:hAnsi="Calibri"/>
          <w:b w:val="0"/>
          <w:i w:val="0"/>
          <w:color w:val="2B2B2B"/>
          <w:sz w:val="22"/>
        </w:rPr>
        <w:t>The buffer ensures the company can operate for 6+ months even with delayed customer revenue, and covers unforeseen costs related to commissioning and startup.</w:t>
      </w:r>
    </w:p>
    <w:p>
      <w:pPr>
        <w:pStyle w:val="Heading2"/>
      </w:pPr>
      <w:r>
        <w:rPr>
          <w:rFonts w:ascii="Calibri" w:hAnsi="Calibri"/>
        </w:rPr>
        <w:t>3.4 Facility and Setup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4536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Item</w:t>
            </w:r>
          </w:p>
        </w:tc>
        <w:tc>
          <w:tcPr>
            <w:tcW w:type="dxa" w:w="4536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Amount (MNOK)</w:t>
            </w:r>
          </w:p>
        </w:tc>
      </w:tr>
      <w:tr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Lease cost during construction (prepaid)</w:t>
            </w:r>
          </w:p>
        </w:tc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~2.0</w:t>
            </w:r>
          </w:p>
        </w:tc>
      </w:tr>
      <w:tr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Adaptations and fit-out</w:t>
            </w:r>
          </w:p>
        </w:tc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~3.0</w:t>
            </w:r>
          </w:p>
        </w:tc>
      </w:tr>
      <w:tr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12" w:space="0" w:color="2B2B2B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2B2B2B"/>
                <w:sz w:val="22"/>
              </w:rPr>
              <w:t>Facility total</w:t>
            </w:r>
          </w:p>
        </w:tc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12" w:space="0" w:color="2B2B2B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2B2B2B"/>
                <w:sz w:val="22"/>
              </w:rPr>
              <w:t>~5.0</w:t>
            </w:r>
          </w:p>
        </w:tc>
      </w:tr>
    </w:tbl>
    <w:p>
      <w:r>
        <w:rPr>
          <w:rFonts w:ascii="Calibri" w:hAnsi="Calibri"/>
          <w:b/>
          <w:color w:val="2B2B2B"/>
          <w:sz w:val="22"/>
        </w:rPr>
        <w:t xml:space="preserve">Note: </w:t>
      </w:r>
      <w:r>
        <w:rPr>
          <w:rFonts w:ascii="Calibri" w:hAnsi="Calibri"/>
          <w:b w:val="0"/>
          <w:color w:val="2B2B2B"/>
          <w:sz w:val="22"/>
        </w:rPr>
        <w:t>The building is owned by Norbygg and leased by Aurelian at 5.2 MNOK/year. Building CAPEX is therefore not part of the Seed round.</w:t>
      </w:r>
    </w:p>
    <w:p>
      <w:pPr>
        <w:pStyle w:val="Heading2"/>
      </w:pPr>
      <w:r>
        <w:rPr>
          <w:rFonts w:ascii="Calibri" w:hAnsi="Calibri"/>
        </w:rPr>
        <w:t>3.5 Recruitment and Startup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4536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Item</w:t>
            </w:r>
          </w:p>
        </w:tc>
        <w:tc>
          <w:tcPr>
            <w:tcW w:type="dxa" w:w="4536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Amount (MNOK)</w:t>
            </w:r>
          </w:p>
        </w:tc>
      </w:tr>
      <w:tr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Recruitment and onboarding (8 operative + 4 admin)</w:t>
            </w:r>
          </w:p>
        </w:tc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~2.5</w:t>
            </w:r>
          </w:p>
        </w:tc>
      </w:tr>
      <w:tr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Certification (ISO 9001 startup)</w:t>
            </w:r>
          </w:p>
        </w:tc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~0.5</w:t>
            </w:r>
          </w:p>
        </w:tc>
      </w:tr>
      <w:tr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Legal and advisory</w:t>
            </w:r>
          </w:p>
        </w:tc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~1.0</w:t>
            </w:r>
          </w:p>
        </w:tc>
      </w:tr>
      <w:tr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12" w:space="0" w:color="2B2B2B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2B2B2B"/>
                <w:sz w:val="22"/>
              </w:rPr>
              <w:t>Recruitment/startup total</w:t>
            </w:r>
          </w:p>
        </w:tc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12" w:space="0" w:color="2B2B2B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2B2B2B"/>
                <w:sz w:val="22"/>
              </w:rPr>
              <w:t>~4.0</w:t>
            </w:r>
          </w:p>
        </w:tc>
      </w:tr>
    </w:tbl>
    <w:p>
      <w:pPr>
        <w:pStyle w:val="Heading1"/>
      </w:pPr>
      <w:r>
        <w:rPr>
          <w:rFonts w:ascii="Calibri" w:hAnsi="Calibri"/>
        </w:rPr>
        <w:t>4. Summary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Category</w:t>
            </w:r>
          </w:p>
        </w:tc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Amount (MNOK)</w:t>
            </w:r>
          </w:p>
        </w:tc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Share of total</w:t>
            </w:r>
          </w:p>
        </w:tc>
      </w:tr>
      <w:tr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CNC machines and automation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50.0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62.0%</w:t>
            </w:r>
          </w:p>
        </w:tc>
      </w:tr>
      <w:tr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Shop base setup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8.6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10.7%</w:t>
            </w:r>
          </w:p>
        </w:tc>
      </w:tr>
      <w:tr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Operational buffer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10.0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12.4%</w:t>
            </w:r>
          </w:p>
        </w:tc>
      </w:tr>
      <w:tr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Facility and setup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~5.0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6.2%</w:t>
            </w:r>
          </w:p>
        </w:tc>
      </w:tr>
      <w:tr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Recruitment and startup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~4.0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5.0%</w:t>
            </w:r>
          </w:p>
        </w:tc>
      </w:tr>
      <w:tr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Diverse / margin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~3.0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3.7%</w:t>
            </w:r>
          </w:p>
        </w:tc>
      </w:tr>
      <w:tr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12" w:space="0" w:color="2B2B2B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2B2B2B"/>
                <w:sz w:val="22"/>
              </w:rPr>
              <w:t>Total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12" w:space="0" w:color="2B2B2B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2B2B2B"/>
                <w:sz w:val="22"/>
              </w:rPr>
              <w:t>~80.6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12" w:space="0" w:color="2B2B2B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2B2B2B"/>
                <w:sz w:val="22"/>
              </w:rPr>
              <w:t>100%</w:t>
            </w:r>
          </w:p>
        </w:tc>
      </w:tr>
    </w:tbl>
    <w:p>
      <w:pPr>
        <w:pStyle w:val="Heading1"/>
      </w:pPr>
      <w:r>
        <w:rPr>
          <w:rFonts w:ascii="Calibri" w:hAnsi="Calibri"/>
        </w:rPr>
        <w:t>5. Funding Sources — Mapping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Use</w:t>
            </w:r>
          </w:p>
        </w:tc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Equity (MNOK)</w:t>
            </w:r>
          </w:p>
        </w:tc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Bank debt (MNOK)</w:t>
            </w:r>
          </w:p>
        </w:tc>
      </w:tr>
      <w:tr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CNC machines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25.0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25.0</w:t>
            </w:r>
          </w:p>
        </w:tc>
      </w:tr>
      <w:tr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Shop base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4.3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4.3</w:t>
            </w:r>
          </w:p>
        </w:tc>
      </w:tr>
      <w:tr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Buffer + startup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19.0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—</w:t>
            </w:r>
          </w:p>
        </w:tc>
      </w:tr>
      <w:tr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Facility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3.0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—</w:t>
            </w:r>
          </w:p>
        </w:tc>
      </w:tr>
      <w:tr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12" w:space="0" w:color="2B2B2B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2B2B2B"/>
                <w:sz w:val="22"/>
              </w:rPr>
              <w:t>Total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12" w:space="0" w:color="2B2B2B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2B2B2B"/>
                <w:sz w:val="22"/>
              </w:rPr>
              <w:t>51.3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12" w:space="0" w:color="2B2B2B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2B2B2B"/>
                <w:sz w:val="22"/>
              </w:rPr>
              <w:t>29.3</w:t>
            </w:r>
          </w:p>
        </w:tc>
      </w:tr>
    </w:tbl>
    <w:p>
      <w:pPr>
        <w:pStyle w:val="Heading1"/>
      </w:pPr>
      <w:r>
        <w:rPr>
          <w:rFonts w:ascii="Calibri" w:hAnsi="Calibri"/>
        </w:rPr>
        <w:t>6. Milestones — Seed Period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Milestone</w:t>
            </w:r>
          </w:p>
        </w:tc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Target date</w:t>
            </w:r>
          </w:p>
        </w:tc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Prerequisite</w:t>
            </w:r>
          </w:p>
        </w:tc>
      </w:tr>
      <w:tr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Seed close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Q1 2026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51.3 MNOK secured</w:t>
            </w:r>
          </w:p>
        </w:tc>
      </w:tr>
      <w:tr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Machine order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Q2 2026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 CNC ordered from MAZAK/DMG MORI</w:t>
            </w:r>
          </w:p>
        </w:tc>
      </w:tr>
      <w:tr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Building start (Norbygg)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Q3 2026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Lease contract signed</w:t>
            </w:r>
          </w:p>
        </w:tc>
      </w:tr>
      <w:tr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Machine delivery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Q2 2027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 CNC delivered to facility</w:t>
            </w:r>
          </w:p>
        </w:tc>
      </w:tr>
      <w:tr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Commissioning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Q2 2027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Installation and testing</w:t>
            </w:r>
          </w:p>
        </w:tc>
      </w:tr>
      <w:tr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Production start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August 2027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First customer order</w:t>
            </w:r>
          </w:p>
        </w:tc>
      </w:tr>
      <w:tr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ISO 9001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2027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Certification completed</w:t>
            </w:r>
          </w:p>
        </w:tc>
      </w:tr>
      <w:tr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Break-even (model)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~Q4 2027/Q1 2028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~24% utilization achieved</w:t>
            </w:r>
          </w:p>
        </w:tc>
      </w:tr>
    </w:tbl>
    <w:p>
      <w:pPr>
        <w:pStyle w:val="Heading1"/>
      </w:pPr>
      <w:r>
        <w:rPr>
          <w:rFonts w:ascii="Calibri" w:hAnsi="Calibri"/>
        </w:rPr>
        <w:t>7. Sensitivity — Break-Even</w:t>
      </w:r>
    </w:p>
    <w:p>
      <w:r>
        <w:rPr>
          <w:rFonts w:ascii="Calibri" w:hAnsi="Calibri"/>
          <w:b w:val="0"/>
          <w:color w:val="2B2B2B"/>
          <w:sz w:val="22"/>
        </w:rPr>
        <w:t xml:space="preserve">The model projects break-even at </w:t>
      </w:r>
      <w:r>
        <w:rPr>
          <w:rFonts w:ascii="Calibri" w:hAnsi="Calibri"/>
          <w:b/>
          <w:color w:val="2B2B2B"/>
          <w:sz w:val="22"/>
        </w:rPr>
        <w:t>~24% utilization</w:t>
      </w:r>
      <w:r>
        <w:rPr>
          <w:rFonts w:ascii="Calibri" w:hAnsi="Calibri"/>
          <w:b w:val="0"/>
          <w:color w:val="2B2B2B"/>
          <w:sz w:val="22"/>
        </w:rPr>
        <w:t xml:space="preserve"> on 5 CNC machines: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Scenario</w:t>
            </w:r>
          </w:p>
        </w:tc>
        <w:tc>
          <w:tcPr>
            <w:tcW w:type="dxa" w:w="226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Utilization</w:t>
            </w:r>
          </w:p>
        </w:tc>
        <w:tc>
          <w:tcPr>
            <w:tcW w:type="dxa" w:w="226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Revenue (MNOK)</w:t>
            </w:r>
          </w:p>
        </w:tc>
        <w:tc>
          <w:tcPr>
            <w:tcW w:type="dxa" w:w="226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Result</w:t>
            </w:r>
          </w:p>
        </w:tc>
      </w:tr>
      <w:tr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Worst case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15%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~19.7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Negative (uses buffer)</w:t>
            </w:r>
          </w:p>
        </w:tc>
      </w:tr>
      <w:tr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Break-even (model)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~24%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~31.5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~0</w:t>
            </w:r>
          </w:p>
        </w:tc>
      </w:tr>
      <w:tr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Budget (2028)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37.5%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49.3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+15.2</w:t>
            </w:r>
          </w:p>
        </w:tc>
      </w:tr>
      <w:tr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Stretch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45%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59.1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+25.0</w:t>
            </w:r>
          </w:p>
        </w:tc>
      </w:tr>
    </w:tbl>
    <w:p>
      <w:r>
        <w:rPr>
          <w:rFonts w:ascii="Calibri" w:hAnsi="Calibri"/>
          <w:b w:val="0"/>
          <w:i/>
          <w:color w:val="2B2B2B"/>
          <w:sz w:val="22"/>
        </w:rPr>
        <w:t>For context: Observed utilization among Norwegian HMLV workshops ranges between 20-45% (CNC Benchmark, VDR 03.02). The model's break-even point of ~24% is in the lower part of this observed range.</w:t>
      </w:r>
    </w:p>
    <w:p>
      <w:pPr>
        <w:pStyle w:val="Heading2"/>
      </w:pPr>
      <w:r>
        <w:rPr>
          <w:rFonts w:ascii="Calibri" w:hAnsi="Calibri"/>
        </w:rPr>
        <w:t>References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4536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VDR ref</w:t>
            </w:r>
          </w:p>
        </w:tc>
        <w:tc>
          <w:tcPr>
            <w:tcW w:type="dxa" w:w="4536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Document</w:t>
            </w:r>
          </w:p>
        </w:tc>
      </w:tr>
      <w:tr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02.04</w:t>
            </w:r>
          </w:p>
        </w:tc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02 Economic Tables &amp; Projections (master document)</w:t>
            </w:r>
          </w:p>
        </w:tc>
      </w:tr>
      <w:tr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03.02</w:t>
            </w:r>
          </w:p>
        </w:tc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CNC Benchmark &amp; Competitive Landscape</w:t>
            </w:r>
          </w:p>
        </w:tc>
      </w:tr>
      <w:tr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03.06</w:t>
            </w:r>
          </w:p>
        </w:tc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Market Trends &amp; Projections</w:t>
            </w:r>
          </w:p>
        </w:tc>
      </w:tr>
      <w:tr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04.02</w:t>
            </w:r>
          </w:p>
        </w:tc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CNC Equipment Specifications</w:t>
            </w:r>
          </w:p>
        </w:tc>
      </w:tr>
      <w:tr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04.04</w:t>
            </w:r>
          </w:p>
        </w:tc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Facility Strategy (Norbygg)</w:t>
            </w:r>
          </w:p>
        </w:tc>
      </w:tr>
    </w:tbl>
    <w:p>
      <w:pPr>
        <w:spacing w:before="480"/>
      </w:pPr>
      <w:r>
        <w:rPr>
          <w:rFonts w:ascii="Calibri" w:hAnsi="Calibri"/>
          <w:color w:val="6B6B6B"/>
          <w:sz w:val="18"/>
        </w:rPr>
        <w:t>Aurelian Manufacturing AS  |  VDR 02.06  |  Confidential</w:t>
      </w:r>
    </w:p>
    <w:p>
      <w:r>
        <w:rPr>
          <w:rFonts w:ascii="Calibri" w:hAnsi="Calibri"/>
          <w:i/>
          <w:color w:val="6B6B6B"/>
          <w:sz w:val="18"/>
        </w:rPr>
        <w:t>Contact: Andre Tandberg, CEO — andre@aurelian.no</w:t>
      </w:r>
    </w:p>
    <w:p>
      <w:r>
        <w:rPr>
          <w:rFonts w:ascii="Calibri" w:hAnsi="Calibri"/>
          <w:i/>
          <w:color w:val="6B6B6B"/>
          <w:sz w:val="18"/>
        </w:rPr>
        <w:t>Contact: Tore Ausland, VP Business Development — tore@aurelian.no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tabs>
        <w:tab w:val="center" w:pos="4820"/>
        <w:tab w:val="right" w:pos="9639"/>
      </w:tabs>
      <w:pBdr>
        <w:top w:val="single" w:sz="4" w:space="1" w:color="D3D3D3"/>
      </w:pBdr>
    </w:pPr>
    <w:r>
      <w:rPr>
        <w:rFonts w:ascii="Calibri" w:hAnsi="Calibri"/>
        <w:color w:val="6B6B6B"/>
        <w:sz w:val="18"/>
      </w:rPr>
      <w:t>CONFIDENTIAL</w:t>
    </w:r>
    <w:r>
      <w:tab/>
    </w:r>
    <w:r>
      <w:rPr>
        <w:rFonts w:ascii="Calibri" w:hAnsi="Calibri"/>
        <w:color w:val="6B6B6B"/>
        <w:sz w:val="18"/>
      </w:rPr>
      <w:t xml:space="preserve">Page </w:t>
    </w:r>
    <w:fldSimple w:instr=" PAGE ">
      <w:r>
        <w:rPr>
          <w:rFonts w:ascii="Calibri" w:hAnsi="Calibri"/>
          <w:sz w:val="18"/>
          <w:color w:val="6B6B6B"/>
        </w:rPr>
        <w:t>2</w:t>
      </w:r>
    </w:fldSimple>
    <w:r>
      <w:tab/>
    </w:r>
    <w:r>
      <w:rPr>
        <w:rFonts w:ascii="Calibri" w:hAnsi="Calibri"/>
        <w:color w:val="6B6B6B"/>
        <w:sz w:val="18"/>
      </w:rPr>
      <w:t>February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F50537"/>
      </w:pBdr>
    </w:pPr>
    <w:r>
      <w:rPr>
        <w:rFonts w:ascii="Calibri" w:hAnsi="Calibri"/>
        <w:color w:val="6B6B6B"/>
        <w:sz w:val="18"/>
      </w:rPr>
      <w:t>Aurelian Manufacturing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B2B2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F5053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B2B2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6B6B6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2B2B2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