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960"/>
        <w:pBdr>
          <w:top w:val="single" w:sz="24" w:space="1" w:color="F50537"/>
        </w:pBdr>
      </w:pPr>
    </w:p>
    <w:p>
      <w:pPr>
        <w:spacing w:after="480"/>
        <w:jc w:val="left"/>
      </w:pPr>
      <w:r>
        <w:rPr>
          <w:rFonts w:ascii="Calibri" w:hAnsi="Calibri"/>
          <w:color w:val="6B6B6B"/>
          <w:sz w:val="28"/>
        </w:rPr>
        <w:t>Aurelian Manufacturing</w:t>
      </w:r>
    </w:p>
    <w:p>
      <w:pPr>
        <w:spacing w:after="160"/>
        <w:jc w:val="left"/>
      </w:pPr>
      <w:r>
        <w:rPr>
          <w:rFonts w:ascii="Calibri" w:hAnsi="Calibri"/>
          <w:b/>
          <w:color w:val="2B2B2B"/>
          <w:sz w:val="56"/>
        </w:rPr>
        <w:t>TAM / SAM / SOM</w:t>
      </w:r>
    </w:p>
    <w:p>
      <w:pPr>
        <w:spacing w:after="480"/>
        <w:jc w:val="left"/>
      </w:pPr>
      <w:r>
        <w:rPr>
          <w:rFonts w:ascii="Calibri" w:hAnsi="Calibri"/>
          <w:color w:val="6B6B6B"/>
          <w:sz w:val="28"/>
        </w:rPr>
        <w:t>Norwegian &amp; Nordic CNC Market Sizing</w:t>
      </w:r>
    </w:p>
    <w:p>
      <w:pPr>
        <w:spacing w:after="80"/>
      </w:pPr>
      <w:r>
        <w:rPr>
          <w:rFonts w:ascii="Calibri" w:hAnsi="Calibri"/>
          <w:color w:val="6B6B6B"/>
          <w:sz w:val="22"/>
        </w:rPr>
        <w:t>VDR 03.01</w:t>
      </w:r>
    </w:p>
    <w:p>
      <w:pPr>
        <w:spacing w:after="720"/>
      </w:pPr>
      <w:r>
        <w:rPr>
          <w:rFonts w:ascii="Calibri" w:hAnsi="Calibri"/>
          <w:color w:val="6B6B6B"/>
          <w:sz w:val="22"/>
        </w:rPr>
        <w:t>February 2026</w:t>
      </w:r>
    </w:p>
    <w:p>
      <w:pPr>
        <w:spacing w:after="0"/>
      </w:pPr>
      <w:r>
        <w:rPr>
          <w:rFonts w:ascii="Calibri" w:hAnsi="Calibri"/>
          <w:b/>
          <w:color w:val="6B6B6B"/>
          <w:sz w:val="22"/>
        </w:rPr>
        <w:t>CONFIDENTIAL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1. Market Sizing Overview</w:t>
      </w:r>
    </w:p>
    <w:p>
      <w:r>
        <w:rPr>
          <w:rFonts w:ascii="Calibri" w:hAnsi="Calibri"/>
          <w:b w:val="0"/>
          <w:i w:val="0"/>
          <w:color w:val="2B2B2B"/>
          <w:sz w:val="22"/>
        </w:rPr>
        <w:t>This document quantifies the Total Addressable Market (TAM), Serviceable Addressable Market (SAM) and Serviceable Obtainable Market (SOM) for Aurelian Manufacturing's CNC production services in the Norwegian and Nordic markets.</w:t>
      </w:r>
    </w:p>
    <w:p>
      <w:r>
        <w:rPr>
          <w:rFonts w:ascii="Calibri" w:hAnsi="Calibri"/>
          <w:b w:val="0"/>
          <w:i/>
          <w:color w:val="2B2B2B"/>
          <w:sz w:val="22"/>
        </w:rPr>
        <w:t>All market size estimates are based on published industry data, government statistics and third-party market reports. Aurelian's own projections are design targets and are clearly separated from observed market data.</w:t>
      </w:r>
    </w:p>
    <w:p>
      <w:r>
        <w:rPr>
          <w:rFonts w:ascii="Calibri" w:hAnsi="Calibri"/>
          <w:b w:val="0"/>
          <w:i w:val="0"/>
          <w:color w:val="2B2B2B"/>
          <w:sz w:val="22"/>
        </w:rPr>
        <w:t>TAM / SAM / SOM</w:t>
      </w:r>
    </w:p>
    <w:p>
      <w:r>
        <w:rPr>
          <w:rFonts w:ascii="Calibri" w:hAnsi="Calibri"/>
          <w:b w:val="0"/>
          <w:i w:val="0"/>
          <w:color w:val="2B2B2B"/>
          <w:sz w:val="22"/>
        </w:rPr>
        <w:t>Norwegian &amp; Nordic Precision CNC Manufacturing</w:t>
      </w:r>
    </w:p>
    <w:p>
      <w:r>
        <w:rPr>
          <w:rFonts w:ascii="Calibri" w:hAnsi="Calibri"/>
          <w:b w:val="0"/>
          <w:i w:val="0"/>
          <w:color w:val="2B2B2B"/>
          <w:sz w:val="22"/>
        </w:rPr>
        <w:t>1. Sammendrag</w:t>
      </w:r>
    </w:p>
    <w:p>
      <w:r>
        <w:rPr>
          <w:rFonts w:ascii="Calibri" w:hAnsi="Calibri"/>
          <w:b w:val="0"/>
          <w:i w:val="0"/>
          <w:color w:val="2B2B2B"/>
          <w:sz w:val="22"/>
        </w:rPr>
        <w:t>Dette dokumentet kvantifiserer markedsmuligheten for Aurelian Manufacturing innen presisjon CNC-maskinering i High Mix – Low Volume (HMLV)-segmentet i Norge og Norden. Analysen er bygget bottom-up fra tre strukturelle etterspørselsdrivere: forsvar, energi/maritim og industriell modernisering.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Market level</w:t>
            </w:r>
          </w:p>
        </w:tc>
        <w:tc>
          <w:tcPr>
            <w:tcW w:type="dxa" w:w="3024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Definition</w:t>
            </w:r>
          </w:p>
        </w:tc>
        <w:tc>
          <w:tcPr>
            <w:tcW w:type="dxa" w:w="3024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Annual value (NOK)</w:t>
            </w:r>
          </w:p>
        </w:tc>
      </w:tr>
      <w:tr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TAM</w:t>
            </w:r>
          </w:p>
        </w:tc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All presisjon CNC-maskinering i Norge/Norden</w:t>
            </w:r>
          </w:p>
        </w:tc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25–40 mrd</w:t>
            </w:r>
          </w:p>
        </w:tc>
      </w:tr>
      <w:tr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SAM</w:t>
            </w:r>
          </w:p>
        </w:tc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HMLV, høypresisjon, full sporbarhet, batch 1–5 000</w:t>
            </w:r>
          </w:p>
        </w:tc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5–10 mrd</w:t>
            </w:r>
          </w:p>
        </w:tc>
      </w:tr>
      <w:tr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SOM</w:t>
            </w:r>
          </w:p>
        </w:tc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Aurelians kapasitet ved 20–25 CNC (3–8% av SAM)</w:t>
            </w:r>
          </w:p>
        </w:tc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300–400 MNOK</w:t>
            </w:r>
          </w:p>
        </w:tc>
      </w:tr>
    </w:tbl>
    <w:p>
      <w:r>
        <w:rPr>
          <w:rFonts w:ascii="Calibri" w:hAnsi="Calibri"/>
          <w:b w:val="0"/>
          <w:i w:val="0"/>
          <w:color w:val="2B2B2B"/>
          <w:sz w:val="22"/>
        </w:rPr>
        <w:t xml:space="preserve">Kilder: 03 Market Trends &amp; Projections (VDR 03.06), Defence Market Research, Energy Market Research, Critical Markets Research, Investor Pitch Deck (VDR 00.03), Aurelian Market Trends &amp; Projections Report.</w:t>
      </w:r>
    </w:p>
    <w:p>
      <w:r>
        <w:rPr>
          <w:rFonts w:ascii="Calibri" w:hAnsi="Calibri"/>
          <w:b w:val="0"/>
          <w:i w:val="0"/>
          <w:color w:val="2B2B2B"/>
          <w:sz w:val="22"/>
        </w:rPr>
        <w:t>2. Total Addressable Market (TAM)</w:t>
      </w:r>
    </w:p>
    <w:p>
      <w:r>
        <w:rPr>
          <w:rFonts w:ascii="Calibri" w:hAnsi="Calibri"/>
          <w:b w:val="0"/>
          <w:i w:val="0"/>
          <w:color w:val="2B2B2B"/>
          <w:sz w:val="22"/>
        </w:rPr>
        <w:t>TAM representerer totalmarkedet for presisjon CNC-maskinering i Norge og Norden, uavhengig av Aurelians spesifikke kapabiliteter. Markedet drives av tre strukturelle megadrivere som konvergerer i perioden 2025–2035.</w:t>
      </w:r>
    </w:p>
    <w:p>
      <w:r>
        <w:rPr>
          <w:rFonts w:ascii="Calibri" w:hAnsi="Calibri"/>
          <w:b w:val="0"/>
          <w:i w:val="0"/>
          <w:color w:val="2B2B2B"/>
          <w:sz w:val="22"/>
        </w:rPr>
        <w:t>2.1 Forsvar</w:t>
      </w:r>
    </w:p>
    <w:p>
      <w:r>
        <w:rPr>
          <w:rFonts w:ascii="Calibri" w:hAnsi="Calibri"/>
          <w:b w:val="0"/>
          <w:i w:val="0"/>
          <w:color w:val="2B2B2B"/>
          <w:sz w:val="22"/>
        </w:rPr>
        <w:t>NATO-landene akselererer forsvarsbudsjettene fra 2% mot 3–5% av BNP. Norge er i front med en av Europas mest ambisiøse langtidsplaner.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Parameter</w:t>
            </w:r>
          </w:p>
        </w:tc>
        <w:tc>
          <w:tcPr>
            <w:tcW w:type="dxa" w:w="2268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Value</w:t>
            </w:r>
          </w:p>
        </w:tc>
        <w:tc>
          <w:tcPr>
            <w:tcW w:type="dxa" w:w="2268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Period</w:t>
            </w:r>
          </w:p>
        </w:tc>
        <w:tc>
          <w:tcPr>
            <w:tcW w:type="dxa" w:w="2268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Source</w:t>
            </w:r>
          </w:p>
        </w:tc>
      </w:tr>
      <w:tr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Norges langtidsplan (total ramme)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NOK 1 624 mrd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2025–2036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Stortinget, bipartisan</w:t>
            </w:r>
          </w:p>
        </w:tc>
      </w:tr>
      <w:tr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Årlig gjennomsnitt</w:t>
            </w:r>
          </w:p>
        </w:tc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~NOK 135 mrd/år</w:t>
            </w:r>
          </w:p>
        </w:tc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2025–2036</w:t>
            </w:r>
          </w:p>
        </w:tc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Beregnet</w:t>
            </w:r>
          </w:p>
        </w:tc>
      </w:tr>
      <w:tr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Investeringsandel (anskaffelser)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~NOK 1 080 mrd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2028–2035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 xml:space="preserve">Investor Pitch Deck (VDR 00.03)</w:t>
            </w:r>
          </w:p>
        </w:tc>
      </w:tr>
      <w:tr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Presisjonskomponenter (10–15%)</w:t>
            </w:r>
          </w:p>
        </w:tc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NOK 13,5–20 mrd/år</w:t>
            </w:r>
          </w:p>
        </w:tc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2028–2035</w:t>
            </w:r>
          </w:p>
        </w:tc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Estimert</w:t>
            </w:r>
          </w:p>
        </w:tc>
      </w:tr>
      <w:tr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CNC-maskinérbare komponenter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NOK 5–7 mrd/år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2028–2035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Estimert konservativt</w:t>
            </w:r>
          </w:p>
        </w:tc>
      </w:tr>
    </w:tbl>
    <w:p>
      <w:r>
        <w:rPr>
          <w:rFonts w:ascii="Calibri" w:hAnsi="Calibri"/>
          <w:b w:val="0"/>
          <w:i w:val="0"/>
          <w:color w:val="2B2B2B"/>
          <w:sz w:val="22"/>
        </w:rPr>
        <w:t>Nøkkeldrivere: NATO 5% BNP-mål, tverrpolitisk støtte, geopolitisk press (Russland, Kina), norsk forsvarsindustriell base (Kongsberg, NAMMO), økt europeisk samarbeid.</w:t>
      </w:r>
    </w:p>
    <w:p>
      <w:r>
        <w:rPr>
          <w:rFonts w:ascii="Calibri" w:hAnsi="Calibri"/>
          <w:b w:val="0"/>
          <w:i w:val="0"/>
          <w:color w:val="2B2B2B"/>
          <w:sz w:val="22"/>
        </w:rPr>
        <w:t>Defence Market Research dokumenterer dette i detalj med kildehenvisninger til NATO, Stortingsproposisjoner og bransjerapporter.</w:t>
      </w:r>
    </w:p>
    <w:p>
      <w:r>
        <w:rPr>
          <w:rFonts w:ascii="Calibri" w:hAnsi="Calibri"/>
          <w:b w:val="0"/>
          <w:i w:val="0"/>
          <w:color w:val="2B2B2B"/>
          <w:sz w:val="22"/>
        </w:rPr>
        <w:t>2.2 Energi &amp; Maritim</w:t>
      </w:r>
    </w:p>
    <w:p>
      <w:r>
        <w:rPr>
          <w:rFonts w:ascii="Calibri" w:hAnsi="Calibri"/>
          <w:b w:val="0"/>
          <w:i w:val="0"/>
          <w:color w:val="2B2B2B"/>
          <w:sz w:val="22"/>
        </w:rPr>
        <w:t>Energisektoren gjennomgår en strukturell transformasjon som skaper vedvarende etterspørsel etter fleksibel, høypresisjon produksjonskapasitet.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Segment</w:t>
            </w:r>
          </w:p>
        </w:tc>
        <w:tc>
          <w:tcPr>
            <w:tcW w:type="dxa" w:w="2268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Estimated total value</w:t>
            </w:r>
          </w:p>
        </w:tc>
        <w:tc>
          <w:tcPr>
            <w:tcW w:type="dxa" w:w="2268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Period</w:t>
            </w:r>
          </w:p>
        </w:tc>
        <w:tc>
          <w:tcPr>
            <w:tcW w:type="dxa" w:w="2268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Source</w:t>
            </w:r>
          </w:p>
        </w:tc>
      </w:tr>
      <w:tr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Olje &amp; gass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NOK 1 800–2 200 mrd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Over perioden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Energy Market Research</w:t>
            </w:r>
          </w:p>
        </w:tc>
      </w:tr>
      <w:tr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Fornybar/kraft</w:t>
            </w:r>
          </w:p>
        </w:tc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NOK 400–500 mrd</w:t>
            </w:r>
          </w:p>
        </w:tc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Over perioden</w:t>
            </w:r>
          </w:p>
        </w:tc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Energy Market Research</w:t>
            </w:r>
          </w:p>
        </w:tc>
      </w:tr>
      <w:tr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Maritim/offshore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NOK 50–80 mrd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Over perioden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Critical Markets Research</w:t>
            </w:r>
          </w:p>
        </w:tc>
      </w:tr>
      <w:tr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Totalt energi &amp; maritim</w:t>
            </w:r>
          </w:p>
        </w:tc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NOK 2 300–2 800 mrd</w:t>
            </w:r>
          </w:p>
        </w:tc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2025–2035</w:t>
            </w:r>
          </w:p>
        </w:tc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Aggregert</w:t>
            </w:r>
          </w:p>
        </w:tc>
      </w:tr>
      <w:tr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Presisjonskomponenter (5–10%)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NOK 115–280 mrd/år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2025–2035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Estimert</w:t>
            </w:r>
          </w:p>
        </w:tc>
      </w:tr>
      <w:tr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CNC-adresserbart</w:t>
            </w:r>
          </w:p>
        </w:tc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NOK 10–20 mrd/år</w:t>
            </w:r>
          </w:p>
        </w:tc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2025–2035</w:t>
            </w:r>
          </w:p>
        </w:tc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Estimert konservativt</w:t>
            </w:r>
          </w:p>
        </w:tc>
      </w:tr>
    </w:tbl>
    <w:p>
      <w:r>
        <w:rPr>
          <w:rFonts w:ascii="Calibri" w:hAnsi="Calibri"/>
          <w:b w:val="0"/>
          <w:i w:val="0"/>
          <w:color w:val="2B2B2B"/>
          <w:sz w:val="22"/>
        </w:rPr>
        <w:t>Nøkkeldrivere: Energitransisjon, subsea-teknologi, offshore vind (30 GW mål innen 2040), CCS, SMR-kjernekraft, Statnetts Target Grid 2045, elektrifisering av transport og plattformer.</w:t>
      </w:r>
    </w:p>
    <w:p>
      <w:r>
        <w:rPr>
          <w:rFonts w:ascii="Calibri" w:hAnsi="Calibri"/>
          <w:b w:val="0"/>
          <w:i w:val="0"/>
          <w:color w:val="2B2B2B"/>
          <w:sz w:val="22"/>
        </w:rPr>
        <w:t>2.3 Industriell modernisering</w:t>
      </w:r>
    </w:p>
    <w:p>
      <w:r>
        <w:rPr>
          <w:rFonts w:ascii="Calibri" w:hAnsi="Calibri"/>
          <w:b w:val="0"/>
          <w:i w:val="0"/>
          <w:color w:val="2B2B2B"/>
          <w:sz w:val="22"/>
        </w:rPr>
        <w:t>Bredere industriell etterspørsel inkluderer romfart, jernbane, infrastruktur, robotikk og avansert industri der presisjon CNC-komponenter er kritiske.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Parameter</w:t>
            </w:r>
          </w:p>
        </w:tc>
        <w:tc>
          <w:tcPr>
            <w:tcW w:type="dxa" w:w="3024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Value</w:t>
            </w:r>
          </w:p>
        </w:tc>
        <w:tc>
          <w:tcPr>
            <w:tcW w:type="dxa" w:w="3024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Source</w:t>
            </w:r>
          </w:p>
        </w:tc>
      </w:tr>
      <w:tr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Norsk/nordisk presisjonskomponentmarked</w:t>
            </w:r>
          </w:p>
        </w:tc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NOK 50–100 mrd/år</w:t>
            </w:r>
          </w:p>
        </w:tc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Critical Markets Research</w:t>
            </w:r>
          </w:p>
        </w:tc>
      </w:tr>
      <w:tr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CNC-adresserbart</w:t>
            </w:r>
          </w:p>
        </w:tc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NOK 10–15 mrd/år</w:t>
            </w:r>
          </w:p>
        </w:tc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Estimert</w:t>
            </w:r>
          </w:p>
        </w:tc>
      </w:tr>
      <w:tr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Vekstrate</w:t>
            </w:r>
          </w:p>
        </w:tc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5–8% CAGR</w:t>
            </w:r>
          </w:p>
        </w:tc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Bransjeanalyser</w:t>
            </w:r>
          </w:p>
        </w:tc>
      </w:tr>
    </w:tbl>
    <w:p>
      <w:r>
        <w:rPr>
          <w:rFonts w:ascii="Calibri" w:hAnsi="Calibri"/>
          <w:b w:val="0"/>
          <w:i w:val="0"/>
          <w:color w:val="2B2B2B"/>
          <w:sz w:val="22"/>
        </w:rPr>
        <w:t>2.4 TAM Totalt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Segment</w:t>
            </w:r>
          </w:p>
        </w:tc>
        <w:tc>
          <w:tcPr>
            <w:tcW w:type="dxa" w:w="3024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CNC-addressable (NOK/year)</w:t>
            </w:r>
          </w:p>
        </w:tc>
        <w:tc>
          <w:tcPr>
            <w:tcW w:type="dxa" w:w="3024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Share of TAM</w:t>
            </w:r>
          </w:p>
        </w:tc>
      </w:tr>
      <w:tr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Forsvar</w:t>
            </w:r>
          </w:p>
        </w:tc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5–7 mrd</w:t>
            </w:r>
          </w:p>
        </w:tc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~20%</w:t>
            </w:r>
          </w:p>
        </w:tc>
      </w:tr>
      <w:tr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Energi &amp; maritim</w:t>
            </w:r>
          </w:p>
        </w:tc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10–20 mrd</w:t>
            </w:r>
          </w:p>
        </w:tc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~50%</w:t>
            </w:r>
          </w:p>
        </w:tc>
      </w:tr>
      <w:tr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Industriell modernisering</w:t>
            </w:r>
          </w:p>
        </w:tc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10–15 mrd</w:t>
            </w:r>
          </w:p>
        </w:tc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~30%</w:t>
            </w:r>
          </w:p>
        </w:tc>
      </w:tr>
      <w:tr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TAM TOTALT</w:t>
            </w:r>
          </w:p>
        </w:tc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25–40 mrd</w:t>
            </w:r>
          </w:p>
        </w:tc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100%</w:t>
            </w:r>
          </w:p>
        </w:tc>
      </w:tr>
    </w:tbl>
    <w:p>
      <w:r>
        <w:rPr>
          <w:rFonts w:ascii="Calibri" w:hAnsi="Calibri"/>
          <w:b w:val="0"/>
          <w:i w:val="0"/>
          <w:color w:val="2B2B2B"/>
          <w:sz w:val="22"/>
        </w:rPr>
        <w:t>⚠️ TAM-tallene er for Norge/Norden. Europeisk ekspansjon (DACH, UK, Frankrike, Sverige) vil øke TAM vesentlig, men er ikke inkludert i denne analysen.</w:t>
      </w:r>
    </w:p>
    <w:p>
      <w:r>
        <w:rPr>
          <w:rFonts w:ascii="Calibri" w:hAnsi="Calibri"/>
          <w:b w:val="0"/>
          <w:i w:val="0"/>
          <w:color w:val="2B2B2B"/>
          <w:sz w:val="22"/>
        </w:rPr>
        <w:t>3. Serviceable Addressable Market (SAM)</w:t>
      </w:r>
    </w:p>
    <w:p>
      <w:r>
        <w:rPr>
          <w:rFonts w:ascii="Calibri" w:hAnsi="Calibri"/>
          <w:b w:val="0"/>
          <w:i w:val="0"/>
          <w:color w:val="2B2B2B"/>
          <w:sz w:val="22"/>
        </w:rPr>
        <w:t>SAM filtrerer TAM ned til segmenter som matcher Aurelians spesifikke kapabiliteter og posisjonering.</w:t>
      </w:r>
    </w:p>
    <w:p>
      <w:r>
        <w:rPr>
          <w:rFonts w:ascii="Calibri" w:hAnsi="Calibri"/>
          <w:b w:val="0"/>
          <w:i w:val="0"/>
          <w:color w:val="2B2B2B"/>
          <w:sz w:val="22"/>
        </w:rPr>
        <w:t>3.1 Filtreringskriterier</w:t>
      </w:r>
    </w:p>
    <w:p>
      <w:r>
        <w:rPr>
          <w:rFonts w:ascii="Calibri" w:hAnsi="Calibri"/>
          <w:b w:val="0"/>
          <w:i w:val="0"/>
          <w:color w:val="2B2B2B"/>
          <w:sz w:val="22"/>
        </w:rPr>
        <w:t>Produksjonstype: HMLV — ikke høyvolum automotive eller forbrukerprodukter</w:t>
      </w:r>
    </w:p>
    <w:p>
      <w:r>
        <w:rPr>
          <w:rFonts w:ascii="Calibri" w:hAnsi="Calibri"/>
          <w:b w:val="0"/>
          <w:i w:val="0"/>
          <w:color w:val="2B2B2B"/>
          <w:sz w:val="22"/>
        </w:rPr>
        <w:t>Presisjonskrav: Forsvar, romfart, energi — stramme toleranser og kvalitetssertifisering</w:t>
      </w:r>
    </w:p>
    <w:p>
      <w:r>
        <w:rPr>
          <w:rFonts w:ascii="Calibri" w:hAnsi="Calibri"/>
          <w:b w:val="0"/>
          <w:i w:val="0"/>
          <w:color w:val="2B2B2B"/>
          <w:sz w:val="22"/>
        </w:rPr>
        <w:t>Batchstørrelser: 1–5 000 enheter per ordre</w:t>
      </w:r>
    </w:p>
    <w:p>
      <w:r>
        <w:rPr>
          <w:rFonts w:ascii="Calibri" w:hAnsi="Calibri"/>
          <w:b w:val="0"/>
          <w:i w:val="0"/>
          <w:color w:val="2B2B2B"/>
          <w:sz w:val="22"/>
        </w:rPr>
        <w:t>Sporbarhet: Full dokumentasjon og prosess-sporbarhet påkrevd</w:t>
      </w:r>
    </w:p>
    <w:p>
      <w:r>
        <w:rPr>
          <w:rFonts w:ascii="Calibri" w:hAnsi="Calibri"/>
          <w:b w:val="0"/>
          <w:i w:val="0"/>
          <w:color w:val="2B2B2B"/>
          <w:sz w:val="22"/>
        </w:rPr>
        <w:t>Kvalitet: ISO 9001 / AS9100 / AQAP-sertifisert produksjon</w:t>
      </w:r>
    </w:p>
    <w:p>
      <w:r>
        <w:rPr>
          <w:rFonts w:ascii="Calibri" w:hAnsi="Calibri"/>
          <w:b w:val="0"/>
          <w:i w:val="0"/>
          <w:color w:val="2B2B2B"/>
          <w:sz w:val="22"/>
        </w:rPr>
        <w:t>Lokasjon: Norsk/nordisk produksjon påkrevd eller foretrukket (forsvar, sikkerhet)</w:t>
      </w:r>
    </w:p>
    <w:p>
      <w:r>
        <w:rPr>
          <w:rFonts w:ascii="Calibri" w:hAnsi="Calibri"/>
          <w:b w:val="0"/>
          <w:i w:val="0"/>
          <w:color w:val="2B2B2B"/>
          <w:sz w:val="22"/>
        </w:rPr>
        <w:t>3.2 SAM-estimat</w:t>
      </w:r>
    </w:p>
    <w:p>
      <w:r>
        <w:rPr>
          <w:rFonts w:ascii="Calibri" w:hAnsi="Calibri"/>
          <w:b w:val="0"/>
          <w:i w:val="0"/>
          <w:color w:val="2B2B2B"/>
          <w:sz w:val="22"/>
        </w:rPr>
        <w:t>Basert på filtreringskriteriene estimeres SAM til NOK 5–10 mrd/år. Dette representerer 20–25% av TAM, noe som er konservativt gitt at Aurelian adresserer de mest krevende segmentene.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Segment i SAM</w:t>
            </w:r>
          </w:p>
        </w:tc>
        <w:tc>
          <w:tcPr>
            <w:tcW w:type="dxa" w:w="3024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Estimated value (NOK/year)</w:t>
            </w:r>
          </w:p>
        </w:tc>
        <w:tc>
          <w:tcPr>
            <w:tcW w:type="dxa" w:w="3024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Share</w:t>
            </w:r>
          </w:p>
        </w:tc>
      </w:tr>
      <w:tr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Forsvar (HMLV-presisjon)</w:t>
            </w:r>
          </w:p>
        </w:tc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2–4 mrd</w:t>
            </w:r>
          </w:p>
        </w:tc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~40%</w:t>
            </w:r>
          </w:p>
        </w:tc>
      </w:tr>
      <w:tr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Energi (subsea, fornybar, O&amp;G)</w:t>
            </w:r>
          </w:p>
        </w:tc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2–4 mrd</w:t>
            </w:r>
          </w:p>
        </w:tc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~35%</w:t>
            </w:r>
          </w:p>
        </w:tc>
      </w:tr>
      <w:tr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Avansert industri (romfart, maritim)</w:t>
            </w:r>
          </w:p>
        </w:tc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1–2 mrd</w:t>
            </w:r>
          </w:p>
        </w:tc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~25%</w:t>
            </w:r>
          </w:p>
        </w:tc>
      </w:tr>
      <w:tr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SAM TOTALT</w:t>
            </w:r>
          </w:p>
        </w:tc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5–10 mrd</w:t>
            </w:r>
          </w:p>
        </w:tc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100%</w:t>
            </w:r>
          </w:p>
        </w:tc>
      </w:tr>
    </w:tbl>
    <w:p>
      <w:r>
        <w:rPr>
          <w:rFonts w:ascii="Calibri" w:hAnsi="Calibri"/>
          <w:b w:val="0"/>
          <w:i w:val="0"/>
          <w:color w:val="2B2B2B"/>
          <w:sz w:val="22"/>
        </w:rPr>
        <w:t>4. Serviceable Obtainable Market (SOM)</w:t>
      </w:r>
    </w:p>
    <w:p>
      <w:r>
        <w:rPr>
          <w:rFonts w:ascii="Calibri" w:hAnsi="Calibri"/>
          <w:b w:val="0"/>
          <w:i w:val="0"/>
          <w:color w:val="2B2B2B"/>
          <w:sz w:val="22"/>
        </w:rPr>
        <w:t>SOM representerer hva Aurelian realistisk kan fange med 20–25 CNC-maskiner ved full skalering.</w:t>
      </w:r>
    </w:p>
    <w:p>
      <w:r>
        <w:rPr>
          <w:rFonts w:ascii="Calibri" w:hAnsi="Calibri"/>
          <w:b w:val="0"/>
          <w:i w:val="0"/>
          <w:color w:val="2B2B2B"/>
          <w:sz w:val="22"/>
        </w:rPr>
        <w:t>4.1 Kapasitetsbasert beregning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Parameter</w:t>
            </w:r>
          </w:p>
        </w:tc>
        <w:tc>
          <w:tcPr>
            <w:tcW w:type="dxa" w:w="3024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Value</w:t>
            </w:r>
          </w:p>
        </w:tc>
        <w:tc>
          <w:tcPr>
            <w:tcW w:type="dxa" w:w="3024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Comment</w:t>
            </w:r>
          </w:p>
        </w:tc>
      </w:tr>
      <w:tr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Antall CNC</w:t>
            </w:r>
          </w:p>
        </w:tc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20–25</w:t>
            </w:r>
          </w:p>
        </w:tc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Steady state 2031–2035</w:t>
            </w:r>
          </w:p>
        </w:tc>
      </w:tr>
      <w:tr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Teoretiske timer/CNC/år</w:t>
            </w:r>
          </w:p>
        </w:tc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8 760</w:t>
            </w:r>
          </w:p>
        </w:tc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24h × 365d</w:t>
            </w:r>
          </w:p>
        </w:tc>
      </w:tr>
      <w:tr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Mål-utnyttelse</w:t>
            </w:r>
          </w:p>
        </w:tc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60–65%</w:t>
            </w:r>
          </w:p>
        </w:tc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Validert i “04_Automation_Feasibility_Study”</w:t>
            </w:r>
          </w:p>
        </w:tc>
      </w:tr>
      <w:tr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Normalisert timepris</w:t>
            </w:r>
          </w:p>
        </w:tc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NOK 3 000</w:t>
            </w:r>
          </w:p>
        </w:tc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Analytisk normalisering</w:t>
            </w:r>
          </w:p>
        </w:tc>
      </w:tr>
      <w:tr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Maks årlig output (25 CNC, 65%)</w:t>
            </w:r>
          </w:p>
        </w:tc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~427 MNOK</w:t>
            </w:r>
          </w:p>
        </w:tc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Grunnlag for verdisetting Dette er maks årlig revenue.</w:t>
            </w:r>
          </w:p>
        </w:tc>
      </w:tr>
      <w:tr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Realistisk mål-output (20 CNC, 60%)</w:t>
            </w:r>
          </w:p>
        </w:tc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~315 MNOK</w:t>
            </w:r>
          </w:p>
        </w:tc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Basisscenario (Ebit or Rvenue?)</w:t>
            </w:r>
          </w:p>
        </w:tc>
      </w:tr>
    </w:tbl>
    <w:p>
      <w:r>
        <w:rPr>
          <w:rFonts w:ascii="Calibri" w:hAnsi="Calibri"/>
          <w:b w:val="0"/>
          <w:i w:val="0"/>
          <w:color w:val="2B2B2B"/>
          <w:sz w:val="22"/>
        </w:rPr>
        <w:t>SOM-range: NOK 300–400 MNOK/år = 3–8% av SAM. Dette er konservativt og oppnåelig med sterk posisjonering i forsvar + strategiske ankerkunder.</w:t>
      </w:r>
    </w:p>
    <w:p>
      <w:r>
        <w:rPr>
          <w:rFonts w:ascii="Calibri" w:hAnsi="Calibri"/>
          <w:b w:val="0"/>
          <w:i w:val="0"/>
          <w:color w:val="2B2B2B"/>
          <w:sz w:val="22"/>
        </w:rPr>
        <w:t>4.2 Markedsandel i perspektiv</w:t>
      </w:r>
    </w:p>
    <w:p>
      <w:r>
        <w:rPr>
          <w:rFonts w:ascii="Calibri" w:hAnsi="Calibri"/>
          <w:b w:val="0"/>
          <w:i w:val="0"/>
          <w:color w:val="2B2B2B"/>
          <w:sz w:val="22"/>
        </w:rPr>
        <w:t>Ved 315 MNOK omsetning på et SAM på 5–10 mrd representerer Aurelian 3–6% markedsandel. For en ny aktør med differensiert modell (autonom drift, 50/50 deling, høy kapasitetsutnyttelse) er dette realistisk uten å kreve fortrengning av eksisterende leverandører — Aurelian fyller et kapasitetsgap.</w:t>
      </w:r>
    </w:p>
    <w:p>
      <w:r>
        <w:rPr>
          <w:rFonts w:ascii="Calibri" w:hAnsi="Calibri"/>
          <w:b w:val="0"/>
          <w:i w:val="0"/>
          <w:color w:val="2B2B2B"/>
          <w:sz w:val="22"/>
        </w:rPr>
        <w:t>5. Konkurranselandskap — Norsk HMLV benchmark</w:t>
      </w:r>
    </w:p>
    <w:p>
      <w:r>
        <w:rPr>
          <w:rFonts w:ascii="Calibri" w:hAnsi="Calibri"/>
          <w:b w:val="0"/>
          <w:i w:val="0"/>
          <w:color w:val="2B2B2B"/>
          <w:sz w:val="22"/>
        </w:rPr>
        <w:t>Sammenligningen med 7 etablerte norske CNC-verksteder viser at Aurelians mål om 60–65% utnyttelse representerer et strukturelt brudd med markedsstandard, muliggjort av greenfield-oppsett og autonom drift.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Company</w:t>
            </w:r>
          </w:p>
        </w:tc>
        <w:tc>
          <w:tcPr>
            <w:tcW w:type="dxa" w:w="1814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CNC</w:t>
            </w:r>
          </w:p>
        </w:tc>
        <w:tc>
          <w:tcPr>
            <w:tcW w:type="dxa" w:w="1814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Est. utilization</w:t>
            </w:r>
          </w:p>
        </w:tc>
        <w:tc>
          <w:tcPr>
            <w:tcW w:type="dxa" w:w="1814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Staff/CNC</w:t>
            </w:r>
          </w:p>
        </w:tc>
        <w:tc>
          <w:tcPr>
            <w:tcW w:type="dxa" w:w="1814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Comment</w:t>
            </w:r>
          </w:p>
        </w:tc>
      </w:tr>
      <w:tr>
        <w:tc>
          <w:tcPr>
            <w:tcW w:type="dxa" w:w="181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Rogaland Maskinering</w:t>
            </w:r>
          </w:p>
        </w:tc>
        <w:tc>
          <w:tcPr>
            <w:tcW w:type="dxa" w:w="181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7</w:t>
            </w:r>
          </w:p>
        </w:tc>
        <w:tc>
          <w:tcPr>
            <w:tcW w:type="dxa" w:w="181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~10%</w:t>
            </w:r>
          </w:p>
        </w:tc>
        <w:tc>
          <w:tcPr>
            <w:tcW w:type="dxa" w:w="181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~2.5</w:t>
            </w:r>
          </w:p>
        </w:tc>
        <w:tc>
          <w:tcPr>
            <w:tcW w:type="dxa" w:w="181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Lav utnyttelse, manuell drift</w:t>
            </w:r>
          </w:p>
        </w:tc>
      </w:tr>
      <w:tr>
        <w:tc>
          <w:tcPr>
            <w:tcW w:type="dxa" w:w="181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Lilaas</w:t>
            </w:r>
          </w:p>
        </w:tc>
        <w:tc>
          <w:tcPr>
            <w:tcW w:type="dxa" w:w="181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15</w:t>
            </w:r>
          </w:p>
        </w:tc>
        <w:tc>
          <w:tcPr>
            <w:tcW w:type="dxa" w:w="181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~19%</w:t>
            </w:r>
          </w:p>
        </w:tc>
        <w:tc>
          <w:tcPr>
            <w:tcW w:type="dxa" w:w="181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~2.5</w:t>
            </w:r>
          </w:p>
        </w:tc>
        <w:tc>
          <w:tcPr>
            <w:tcW w:type="dxa" w:w="181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Stor park, lav effektivitet</w:t>
            </w:r>
          </w:p>
        </w:tc>
      </w:tr>
      <w:tr>
        <w:tc>
          <w:tcPr>
            <w:tcW w:type="dxa" w:w="181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Tamek</w:t>
            </w:r>
          </w:p>
        </w:tc>
        <w:tc>
          <w:tcPr>
            <w:tcW w:type="dxa" w:w="181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8</w:t>
            </w:r>
          </w:p>
        </w:tc>
        <w:tc>
          <w:tcPr>
            <w:tcW w:type="dxa" w:w="181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~20%</w:t>
            </w:r>
          </w:p>
        </w:tc>
        <w:tc>
          <w:tcPr>
            <w:tcW w:type="dxa" w:w="181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~2.5</w:t>
            </w:r>
          </w:p>
        </w:tc>
        <w:tc>
          <w:tcPr>
            <w:tcW w:type="dxa" w:w="181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Tradisjonell modell</w:t>
            </w:r>
          </w:p>
        </w:tc>
      </w:tr>
      <w:tr>
        <w:tc>
          <w:tcPr>
            <w:tcW w:type="dxa" w:w="181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Uvdal Maskinfabrikk</w:t>
            </w:r>
          </w:p>
        </w:tc>
        <w:tc>
          <w:tcPr>
            <w:tcW w:type="dxa" w:w="181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11</w:t>
            </w:r>
          </w:p>
        </w:tc>
        <w:tc>
          <w:tcPr>
            <w:tcW w:type="dxa" w:w="181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~37%</w:t>
            </w:r>
          </w:p>
        </w:tc>
        <w:tc>
          <w:tcPr>
            <w:tcW w:type="dxa" w:w="181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~2.5</w:t>
            </w:r>
          </w:p>
        </w:tc>
        <w:tc>
          <w:tcPr>
            <w:tcW w:type="dxa" w:w="181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Over gjennomsnitt</w:t>
            </w:r>
          </w:p>
        </w:tc>
      </w:tr>
      <w:tr>
        <w:tc>
          <w:tcPr>
            <w:tcW w:type="dxa" w:w="181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Aarbakke</w:t>
            </w:r>
          </w:p>
        </w:tc>
        <w:tc>
          <w:tcPr>
            <w:tcW w:type="dxa" w:w="181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55</w:t>
            </w:r>
          </w:p>
        </w:tc>
        <w:tc>
          <w:tcPr>
            <w:tcW w:type="dxa" w:w="181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~38%</w:t>
            </w:r>
          </w:p>
        </w:tc>
        <w:tc>
          <w:tcPr>
            <w:tcW w:type="dxa" w:w="181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~2.5</w:t>
            </w:r>
          </w:p>
        </w:tc>
        <w:tc>
          <w:tcPr>
            <w:tcW w:type="dxa" w:w="181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Størst, middels utnyttelse</w:t>
            </w:r>
          </w:p>
        </w:tc>
      </w:tr>
      <w:tr>
        <w:tc>
          <w:tcPr>
            <w:tcW w:type="dxa" w:w="181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TP-Products (OEM)</w:t>
            </w:r>
          </w:p>
        </w:tc>
        <w:tc>
          <w:tcPr>
            <w:tcW w:type="dxa" w:w="181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14</w:t>
            </w:r>
          </w:p>
        </w:tc>
        <w:tc>
          <w:tcPr>
            <w:tcW w:type="dxa" w:w="181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~40–45%</w:t>
            </w:r>
          </w:p>
        </w:tc>
        <w:tc>
          <w:tcPr>
            <w:tcW w:type="dxa" w:w="181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~2.5</w:t>
            </w:r>
          </w:p>
        </w:tc>
        <w:tc>
          <w:tcPr>
            <w:tcW w:type="dxa" w:w="181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Best i klassen (brownfield)</w:t>
            </w:r>
          </w:p>
        </w:tc>
      </w:tr>
      <w:tr>
        <w:tc>
          <w:tcPr>
            <w:tcW w:type="dxa" w:w="181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Årdal Maskinering</w:t>
            </w:r>
          </w:p>
        </w:tc>
        <w:tc>
          <w:tcPr>
            <w:tcW w:type="dxa" w:w="181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18</w:t>
            </w:r>
          </w:p>
        </w:tc>
        <w:tc>
          <w:tcPr>
            <w:tcW w:type="dxa" w:w="181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~47%</w:t>
            </w:r>
          </w:p>
        </w:tc>
        <w:tc>
          <w:tcPr>
            <w:tcW w:type="dxa" w:w="181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~2.5</w:t>
            </w:r>
          </w:p>
        </w:tc>
        <w:tc>
          <w:tcPr>
            <w:tcW w:type="dxa" w:w="181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Høy for tradisjonell modell</w:t>
            </w:r>
          </w:p>
        </w:tc>
      </w:tr>
      <w:tr>
        <w:tc>
          <w:tcPr>
            <w:tcW w:type="dxa" w:w="181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Aurelian (mål)</w:t>
            </w:r>
          </w:p>
        </w:tc>
        <w:tc>
          <w:tcPr>
            <w:tcW w:type="dxa" w:w="181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20</w:t>
            </w:r>
          </w:p>
        </w:tc>
        <w:tc>
          <w:tcPr>
            <w:tcW w:type="dxa" w:w="181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60–65%</w:t>
            </w:r>
          </w:p>
        </w:tc>
        <w:tc>
          <w:tcPr>
            <w:tcW w:type="dxa" w:w="181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0.8</w:t>
            </w:r>
          </w:p>
        </w:tc>
        <w:tc>
          <w:tcPr>
            <w:tcW w:type="dxa" w:w="181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3x arbeidseffektivitet</w:t>
            </w:r>
          </w:p>
        </w:tc>
      </w:tr>
    </w:tbl>
    <w:p>
      <w:r>
        <w:rPr>
          <w:rFonts w:ascii="Calibri" w:hAnsi="Calibri"/>
          <w:b w:val="0"/>
          <w:i w:val="0"/>
          <w:color w:val="2B2B2B"/>
          <w:sz w:val="22"/>
        </w:rPr>
        <w:t>Industrigjennomsnitt: 2.5 ansatte per CNC. Aurelian: 0.8 ansatte per CNC = 3x arbeidseffektivitet.</w:t>
      </w:r>
    </w:p>
    <w:p>
      <w:r>
        <w:rPr>
          <w:rFonts w:ascii="Calibri" w:hAnsi="Calibri"/>
          <w:b w:val="0"/>
          <w:i w:val="0"/>
          <w:color w:val="2B2B2B"/>
          <w:sz w:val="22"/>
        </w:rPr>
        <w:t xml:space="preserve">Kilde: 03 Market Trends &amp; Projections (VDR 03.06), basert på offentlige regnskaper 2024 og estimert CNC-andel.</w:t>
      </w:r>
    </w:p>
    <w:p>
      <w:r>
        <w:rPr>
          <w:rFonts w:ascii="Calibri" w:hAnsi="Calibri"/>
          <w:b w:val="0"/>
          <w:i w:val="0"/>
          <w:color w:val="2B2B2B"/>
          <w:sz w:val="22"/>
        </w:rPr>
        <w:t>6. Kategorisignal: Hadrian Manufacturing</w:t>
      </w:r>
    </w:p>
    <w:p>
      <w:r>
        <w:rPr>
          <w:rFonts w:ascii="Calibri" w:hAnsi="Calibri"/>
          <w:b w:val="0"/>
          <w:i w:val="0"/>
          <w:color w:val="2B2B2B"/>
          <w:sz w:val="22"/>
        </w:rPr>
        <w:t>Hadrian Manufacturing (USA, grunnlagt november 2020) har nådd en verdsettelse på ~$1,6 mrd for autonom presisjon CNC-maskinering. Siste runde ble ledet av T. Rowe Price, med deltakelse fra Andreessen Horowitz (a16z).</w:t>
      </w:r>
    </w:p>
    <w:p>
      <w:r>
        <w:rPr>
          <w:rFonts w:ascii="Calibri" w:hAnsi="Calibri"/>
          <w:b w:val="0"/>
          <w:i w:val="0"/>
          <w:color w:val="2B2B2B"/>
          <w:sz w:val="22"/>
        </w:rPr>
        <w:t>Hadrian validerer at autonom CNC-produksjon har venture-skala potensial og massiv investorappetitt. Aurelian er det europeiske svaret på det samme strukturelle behovet, med tillegg av en 50/50 profit-sharing modell som ytterligere styrker kunderelasjoner.</w:t>
      </w:r>
    </w:p>
    <w:p>
      <w:r>
        <w:rPr>
          <w:rFonts w:ascii="Calibri" w:hAnsi="Calibri"/>
          <w:b w:val="0"/>
          <w:i w:val="0"/>
          <w:color w:val="2B2B2B"/>
          <w:sz w:val="22"/>
        </w:rPr>
        <w:t>Se See CNC Benchmark &amp; Competitive Landscape (VDR 03.02) for comparable industrial investment casest Hadrian-sammenligning.</w:t>
      </w:r>
    </w:p>
    <w:p>
      <w:r>
        <w:rPr>
          <w:rFonts w:ascii="Calibri" w:hAnsi="Calibri"/>
          <w:b w:val="0"/>
          <w:i w:val="0"/>
          <w:color w:val="2B2B2B"/>
          <w:sz w:val="22"/>
        </w:rPr>
        <w:t>7. Vekstdrivere 2025–2035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Driver</w:t>
            </w:r>
          </w:p>
        </w:tc>
        <w:tc>
          <w:tcPr>
            <w:tcW w:type="dxa" w:w="2268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Effect</w:t>
            </w:r>
          </w:p>
        </w:tc>
        <w:tc>
          <w:tcPr>
            <w:tcW w:type="dxa" w:w="2268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Time horizon</w:t>
            </w:r>
          </w:p>
        </w:tc>
        <w:tc>
          <w:tcPr>
            <w:tcW w:type="dxa" w:w="2268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Source</w:t>
            </w:r>
          </w:p>
        </w:tc>
      </w:tr>
      <w:tr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NATO 5% BNP-mål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Dobling+ av forsvarsbudsjetter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2025–2035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Defence Market Research</w:t>
            </w:r>
          </w:p>
        </w:tc>
      </w:tr>
      <w:tr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Norsk langtidsplan</w:t>
            </w:r>
          </w:p>
        </w:tc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NOK 1 624 mrd ramme</w:t>
            </w:r>
          </w:p>
        </w:tc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2025–2036</w:t>
            </w:r>
          </w:p>
        </w:tc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Stortinget</w:t>
            </w:r>
          </w:p>
        </w:tc>
      </w:tr>
      <w:tr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Offshore vind (30 GW)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Ny subsea-infrastruktur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2030–2040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Energy Market Research</w:t>
            </w:r>
          </w:p>
        </w:tc>
      </w:tr>
      <w:tr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CCS og hydrogen</w:t>
            </w:r>
          </w:p>
        </w:tc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Presisjonskomponenter</w:t>
            </w:r>
          </w:p>
        </w:tc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2028–2040</w:t>
            </w:r>
          </w:p>
        </w:tc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Energy Market Research</w:t>
            </w:r>
          </w:p>
        </w:tc>
      </w:tr>
      <w:tr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Arbeidskraftmangel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Automasjon nødvendig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Nå–pågående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Critical Markets</w:t>
            </w:r>
          </w:p>
        </w:tc>
      </w:tr>
      <w:tr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Reshoring til Europa</w:t>
            </w:r>
          </w:p>
        </w:tc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Lokal produksjon foretrukket</w:t>
            </w:r>
          </w:p>
        </w:tc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2024–2030</w:t>
            </w:r>
          </w:p>
        </w:tc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Market Trends</w:t>
            </w:r>
          </w:p>
        </w:tc>
      </w:tr>
      <w:tr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Industriell robotikk +170%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Europeisk deep tech investering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2023 YoY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VC-Praksis analyse</w:t>
            </w:r>
          </w:p>
        </w:tc>
      </w:tr>
    </w:tbl>
    <w:p>
      <w:r>
        <w:rPr>
          <w:rFonts w:ascii="Calibri" w:hAnsi="Calibri"/>
          <w:b w:val="0"/>
          <w:i w:val="0"/>
          <w:color w:val="2B2B2B"/>
          <w:sz w:val="22"/>
        </w:rPr>
        <w:t>8. Metodikk og begrensninger</w:t>
      </w:r>
    </w:p>
    <w:p>
      <w:r>
        <w:rPr>
          <w:rFonts w:ascii="Calibri" w:hAnsi="Calibri"/>
          <w:b w:val="0"/>
          <w:i w:val="0"/>
          <w:color w:val="2B2B2B"/>
          <w:sz w:val="22"/>
        </w:rPr>
        <w:t xml:space="preserve">TAM/SAM/SOM-estimatene er bygget bottom-up fra sektorspesifikke markedsrapporter og Stortingsvedtak, normalisert med en analytisk maskintimepris på NOK 3 000 (jf. 03 Market Trends &amp; Projections (VDR 03.06)), og filtrert for Aurelians HMLV-profil. Estimatene er bevisst konservative.</w:t>
      </w:r>
    </w:p>
    <w:p>
      <w:r>
        <w:rPr>
          <w:rFonts w:ascii="Calibri" w:hAnsi="Calibri"/>
          <w:b w:val="0"/>
          <w:i w:val="0"/>
          <w:color w:val="2B2B2B"/>
          <w:sz w:val="22"/>
        </w:rPr>
        <w:t>Begrensninger: Eksakt CNC-andel av totale investeringsbudsjetter er estimert (ikke rapportert). Europeisk ekspansjon er ikke inkludert i TAM. Markedsdata er basert på offentlige kilder og bransjerapporter, ikke proprietær markedsforskning.</w:t>
      </w:r>
    </w:p>
    <w:p>
      <w:r>
        <w:rPr>
          <w:rFonts w:ascii="Calibri" w:hAnsi="Calibri"/>
          <w:b w:val="0"/>
          <w:i w:val="0"/>
          <w:color w:val="2B2B2B"/>
          <w:sz w:val="22"/>
        </w:rPr>
        <w:t>9. Kildedokumenter</w:t>
      </w:r>
    </w:p>
    <w:p>
      <w:pPr>
        <w:pStyle w:val="Heading2"/>
      </w:pPr>
      <w:r>
        <w:rPr>
          <w:rFonts w:ascii="Calibri" w:hAnsi="Calibri"/>
        </w:rPr>
        <w:t>References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4536"/>
        <w:gridCol w:w="4536"/>
      </w:tblGrid>
      <w:tr>
        <w:tc>
          <w:tcPr>
            <w:tcW w:type="dxa" w:w="4536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VDR ref</w:t>
            </w:r>
          </w:p>
        </w:tc>
        <w:tc>
          <w:tcPr>
            <w:tcW w:type="dxa" w:w="4536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Document</w:t>
            </w:r>
          </w:p>
        </w:tc>
      </w:tr>
      <w:tr>
        <w:tc>
          <w:tcPr>
            <w:tcW w:type="dxa" w:w="4536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02.04</w:t>
            </w:r>
          </w:p>
        </w:tc>
        <w:tc>
          <w:tcPr>
            <w:tcW w:type="dxa" w:w="4536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02 Economic Tables &amp; Projections (master document)</w:t>
            </w:r>
          </w:p>
        </w:tc>
      </w:tr>
      <w:tr>
        <w:tc>
          <w:tcPr>
            <w:tcW w:type="dxa" w:w="4536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03.02</w:t>
            </w:r>
          </w:p>
        </w:tc>
        <w:tc>
          <w:tcPr>
            <w:tcW w:type="dxa" w:w="4536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CNC Benchmark &amp; Competitive Landscape</w:t>
            </w:r>
          </w:p>
        </w:tc>
      </w:tr>
      <w:tr>
        <w:tc>
          <w:tcPr>
            <w:tcW w:type="dxa" w:w="4536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03.06</w:t>
            </w:r>
          </w:p>
        </w:tc>
        <w:tc>
          <w:tcPr>
            <w:tcW w:type="dxa" w:w="4536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Market Trends &amp; Projections</w:t>
            </w:r>
          </w:p>
        </w:tc>
      </w:tr>
    </w:tbl>
    <w:p>
      <w:pPr>
        <w:spacing w:before="480"/>
      </w:pPr>
      <w:r>
        <w:rPr>
          <w:rFonts w:ascii="Calibri" w:hAnsi="Calibri"/>
          <w:color w:val="6B6B6B"/>
          <w:sz w:val="18"/>
        </w:rPr>
        <w:t>Aurelian Manufacturing AS  |  VDR 03.01  |  Confidential</w:t>
      </w:r>
    </w:p>
    <w:p>
      <w:r>
        <w:rPr>
          <w:rFonts w:ascii="Calibri" w:hAnsi="Calibri"/>
          <w:i/>
          <w:color w:val="6B6B6B"/>
          <w:sz w:val="18"/>
        </w:rPr>
        <w:t>Contact: Andre Tandberg, CEO — andre@aurelian.no</w:t>
      </w:r>
    </w:p>
    <w:p>
      <w:r>
        <w:rPr>
          <w:rFonts w:ascii="Calibri" w:hAnsi="Calibri"/>
          <w:i/>
          <w:color w:val="6B6B6B"/>
          <w:sz w:val="18"/>
        </w:rPr>
        <w:t>Contact: Tore Ausland, VP Business Development — tore@aurelian.no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  <w:tabs>
        <w:tab w:val="center" w:pos="4820"/>
        <w:tab w:val="right" w:pos="9639"/>
      </w:tabs>
      <w:pBdr>
        <w:top w:val="single" w:sz="4" w:space="1" w:color="D3D3D3"/>
      </w:pBdr>
    </w:pPr>
    <w:r>
      <w:rPr>
        <w:rFonts w:ascii="Calibri" w:hAnsi="Calibri"/>
        <w:color w:val="6B6B6B"/>
        <w:sz w:val="18"/>
      </w:rPr>
      <w:t>CONFIDENTIAL</w:t>
    </w:r>
    <w:r>
      <w:tab/>
    </w:r>
    <w:r>
      <w:rPr>
        <w:rFonts w:ascii="Calibri" w:hAnsi="Calibri"/>
        <w:color w:val="6B6B6B"/>
        <w:sz w:val="18"/>
      </w:rPr>
      <w:t xml:space="preserve">Page </w:t>
    </w:r>
    <w:fldSimple w:instr=" PAGE ">
      <w:r>
        <w:rPr>
          <w:rFonts w:ascii="Calibri" w:hAnsi="Calibri"/>
          <w:sz w:val="18"/>
          <w:color w:val="6B6B6B"/>
        </w:rPr>
        <w:t>2</w:t>
      </w:r>
    </w:fldSimple>
    <w:r>
      <w:tab/>
    </w:r>
    <w:r>
      <w:rPr>
        <w:rFonts w:ascii="Calibri" w:hAnsi="Calibri"/>
        <w:color w:val="6B6B6B"/>
        <w:sz w:val="18"/>
      </w:rPr>
      <w:t>February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1" w:color="F50537"/>
      </w:pBdr>
    </w:pPr>
    <w:r>
      <w:rPr>
        <w:rFonts w:ascii="Calibri" w:hAnsi="Calibri"/>
        <w:color w:val="6B6B6B"/>
        <w:sz w:val="18"/>
      </w:rPr>
      <w:t>Aurelian Manufacturing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B2B2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F50537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B2B2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6B6B6B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2B2B2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