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50537" w:sz="24" w:space="1"/>
        </w:pBdr>
        <w:spacing w:before="0" w:after="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before="2400" w:after="200"/>
        <w:jc w:val="left"/>
      </w:pPr>
      <w:r>
        <w:rPr>
          <w:rFonts w:ascii="Calibri" w:cs="Calibri" w:eastAsia="Calibri" w:hAnsi="Calibri"/>
          <w:b/>
          <w:bCs/>
          <w:color w:val="2B2B2B"/>
          <w:sz w:val="56"/>
          <w:szCs w:val="56"/>
        </w:rPr>
        <w:t xml:space="preserve">Aurelian Manufacturing</w:t>
      </w:r>
    </w:p>
    <w:p>
      <w:pPr>
        <w:spacing w:before="100" w:after="100"/>
        <w:jc w:val="left"/>
      </w:pPr>
      <w:r>
        <w:rPr>
          <w:rFonts w:ascii="Calibri" w:cs="Calibri" w:eastAsia="Calibri" w:hAnsi="Calibri"/>
          <w:b/>
          <w:bCs/>
          <w:color w:val="F50537"/>
          <w:sz w:val="48"/>
          <w:szCs w:val="48"/>
        </w:rPr>
        <w:t xml:space="preserve">CNC Benchmark &amp; Competitive Landscape</w:t>
      </w:r>
    </w:p>
    <w:p>
      <w:pPr>
        <w:spacing w:before="100" w:after="100"/>
      </w:pPr>
      <w:r>
        <w:rPr>
          <w:rFonts w:ascii="Calibri" w:cs="Calibri" w:eastAsia="Calibri" w:hAnsi="Calibri"/>
          <w:i/>
          <w:iCs/>
          <w:color w:val="6B6B6B"/>
          <w:sz w:val="26"/>
          <w:szCs w:val="26"/>
        </w:rPr>
        <w:t xml:space="preserve">Observed machine utilization in the Norwegian HMLV market — and Aurelian's structural design basis</w:t>
      </w:r>
    </w:p>
    <w:p>
      <w:pPr>
        <w:spacing w:before="200" w:after="100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VDR 03.02</w:t>
      </w:r>
    </w:p>
    <w:p>
      <w:pPr>
        <w:spacing w:before="100" w:after="100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February 2026</w:t>
      </w:r>
    </w:p>
    <w:p>
      <w:pPr>
        <w:spacing w:before="600" w:after="0"/>
      </w:pPr>
      <w:r>
        <w:rPr>
          <w:rFonts w:ascii="Calibri" w:cs="Calibri" w:eastAsia="Calibri" w:hAnsi="Calibri"/>
          <w:b/>
          <w:bCs/>
          <w:color w:val="6B6B6B"/>
          <w:sz w:val="22"/>
          <w:szCs w:val="22"/>
        </w:rPr>
        <w:t xml:space="preserve">CONFIDENTIAL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This document does three things: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Quantifies actual CNC utilization among established Norwegian HMLV operators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Explains the structural causes of low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Documents why Aurelian's greenfield model provides a fundamentally different starting point</w:t>
      </w:r>
    </w:p>
    <w:p>
      <w:pPr>
        <w:spacing w:before="120" w:after="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document is intended as decision support for investors and banks, and is complementary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VDR 03.06 — Macro Market Analysis (demand drivers and geopolitics)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02 Economic Tables &amp; Projections (VDR 02.04) — all financial figures and projections</w:t>
      </w:r>
    </w:p>
    <w:p>
      <w:pPr>
        <w:spacing w:before="120" w:after="0"/>
      </w:pPr>
    </w:p>
    <w:p>
      <w:pPr>
        <w:pStyle w:val="Heading1"/>
      </w:pPr>
      <w:r>
        <w:t xml:space="preserve">2. Methodology</w:t>
      </w:r>
    </w:p>
    <w:p>
      <w:pPr>
        <w:pStyle w:val="Heading2"/>
      </w:pPr>
      <w:r>
        <w:t xml:space="preserve">2.1 Normalized Machine Hour Rate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To compare CNC utilization across companies with different business models, a normalized machine hour rate of NOK 3,000 per actual producing machine hour is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This hour rate represents value creation linked to machine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Used as an analytical normalization tool, not as a market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Applied equally to all compared companies</w:t>
      </w:r>
    </w:p>
    <w:p>
      <w:pPr>
        <w:spacing w:before="60" w:after="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Operator wages, administration, financing, depreciation, and other operating costs are modeled separately.</w:t>
      </w:r>
    </w:p>
    <w:p>
      <w:pPr>
        <w:spacing w:before="120" w:after="0"/>
      </w:pPr>
    </w:p>
    <w:p>
      <w:pPr>
        <w:pStyle w:val="Heading2"/>
      </w:pPr>
      <w:r>
        <w:t xml:space="preserve">2.2 Adjustment for CNC Share in Value Creation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Not all companies are pure CNC machining businesses. To isolate value creation in CNC operations, companies are categorized by estimated CNC share of revenue: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513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Estimated CNC share</w:t>
            </w:r>
          </w:p>
        </w:tc>
      </w:tr>
      <w:tr>
        <w:tc>
          <w:tcPr>
            <w:tcW w:type="dxa" w:w="4513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Pure machine shop (job shop)</w:t>
            </w:r>
          </w:p>
        </w:tc>
        <w:tc>
          <w:tcPr>
            <w:tcW w:type="dxa" w:w="4513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4513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Machine shop / product supplier</w:t>
            </w:r>
          </w:p>
        </w:tc>
        <w:tc>
          <w:tcPr>
            <w:tcW w:type="dxa" w:w="4513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70–90%</w:t>
            </w:r>
          </w:p>
        </w:tc>
      </w:tr>
      <w:tr>
        <w:tc>
          <w:tcPr>
            <w:tcW w:type="dxa" w:w="4513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Production and assembly of systems</w:t>
            </w:r>
          </w:p>
        </w:tc>
        <w:tc>
          <w:tcPr>
            <w:tcW w:type="dxa" w:w="4513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40–60%</w:t>
            </w:r>
          </w:p>
        </w:tc>
      </w:tr>
    </w:tbl>
    <w:p>
      <w:pPr>
        <w:spacing w:before="120" w:after="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This adjustment reduces the risk that the comparison favors companies with high value creation outside the machine park.</w:t>
      </w:r>
    </w:p>
    <w:p>
      <w:pPr>
        <w:spacing w:before="120" w:after="0"/>
      </w:pPr>
    </w:p>
    <w:p>
      <w:pPr>
        <w:pStyle w:val="Heading2"/>
      </w:pPr>
      <w:r>
        <w:t xml:space="preserve">2.3 Calculation of CNC Utilization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CNC utilization is defined as the share of available machine capacity (8,760 hours/machine/year) actually used for value-creating production. The calculation is based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Adjusted CNC revenue (per 2.2)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Number of CNC machines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Normalized machine hour rate (per 2.1)</w:t>
      </w:r>
    </w:p>
    <w:p>
      <w:pPr>
        <w:spacing w:before="120" w:after="0"/>
      </w:pPr>
    </w:p>
    <w:p>
      <w:pPr>
        <w:pStyle w:val="Heading2"/>
      </w:pPr>
      <w:r>
        <w:t xml:space="preserve">2.4 Data Basis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analysis is based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Public annual accounts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Revenue, labor costs, inventory, capital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Stated or estimated number of CNC machines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Qualitative assessment of business model</w:t>
      </w:r>
    </w:p>
    <w:p>
      <w:pPr>
        <w:spacing w:before="120" w:after="0"/>
      </w:pPr>
    </w:p>
    <w:p>
      <w:pPr>
        <w:pStyle w:val="Heading1"/>
      </w:pPr>
      <w:r>
        <w:t xml:space="preserve">3. Norwegian CNC Benchmark</w:t>
      </w:r>
    </w:p>
    <w:p>
      <w:pPr>
        <w:pStyle w:val="Heading2"/>
      </w:pPr>
      <w:r>
        <w:t xml:space="preserve">3.1 Estimated CNC Utilization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CNC machines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Est. CNC utilization</w:t>
            </w:r>
          </w:p>
        </w:tc>
      </w:tr>
      <w:tr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Rogaland Maskinering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7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Job shop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~10%</w:t>
            </w:r>
          </w:p>
        </w:tc>
      </w:tr>
      <w:tr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Lilaas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15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Machine shop/product supplier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~19%</w:t>
            </w:r>
          </w:p>
        </w:tc>
      </w:tr>
      <w:tr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Tamek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8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Job shop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~20%</w:t>
            </w:r>
          </w:p>
        </w:tc>
      </w:tr>
      <w:tr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Uvdal Maskinfabrikk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11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Job shop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~37%</w:t>
            </w:r>
          </w:p>
        </w:tc>
      </w:tr>
      <w:tr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Aarbakke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55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OEM/system supplier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~38%</w:t>
            </w:r>
          </w:p>
        </w:tc>
      </w:tr>
      <w:tr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TP-Products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14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OEM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~40–45%</w:t>
            </w:r>
          </w:p>
        </w:tc>
      </w:tr>
      <w:tr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Årdal Maskinering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18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Machine shop/product supplier</w:t>
            </w:r>
          </w:p>
        </w:tc>
        <w:tc>
          <w:tcPr>
            <w:tcW w:type="dxa" w:w="225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~47%</w:t>
            </w:r>
          </w:p>
        </w:tc>
      </w:tr>
    </w:tbl>
    <w:p>
      <w:pPr>
        <w:spacing w:before="80" w:after="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Figures represent estimated actual CNC utilization, adjusted for CNC share of value creation. All utilization rates are based on 8,760 available hours per machine per year.</w:t>
      </w:r>
    </w:p>
    <w:p>
      <w:pPr>
        <w:spacing w:before="120" w:after="0"/>
      </w:pPr>
    </w:p>
    <w:p>
      <w:pPr>
        <w:pBdr>
          <w:left w:val="single" w:color="F50537" w:sz="24" w:space="8"/>
        </w:pBdr>
        <w:shd w:fill="F5F5F5" w:val="clear"/>
        <w:spacing w:after="120"/>
        <w:ind w:left="200"/>
      </w:pPr>
      <w:r>
        <w:rPr>
          <w:rFonts w:ascii="Calibri" w:cs="Calibri" w:eastAsia="Calibri" w:hAnsi="Calibri"/>
          <w:i/>
          <w:iCs/>
          <w:color w:val="2B2B2B"/>
          <w:sz w:val="22"/>
          <w:szCs w:val="22"/>
        </w:rPr>
        <w:t xml:space="preserve">Aurelian design target (pre-revenue): 20 CNC, 60–65% utilization at maturity, 0.8 FTE/CNC at scale — enabled by greenfield design with 24/7 autonomous scheduling, pallet systems, and robotic loading.</w:t>
      </w:r>
    </w:p>
    <w:p>
      <w:pPr>
        <w:spacing w:before="120" w:after="0"/>
      </w:pPr>
    </w:p>
    <w:p>
      <w:pPr>
        <w:pStyle w:val="Heading2"/>
      </w:pPr>
      <w:r>
        <w:t xml:space="preserve">3.2 Observations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majority operate between 20–45%, even among well-run workshops with significant machine parks.</w:t>
      </w:r>
    </w:p>
    <w:p>
      <w:pPr>
        <w:spacing w:before="60" w:after="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Even the best Norwegian HMLV operators (Årdal Maskinering, TP-Products) top out around 40–47% utilization. This is not unique to Norway — international studies from Fraunhofer, Siemens, and leading machine suppliers confirm that 35–50% is normal for HMLV, while 55–60% is only achieved with high digital maturity and autonomous operation.</w:t>
      </w:r>
    </w:p>
    <w:p>
      <w:pPr>
        <w:spacing w:before="120" w:after="0"/>
      </w:pPr>
    </w:p>
    <w:p>
      <w:pPr>
        <w:pStyle w:val="Heading2"/>
      </w:pPr>
      <w:r>
        <w:t xml:space="preserve">3.3 Staffing per Machine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 central pattern in the benchmark is the ratio between employees and CNC machines:</w:t>
      </w:r>
    </w:p>
    <w:p>
      <w:pPr>
        <w:spacing w:before="80" w:after="0"/>
      </w:pPr>
    </w:p>
    <w:p>
      <w:pPr>
        <w:pStyle w:val="Heading3"/>
      </w:pPr>
      <w:r>
        <w:t xml:space="preserve">Observed industry: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4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Staff/CNC</w:t>
            </w:r>
          </w:p>
        </w:tc>
      </w:tr>
      <w:tr>
        <w:tc>
          <w:tcPr>
            <w:tcW w:type="dxa" w:w="5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Norwegian HMLV workshops (average)</w:t>
            </w:r>
          </w:p>
        </w:tc>
        <w:tc>
          <w:tcPr>
            <w:tcW w:type="dxa" w:w="4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~2.5</w:t>
            </w:r>
          </w:p>
        </w:tc>
      </w:tr>
    </w:tbl>
    <w:p>
      <w:pPr>
        <w:spacing w:before="120" w:after="0"/>
      </w:pPr>
    </w:p>
    <w:p>
      <w:pPr>
        <w:pStyle w:val="Heading3"/>
      </w:pPr>
      <w:r>
        <w:t xml:space="preserve">Aurelian design target (pre-revenue):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47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Enabled by</w:t>
            </w:r>
          </w:p>
        </w:tc>
      </w:tr>
      <w:tr>
        <w:tc>
          <w:tcPr>
            <w:tcW w:type="dxa" w:w="2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Staff/CNC at scale</w:t>
            </w:r>
          </w:p>
        </w:tc>
        <w:tc>
          <w:tcPr>
            <w:tcW w:type="dxa" w:w="18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0.8</w:t>
            </w:r>
          </w:p>
        </w:tc>
        <w:tc>
          <w:tcPr>
            <w:tcW w:type="dxa" w:w="47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Autonomous operation, robotic loading, sub-linear staffing model</w:t>
            </w:r>
          </w:p>
        </w:tc>
      </w:tr>
    </w:tbl>
    <w:p>
      <w:pPr>
        <w:spacing w:before="120" w:after="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At ~2.5 employees per machine, traditional scaling is directly limited by available labor — of which Norway is missing 39,000 (NAV Business Survey 2025). Aurelian's design target of 0.8 FTE/CNC is an attempt to resolve this dependency through greenfield design.</w:t>
      </w:r>
    </w:p>
    <w:p>
      <w:pPr>
        <w:spacing w:before="120" w:after="0"/>
      </w:pPr>
    </w:p>
    <w:p>
      <w:pPr>
        <w:pStyle w:val="Heading1"/>
      </w:pPr>
      <w:r>
        <w:t xml:space="preserve">4. Structural Explanations: Why 20–45% is Normal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low utilization rates reflect not a lack of competence or demand, but structural conditions typical of existing HMLV businesses:</w:t>
      </w:r>
    </w:p>
    <w:p>
      <w:pPr>
        <w:spacing w:before="120" w:after="0"/>
      </w:pPr>
    </w:p>
    <w:p>
      <w:pPr>
        <w:pStyle w:val="Heading2"/>
      </w:pPr>
      <w:r>
        <w:t xml:space="preserve">4.1 Staffing Dependency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Traditional workshops require physical presence for startup, monitoring, tool changes, and quality control. Machines stand idle outside staffed shifts (typically single or double shift).</w:t>
      </w:r>
    </w:p>
    <w:p>
      <w:pPr>
        <w:spacing w:before="120" w:after="0"/>
      </w:pPr>
    </w:p>
    <w:p>
      <w:pPr>
        <w:pStyle w:val="Heading2"/>
      </w:pPr>
      <w:r>
        <w:t xml:space="preserve">4.2 Indirect Time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Significant time is spent on changeover, documentation, coordination, and manual programming. In HMLV production, indirect time can constitute 40–60% of total available time.</w:t>
      </w:r>
    </w:p>
    <w:p>
      <w:pPr>
        <w:spacing w:before="120" w:after="0"/>
      </w:pPr>
    </w:p>
    <w:p>
      <w:pPr>
        <w:pStyle w:val="Heading2"/>
      </w:pPr>
      <w:r>
        <w:t xml:space="preserve">4.3 Fragmented Digital Value Chain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Most workshops have incrementally built IT systems without an end-to-end digital thread from CAD to finished part. Manual data transfer between systems creates bottlenecks and error sources.</w:t>
      </w:r>
    </w:p>
    <w:p>
      <w:pPr>
        <w:spacing w:before="120" w:after="0"/>
      </w:pPr>
    </w:p>
    <w:p>
      <w:pPr>
        <w:pStyle w:val="Heading2"/>
      </w:pPr>
      <w:r>
        <w:t xml:space="preserve">4.4 Cultural and Organizational Inertia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Existing organizations are built around staffed operations. Transitioning to autonomous operation requires not just technology, but fundamental changes to culture, processes, and competency profiles — extremely difficult in an existing organization with employees, unions, and established work patterns.</w:t>
      </w:r>
    </w:p>
    <w:p>
      <w:pPr>
        <w:spacing w:before="120" w:after="0"/>
      </w:pPr>
    </w:p>
    <w:p>
      <w:pPr>
        <w:pStyle w:val="Heading2"/>
      </w:pPr>
      <w:r>
        <w:t xml:space="preserve">4.5 Combined Effect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These four factors reinforce each other. The result is that even technologically advanced workshops with modern CNC machines cannot utilize more than ~47% of theoretical capacity.</w:t>
      </w:r>
    </w:p>
    <w:p>
      <w:pPr>
        <w:spacing w:before="120" w:after="0"/>
      </w:pPr>
    </w:p>
    <w:p>
      <w:pPr>
        <w:pStyle w:val="Heading1"/>
      </w:pPr>
      <w:r>
        <w:t xml:space="preserve">5. Aurelian's Structural Design Basis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Aurelian's target range of 60–65% represents not a technological leap, but a design choice that greenfield establishment enables:</w:t>
      </w:r>
    </w:p>
    <w:p>
      <w:pPr>
        <w:spacing w:before="120" w:after="0"/>
      </w:pPr>
    </w:p>
    <w:p>
      <w:pPr>
        <w:pStyle w:val="Heading3"/>
      </w:pPr>
      <w:r>
        <w:t xml:space="preserve">Observed industry (VDR 03.02):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Industry average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Establishment model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Brownfield (historical)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Operation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Single/double shift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Staff/CNC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~2.5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Digital architecture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Typically fragmented, incremental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Layout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Designed for manual flow</w:t>
            </w:r>
          </w:p>
        </w:tc>
      </w:tr>
    </w:tbl>
    <w:p>
      <w:pPr>
        <w:spacing w:before="120" w:after="0"/>
      </w:pPr>
    </w:p>
    <w:p>
      <w:pPr>
        <w:pStyle w:val="Heading3"/>
      </w:pPr>
      <w:r>
        <w:t xml:space="preserve">Aurelian design targets (pre-revenue greenfield):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2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Design target</w:t>
            </w:r>
          </w:p>
        </w:tc>
        <w:tc>
          <w:tcPr>
            <w:tcW w:type="dxa" w:w="46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Enabled by</w:t>
            </w:r>
          </w:p>
        </w:tc>
      </w:tr>
      <w:tr>
        <w:tc>
          <w:tcPr>
            <w:tcW w:type="dxa" w:w="2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24/7 autonomous with monitoring</w:t>
            </w:r>
          </w:p>
        </w:tc>
        <w:tc>
          <w:tcPr>
            <w:tcW w:type="dxa" w:w="46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Greenfield layout, pallet system</w:t>
            </w:r>
          </w:p>
        </w:tc>
      </w:tr>
      <w:tr>
        <w:tc>
          <w:tcPr>
            <w:tcW w:type="dxa" w:w="2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Staff/CNC at scale</w:t>
            </w:r>
          </w:p>
        </w:tc>
        <w:tc>
          <w:tcPr>
            <w:tcW w:type="dxa" w:w="2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0.8 (sub-linear)</w:t>
            </w:r>
          </w:p>
        </w:tc>
        <w:tc>
          <w:tcPr>
            <w:tcW w:type="dxa" w:w="46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Autonomous operation, robotic loading</w:t>
            </w:r>
          </w:p>
        </w:tc>
      </w:tr>
      <w:tr>
        <w:tc>
          <w:tcPr>
            <w:tcW w:type="dxa" w:w="2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Digital architecture</w:t>
            </w:r>
          </w:p>
        </w:tc>
        <w:tc>
          <w:tcPr>
            <w:tcW w:type="dxa" w:w="2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End-to-end from day 1</w:t>
            </w:r>
          </w:p>
        </w:tc>
        <w:tc>
          <w:tcPr>
            <w:tcW w:type="dxa" w:w="46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New organization without legacy</w:t>
            </w:r>
          </w:p>
        </w:tc>
      </w:tr>
      <w:tr>
        <w:tc>
          <w:tcPr>
            <w:tcW w:type="dxa" w:w="2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Layout</w:t>
            </w:r>
          </w:p>
        </w:tc>
        <w:tc>
          <w:tcPr>
            <w:tcW w:type="dxa" w:w="2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Autonomous material flow</w:t>
            </w:r>
          </w:p>
        </w:tc>
        <w:tc>
          <w:tcPr>
            <w:tcW w:type="dxa" w:w="46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Purpose-built facility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t xml:space="preserve">5.1 The Greenfield Advantage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Aurelian avoids the four structural limitations (4.1–4.4) because: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Autonomy is a design premise — not retrofitted efficiency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Digital thread is built in — eDOC, eMRB, OEE, and CSNE2T integrated from the first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Staffing is dimensioned for monitoring — not for machine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Layout is optimized for palletized cells — not for manual workflow</w:t>
      </w:r>
    </w:p>
    <w:p>
      <w:pPr>
        <w:spacing w:before="120" w:after="0"/>
      </w:pPr>
    </w:p>
    <w:p>
      <w:pPr>
        <w:pStyle w:val="Heading2"/>
      </w:pPr>
      <w:r>
        <w:t xml:space="preserve">5.2 Technological Foundation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Autonomous CNC operation is based on commercially available solutions: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MAZAK iSMART Factory / MAZATROL SmoothAi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DMG MORI CELOS X / Connected Machining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Siemens digital twin + NX CAM → SINUMERIK integration</w:t>
      </w:r>
    </w:p>
    <w:p>
      <w:pPr>
        <w:spacing w:before="60" w:after="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These platforms are production-ready and documented by the suppliers themselves. Aurelian's innovation lies in system integration and operational design, not in developing new technology.</w:t>
      </w:r>
    </w:p>
    <w:p>
      <w:pPr>
        <w:spacing w:before="60" w:after="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Detailed technical validation: see Autonomous CNC Validation report (VDR 04.03).</w:t>
      </w:r>
    </w:p>
    <w:p>
      <w:pPr>
        <w:spacing w:before="120" w:after="0"/>
      </w:pPr>
    </w:p>
    <w:p>
      <w:pPr>
        <w:pStyle w:val="Heading2"/>
      </w:pPr>
      <w:r>
        <w:t xml:space="preserve">5.3 Scaling Model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Source: 02 Economic Tables &amp; Projections (VDR 02.04), §1.3b and §2.3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1300"/>
        <w:gridCol w:w="1000"/>
        <w:gridCol w:w="1000"/>
        <w:gridCol w:w="1526"/>
      </w:tblGrid>
      <w:tr>
        <w:trPr>
          <w:tblHeader/>
        </w:trPr>
        <w:tc>
          <w:tcPr>
            <w:tcW w:type="dxa" w:w="1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Period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CNC</w:t>
            </w:r>
          </w:p>
        </w:tc>
        <w:tc>
          <w:tcPr>
            <w:tcW w:type="dxa" w:w="1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Utilization</w:t>
            </w:r>
          </w:p>
        </w:tc>
        <w:tc>
          <w:tcPr>
            <w:tcW w:type="dxa" w:w="1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Staff/CNC (total)</w:t>
            </w:r>
          </w:p>
        </w:tc>
      </w:tr>
      <w:tr>
        <w:tc>
          <w:tcPr>
            <w:tcW w:type="dxa" w:w="1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2027 Q3+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20%</w:t>
            </w:r>
          </w:p>
        </w:tc>
        <w:tc>
          <w:tcPr>
            <w:tcW w:type="dxa" w:w="1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10</w:t>
            </w:r>
          </w:p>
        </w:tc>
        <w:tc>
          <w:tcPr>
            <w:tcW w:type="dxa" w:w="1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1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2028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37.5%</w:t>
            </w:r>
          </w:p>
        </w:tc>
        <w:tc>
          <w:tcPr>
            <w:tcW w:type="dxa" w:w="1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10</w:t>
            </w:r>
          </w:p>
        </w:tc>
        <w:tc>
          <w:tcPr>
            <w:tcW w:type="dxa" w:w="1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1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2029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10–15</w:t>
            </w:r>
          </w:p>
        </w:tc>
        <w:tc>
          <w:tcPr>
            <w:tcW w:type="dxa" w:w="1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42.5%</w:t>
            </w:r>
          </w:p>
        </w:tc>
        <w:tc>
          <w:tcPr>
            <w:tcW w:type="dxa" w:w="1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14</w:t>
            </w:r>
          </w:p>
        </w:tc>
        <w:tc>
          <w:tcPr>
            <w:tcW w:type="dxa" w:w="1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~1.1</w:t>
            </w:r>
          </w:p>
        </w:tc>
      </w:tr>
      <w:tr>
        <w:tc>
          <w:tcPr>
            <w:tcW w:type="dxa" w:w="1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2030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15–20</w:t>
            </w:r>
          </w:p>
        </w:tc>
        <w:tc>
          <w:tcPr>
            <w:tcW w:type="dxa" w:w="1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47.5%</w:t>
            </w:r>
          </w:p>
        </w:tc>
        <w:tc>
          <w:tcPr>
            <w:tcW w:type="dxa" w:w="1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17</w:t>
            </w:r>
          </w:p>
        </w:tc>
        <w:tc>
          <w:tcPr>
            <w:tcW w:type="dxa" w:w="1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~0.9</w:t>
            </w:r>
          </w:p>
        </w:tc>
      </w:tr>
      <w:tr>
        <w:tc>
          <w:tcPr>
            <w:tcW w:type="dxa" w:w="1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2031+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52.5–65%</w:t>
            </w:r>
          </w:p>
        </w:tc>
        <w:tc>
          <w:tcPr>
            <w:tcW w:type="dxa" w:w="1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16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</w:t>
            </w:r>
          </w:p>
        </w:tc>
        <w:tc>
          <w:tcPr>
            <w:tcW w:type="dxa" w:w="1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1.0</w:t>
            </w:r>
          </w:p>
        </w:tc>
      </w:tr>
    </w:tbl>
    <w:p>
      <w:pPr>
        <w:spacing w:before="120" w:after="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staffing model shows clear sub-linear development: machine park quadruples (5→20), while operational staffing 2.7× (6→16). Admin fixed at 4 FTE from 2027. Operational Staff/CNC ratio improves from 1.2 at startup to 0.8 at full scale — precisely because autonomy increases with operational maturity.</w:t>
      </w:r>
    </w:p>
    <w:p>
      <w:pPr>
        <w:spacing w:before="120" w:after="0"/>
      </w:pPr>
    </w:p>
    <w:p>
      <w:pPr>
        <w:pStyle w:val="Heading1"/>
      </w:pPr>
      <w:r>
        <w:t xml:space="preserve">6. Implications for Investors</w:t>
      </w:r>
    </w:p>
    <w:p>
      <w:pPr>
        <w:pStyle w:val="Heading2"/>
      </w:pPr>
      <w:r>
        <w:t xml:space="preserve">6.1 Capital Productivity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Higher utilization per machine generates more revenue per invested krone. At Aurelian's design target (60% utilization, 20 CNC), the model projects ~315 MNOK in annual revenue (02 Economic Tables &amp; Projections, VDR 02.04, §1.5). By comparison, an equivalent machine park at observed average utilization (20–40%) would generate significantly less.</w:t>
      </w:r>
    </w:p>
    <w:p>
      <w:pPr>
        <w:spacing w:before="120" w:after="0"/>
      </w:pPr>
    </w:p>
    <w:p>
      <w:pPr>
        <w:pStyle w:val="Heading2"/>
      </w:pPr>
      <w:r>
        <w:t xml:space="preserve">6.2 Break-even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model projects break-even at ~24% utilization (5 CNC, 02 Economic Tables &amp; Projections, VDR 02.04, §5.2). For context: this lies in the lower range of observed utilization among established Norwegian HMLV operators (20–45%, per §3.1).</w:t>
      </w:r>
    </w:p>
    <w:p>
      <w:pPr>
        <w:spacing w:before="120" w:after="0"/>
      </w:pPr>
    </w:p>
    <w:p>
      <w:pPr>
        <w:pStyle w:val="Heading2"/>
      </w:pPr>
      <w:r>
        <w:t xml:space="preserve">6.3 Labor Shortage as Structural Context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Norway's shortage of 39,000 skilled workers (NAV 2025) limits traditional workshops' ability to scale. Aurelian's design target (0.8 FTE/CNC at scale, vs observed ~2.5) reduces dependence on a labor market with documented shortage. Replicating this staffing model requires equivalent greenfield establishment — a process estimated to take 3–5 years.</w:t>
      </w:r>
    </w:p>
    <w:p>
      <w:pPr>
        <w:spacing w:before="120" w:after="0"/>
      </w:pPr>
    </w:p>
    <w:p>
      <w:pPr>
        <w:pStyle w:val="Heading2"/>
      </w:pPr>
      <w:r>
        <w:t xml:space="preserve">6.4 Switching Cost as Moat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Customers who qualify Aurelian as a supplier (6–12 month process for defense/energy) have high switching costs. Combined with certifications (ISO 9001, AS9100, AQAP 2110), this creates a self-reinforcing competitive position.</w:t>
      </w:r>
    </w:p>
    <w:p>
      <w:pPr>
        <w:spacing w:before="120" w:after="0"/>
      </w:pPr>
    </w:p>
    <w:p>
      <w:pPr>
        <w:pStyle w:val="Heading2"/>
      </w:pPr>
      <w:r>
        <w:t xml:space="preserve">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VDR ref</w:t>
            </w:r>
          </w:p>
        </w:tc>
        <w:tc>
          <w:tcPr>
            <w:tcW w:type="dxa" w:w="7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</w:tr>
      <w:tr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02.04</w:t>
            </w:r>
          </w:p>
        </w:tc>
        <w:tc>
          <w:tcPr>
            <w:tcW w:type="dxa" w:w="7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02 Economic Tables &amp; Projections (master document)</w:t>
            </w:r>
          </w:p>
        </w:tc>
      </w:tr>
      <w:tr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03.06</w:t>
            </w:r>
          </w:p>
        </w:tc>
        <w:tc>
          <w:tcPr>
            <w:tcW w:type="dxa" w:w="7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Macro Market Analysis — Market Trends &amp; Projections</w:t>
            </w:r>
          </w:p>
        </w:tc>
      </w:tr>
      <w:tr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04.03</w:t>
            </w:r>
          </w:p>
        </w:tc>
        <w:tc>
          <w:tcPr>
            <w:tcW w:type="dxa" w:w="7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Autonomous CNC Validation report</w:t>
            </w:r>
          </w:p>
        </w:tc>
      </w:tr>
      <w:tr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04.02</w:t>
            </w:r>
          </w:p>
        </w:tc>
        <w:tc>
          <w:tcPr>
            <w:tcW w:type="dxa" w:w="7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CNC Resale Value Analysis</w:t>
            </w:r>
          </w:p>
        </w:tc>
      </w:tr>
      <w:tr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07.01</w:t>
            </w:r>
          </w:p>
        </w:tc>
        <w:tc>
          <w:tcPr>
            <w:tcW w:type="dxa" w:w="7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Investor Pitch Deck</w:t>
            </w:r>
          </w:p>
        </w:tc>
      </w:tr>
    </w:tbl>
    <w:p>
      <w:pPr>
        <w:spacing w:before="180" w:after="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Aurelian Manufacturing AS | Confidential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Contact: André Tandberg, CEO — andre@aurelian.no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Contact: Tore Ausland, VP Business Development — tore@aurelian.no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3"/>
        <w:tab w:val="right" w:pos="9026"/>
      </w:tabs>
      <w:spacing w:before="0"/>
    </w:pPr>
    <w:r>
      <w:rPr>
        <w:rFonts w:ascii="Calibri" w:cs="Calibri" w:eastAsia="Calibri" w:hAnsi="Calibri"/>
        <w:color w:val="6B6B6B"/>
        <w:sz w:val="18"/>
        <w:szCs w:val="18"/>
      </w:rPr>
      <w:t xml:space="preserve">CONFIDENTIAL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B6B6B"/>
        <w:sz w:val="18"/>
        <w:szCs w:val="18"/>
      </w:rPr>
      <w:t xml:space="preserve">Page </w:t>
    </w:r>
    <w:r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8"/>
        <w:szCs w:val="18"/>
      </w:rPr>
      <w:t xml:space="preserve">	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0537" w:sz="4" w:space="4"/>
      </w:pBdr>
      <w:spacing w:after="0"/>
      <w:jc w:val="right"/>
    </w:pPr>
    <w:r>
      <w:rPr>
        <w:rFonts w:ascii="Calibri" w:cs="Calibri" w:eastAsia="Calibri" w:hAnsi="Calibri"/>
        <w:color w:val="6B6B6B"/>
        <w:sz w:val="18"/>
        <w:szCs w:val="18"/>
      </w:rPr>
      <w:t xml:space="preserve">Aurelian Manufacturing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Calibri" w:cs="Calibri" w:eastAsia="Calibri" w:hAnsi="Calibri"/>
      <w:b/>
      <w:bCs/>
      <w:color w:val="2B2B2B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Calibri" w:cs="Calibri" w:eastAsia="Calibri" w:hAnsi="Calibri"/>
      <w:b/>
      <w:bCs/>
      <w:color w:val="F5053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2026-02-15T14:27:39.562Z</dcterms:created>
  <dcterms:modified xsi:type="dcterms:W3CDTF">2026-02-15T14:27:39.563Z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