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0537" w:sz="24" w:space="1"/>
        </w:pBdr>
        <w:spacing w:before="0" w:after="0"/>
      </w:pPr>
      <w:r>
        <w:rPr>
          <w:rFonts w:ascii="Calibri" w:cs="Calibri" w:eastAsia="Calibri" w:hAnsi="Calibri"/>
          <w:sz w:val="4"/>
          <w:szCs w:val="4"/>
        </w:rPr>
        <w:t xml:space="preserve"> </w:t>
      </w:r>
    </w:p>
    <w:p>
      <w:pPr>
        <w:spacing w:before="2400" w:after="200"/>
        <w:jc w:val="left"/>
      </w:pPr>
      <w:r>
        <w:rPr>
          <w:rFonts w:ascii="Calibri" w:cs="Calibri" w:eastAsia="Calibri" w:hAnsi="Calibri"/>
          <w:b/>
          <w:bCs/>
          <w:color w:val="2B2B2B"/>
          <w:sz w:val="56"/>
          <w:szCs w:val="56"/>
        </w:rPr>
        <w:t xml:space="preserve">Aurelian Manufacturing</w:t>
      </w:r>
    </w:p>
    <w:p>
      <w:pPr>
        <w:spacing w:before="100" w:after="100"/>
        <w:jc w:val="left"/>
      </w:pPr>
      <w:r>
        <w:rPr>
          <w:rFonts w:ascii="Calibri" w:cs="Calibri" w:eastAsia="Calibri" w:hAnsi="Calibri"/>
          <w:b/>
          <w:bCs/>
          <w:color w:val="F50537"/>
          <w:sz w:val="48"/>
          <w:szCs w:val="48"/>
        </w:rPr>
        <w:t xml:space="preserve">Advisory Agreement</w:t>
      </w:r>
    </w:p>
    <w:p>
      <w:pPr>
        <w:spacing w:before="100" w:after="100"/>
      </w:pPr>
      <w:r>
        <w:rPr>
          <w:rFonts w:ascii="Calibri" w:cs="Calibri" w:eastAsia="Calibri" w:hAnsi="Calibri"/>
          <w:i/>
          <w:iCs/>
          <w:color w:val="6B6B6B"/>
          <w:sz w:val="26"/>
          <w:szCs w:val="26"/>
        </w:rPr>
        <w:t xml:space="preserve">DRAFT — Requires Legal Review</w:t>
      </w:r>
    </w:p>
    <w:p>
      <w:pPr>
        <w:spacing w:before="200" w:after="100"/>
      </w:pPr>
      <w:r>
        <w:rPr>
          <w:rFonts w:ascii="Calibri" w:cs="Calibri" w:eastAsia="Calibri" w:hAnsi="Calibri"/>
          <w:color w:val="6B6B6B"/>
          <w:sz w:val="22"/>
          <w:szCs w:val="22"/>
        </w:rPr>
        <w:t xml:space="preserve">VDR 05.02</w:t>
      </w:r>
    </w:p>
    <w:p>
      <w:pPr>
        <w:spacing w:before="100" w:after="100"/>
      </w:pPr>
      <w:r>
        <w:rPr>
          <w:rFonts w:ascii="Calibri" w:cs="Calibri" w:eastAsia="Calibri" w:hAnsi="Calibri"/>
          <w:color w:val="6B6B6B"/>
          <w:sz w:val="22"/>
          <w:szCs w:val="22"/>
        </w:rPr>
        <w:t xml:space="preserve">February 2026</w:t>
      </w:r>
    </w:p>
    <w:p>
      <w:pPr>
        <w:spacing w:before="600" w:after="0"/>
      </w:pPr>
      <w:r>
        <w:rPr>
          <w:rFonts w:ascii="Calibri" w:cs="Calibri" w:eastAsia="Calibri" w:hAnsi="Calibri"/>
          <w:b/>
          <w:bCs/>
          <w:color w:val="6B6B6B"/>
          <w:sz w:val="22"/>
          <w:szCs w:val="22"/>
        </w:rPr>
        <w:t xml:space="preserve">CONFIDENTIAL</w:t>
      </w:r>
    </w:p>
    <w:p>
      <w:r>
        <w:br w:type="page"/>
      </w:r>
    </w:p>
    <w:p>
      <w:pPr>
        <w:sectPr>
          <w:pgSz w:w="11906" w:h="16838" w:orient="portrait"/>
          <w:pgMar w:top="1440" w:right="1440" w:bottom="1440" w:left="1440" w:header="708" w:footer="708" w:gutter="0"/>
          <w:pgNumType/>
          <w:docGrid w:linePitch="360"/>
        </w:sectPr>
      </w:pPr>
    </w:p>
    <w:p>
      <w:pPr>
        <w:pBdr>
          <w:left w:val="single" w:color="F50537" w:sz="24" w:space="8"/>
        </w:pBdr>
        <w:shd w:fill="F5F5F5" w:val="clear"/>
        <w:spacing w:after="120"/>
        <w:ind w:left="200"/>
      </w:pPr>
      <w:r>
        <w:rPr>
          <w:rFonts w:ascii="Calibri" w:cs="Calibri" w:eastAsia="Calibri" w:hAnsi="Calibri"/>
          <w:i/>
          <w:iCs/>
          <w:color w:val="2B2B2B"/>
          <w:sz w:val="22"/>
          <w:szCs w:val="22"/>
        </w:rPr>
        <w:t xml:space="preserve">DRAFT — This document is a template for legal review. It does not constitute legal advice. All terms, including equity compensation percentages, must be reviewed and approved by qualified legal counsel and the Board of Directors before execution.</w:t>
      </w:r>
    </w:p>
    <w:p>
      <w:pPr>
        <w:pStyle w:val="Heading2"/>
      </w:pPr>
      <w:r>
        <w:t xml:space="preserve">Advisory Agreement</w:t>
      </w:r>
    </w:p>
    <w:p>
      <w:pPr>
        <w:spacing w:after="120"/>
      </w:pPr>
      <w:r>
        <w:rPr>
          <w:rFonts w:ascii="Calibri" w:cs="Calibri" w:eastAsia="Calibri" w:hAnsi="Calibri"/>
          <w:b/>
          <w:bCs/>
          <w:color w:val="2B2B2B"/>
          <w:sz w:val="22"/>
          <w:szCs w:val="22"/>
        </w:rPr>
        <w:t xml:space="preserve">Between:</w:t>
      </w:r>
    </w:p>
    <w:p>
      <w:pPr>
        <w:spacing w:after="120"/>
      </w:pPr>
      <w:r>
        <w:rPr>
          <w:rFonts w:ascii="Calibri" w:cs="Calibri" w:eastAsia="Calibri" w:hAnsi="Calibri"/>
          <w:b/>
          <w:bCs/>
          <w:color w:val="2B2B2B"/>
          <w:sz w:val="22"/>
          <w:szCs w:val="22"/>
        </w:rPr>
        <w:t xml:space="preserve">Company: </w:t>
      </w:r>
      <w:r>
        <w:rPr>
          <w:rFonts w:ascii="Calibri" w:cs="Calibri" w:eastAsia="Calibri" w:hAnsi="Calibri"/>
          <w:color w:val="2B2B2B"/>
          <w:sz w:val="22"/>
          <w:szCs w:val="22"/>
        </w:rPr>
        <w:t xml:space="preserve">Aurelian Manufacturing AS, org.nr. 835 679 632, [registered address] (hereinafter "the Company")</w:t>
      </w:r>
    </w:p>
    <w:p>
      <w:pPr>
        <w:spacing w:after="120"/>
      </w:pPr>
      <w:r>
        <w:rPr>
          <w:rFonts w:ascii="Calibri" w:cs="Calibri" w:eastAsia="Calibri" w:hAnsi="Calibri"/>
          <w:b/>
          <w:bCs/>
          <w:color w:val="2B2B2B"/>
          <w:sz w:val="22"/>
          <w:szCs w:val="22"/>
        </w:rPr>
        <w:t xml:space="preserve">Advisor: </w:t>
      </w:r>
      <w:r>
        <w:rPr>
          <w:rFonts w:ascii="Calibri" w:cs="Calibri" w:eastAsia="Calibri" w:hAnsi="Calibri"/>
          <w:color w:val="2B2B2B"/>
          <w:sz w:val="22"/>
          <w:szCs w:val="22"/>
        </w:rPr>
        <w:t xml:space="preserve">[Full Name], [personal ID or org.nr. if through entity], residing at [address] (hereinafter "the Advisor")</w:t>
      </w:r>
    </w:p>
    <w:p>
      <w:pPr>
        <w:spacing w:before="120" w:after="0"/>
      </w:pPr>
    </w:p>
    <w:p>
      <w:pPr>
        <w:pStyle w:val="Heading2"/>
      </w:pPr>
      <w:r>
        <w:t xml:space="preserve">1. Engagement and Advisory Scope</w:t>
      </w:r>
    </w:p>
    <w:p>
      <w:pPr>
        <w:spacing w:after="120"/>
      </w:pPr>
      <w:r>
        <w:rPr>
          <w:rFonts w:ascii="Calibri" w:cs="Calibri" w:eastAsia="Calibri" w:hAnsi="Calibri"/>
          <w:color w:val="2B2B2B"/>
          <w:sz w:val="22"/>
          <w:szCs w:val="22"/>
        </w:rPr>
        <w:t xml:space="preserve">1.1 The Company engages the Advisor to provide strategic advisory services in the domain of [Technology &amp; Automation / Industry &amp; Scaling / Capital &amp; Scaleups].</w:t>
      </w:r>
    </w:p>
    <w:p>
      <w:pPr>
        <w:spacing w:after="120"/>
      </w:pPr>
      <w:r>
        <w:rPr>
          <w:rFonts w:ascii="Calibri" w:cs="Calibri" w:eastAsia="Calibri" w:hAnsi="Calibri"/>
          <w:color w:val="2B2B2B"/>
          <w:sz w:val="22"/>
          <w:szCs w:val="22"/>
        </w:rPr>
        <w:t xml:space="preserve">1.2 The Advisor's engagement is non-exclusive and does not constitute an employment relationship. The Advisor is an independent contractor.</w:t>
      </w:r>
    </w:p>
    <w:p>
      <w:pPr>
        <w:spacing w:after="120"/>
      </w:pPr>
      <w:r>
        <w:rPr>
          <w:rFonts w:ascii="Calibri" w:cs="Calibri" w:eastAsia="Calibri" w:hAnsi="Calibri"/>
          <w:color w:val="2B2B2B"/>
          <w:sz w:val="22"/>
          <w:szCs w:val="22"/>
        </w:rPr>
        <w:t xml:space="preserve">1.3 The advisory scope includes, but is not limited to:</w:t>
      </w:r>
    </w:p>
    <w:p>
      <w:pPr>
        <w:spacing w:before="80" w:after="0"/>
      </w:pPr>
    </w:p>
    <w:p>
      <w:pPr>
        <w:pStyle w:val="Heading3"/>
      </w:pPr>
      <w:r>
        <w:t xml:space="preserve">For Technology &amp; Automation Advisor:</w:t>
      </w:r>
    </w:p>
    <w:p>
      <w:pPr>
        <w:pStyle w:val="ListParagraph"/>
        <w:numPr>
          <w:ilvl w:val="0"/>
          <w:numId w:val="2"/>
        </w:numPr>
        <w:spacing w:after="60"/>
      </w:pPr>
      <w:r>
        <w:rPr>
          <w:rFonts w:ascii="Calibri" w:cs="Calibri" w:eastAsia="Calibri" w:hAnsi="Calibri"/>
          <w:color w:val="2B2B2B"/>
          <w:sz w:val="22"/>
          <w:szCs w:val="22"/>
        </w:rPr>
        <w:t xml:space="preserve">CNC equipment evaluation and technology strategy input</w:t>
      </w:r>
    </w:p>
    <w:p>
      <w:pPr>
        <w:pStyle w:val="ListParagraph"/>
        <w:numPr>
          <w:ilvl w:val="0"/>
          <w:numId w:val="2"/>
        </w:numPr>
        <w:spacing w:after="60"/>
      </w:pPr>
      <w:r>
        <w:rPr>
          <w:rFonts w:ascii="Calibri" w:cs="Calibri" w:eastAsia="Calibri" w:hAnsi="Calibri"/>
          <w:color w:val="2B2B2B"/>
          <w:sz w:val="22"/>
          <w:szCs w:val="22"/>
        </w:rPr>
        <w:t xml:space="preserve">Automation architecture and implementation guidance</w:t>
      </w:r>
    </w:p>
    <w:p>
      <w:pPr>
        <w:pStyle w:val="ListParagraph"/>
        <w:numPr>
          <w:ilvl w:val="0"/>
          <w:numId w:val="2"/>
        </w:numPr>
        <w:spacing w:after="60"/>
      </w:pPr>
      <w:r>
        <w:rPr>
          <w:rFonts w:ascii="Calibri" w:cs="Calibri" w:eastAsia="Calibri" w:hAnsi="Calibri"/>
          <w:color w:val="2B2B2B"/>
          <w:sz w:val="22"/>
          <w:szCs w:val="22"/>
        </w:rPr>
        <w:t xml:space="preserve">Manufacturing systems integration assessment</w:t>
      </w:r>
    </w:p>
    <w:p>
      <w:pPr>
        <w:pStyle w:val="ListParagraph"/>
        <w:numPr>
          <w:ilvl w:val="0"/>
          <w:numId w:val="2"/>
        </w:numPr>
        <w:spacing w:after="60"/>
      </w:pPr>
      <w:r>
        <w:rPr>
          <w:rFonts w:ascii="Calibri" w:cs="Calibri" w:eastAsia="Calibri" w:hAnsi="Calibri"/>
          <w:color w:val="2B2B2B"/>
          <w:sz w:val="22"/>
          <w:szCs w:val="22"/>
        </w:rPr>
        <w:t xml:space="preserve">Vendor and supplier network introductions</w:t>
      </w:r>
    </w:p>
    <w:p>
      <w:pPr>
        <w:spacing w:before="100" w:after="0"/>
      </w:pPr>
    </w:p>
    <w:p>
      <w:pPr>
        <w:pStyle w:val="Heading3"/>
      </w:pPr>
      <w:r>
        <w:t xml:space="preserve">For Industry &amp; Scaling Advisor:</w:t>
      </w:r>
    </w:p>
    <w:p>
      <w:pPr>
        <w:pStyle w:val="ListParagraph"/>
        <w:numPr>
          <w:ilvl w:val="0"/>
          <w:numId w:val="2"/>
        </w:numPr>
        <w:spacing w:after="60"/>
      </w:pPr>
      <w:r>
        <w:rPr>
          <w:rFonts w:ascii="Calibri" w:cs="Calibri" w:eastAsia="Calibri" w:hAnsi="Calibri"/>
          <w:color w:val="2B2B2B"/>
          <w:sz w:val="22"/>
          <w:szCs w:val="22"/>
        </w:rPr>
        <w:t xml:space="preserve">Operational process and production workflow advisory</w:t>
      </w:r>
    </w:p>
    <w:p>
      <w:pPr>
        <w:pStyle w:val="ListParagraph"/>
        <w:numPr>
          <w:ilvl w:val="0"/>
          <w:numId w:val="2"/>
        </w:numPr>
        <w:spacing w:after="60"/>
      </w:pPr>
      <w:r>
        <w:rPr>
          <w:rFonts w:ascii="Calibri" w:cs="Calibri" w:eastAsia="Calibri" w:hAnsi="Calibri"/>
          <w:color w:val="2B2B2B"/>
          <w:sz w:val="22"/>
          <w:szCs w:val="22"/>
        </w:rPr>
        <w:t xml:space="preserve">Quality management system guidance (ISO 9001, AS9100, AQAP 2110)</w:t>
      </w:r>
    </w:p>
    <w:p>
      <w:pPr>
        <w:pStyle w:val="ListParagraph"/>
        <w:numPr>
          <w:ilvl w:val="0"/>
          <w:numId w:val="2"/>
        </w:numPr>
        <w:spacing w:after="60"/>
      </w:pPr>
      <w:r>
        <w:rPr>
          <w:rFonts w:ascii="Calibri" w:cs="Calibri" w:eastAsia="Calibri" w:hAnsi="Calibri"/>
          <w:color w:val="2B2B2B"/>
          <w:sz w:val="22"/>
          <w:szCs w:val="22"/>
        </w:rPr>
        <w:t xml:space="preserve">Organizational scaling and staffing strategy input</w:t>
      </w:r>
    </w:p>
    <w:p>
      <w:pPr>
        <w:pStyle w:val="ListParagraph"/>
        <w:numPr>
          <w:ilvl w:val="0"/>
          <w:numId w:val="2"/>
        </w:numPr>
        <w:spacing w:after="60"/>
      </w:pPr>
      <w:r>
        <w:rPr>
          <w:rFonts w:ascii="Calibri" w:cs="Calibri" w:eastAsia="Calibri" w:hAnsi="Calibri"/>
          <w:color w:val="2B2B2B"/>
          <w:sz w:val="22"/>
          <w:szCs w:val="22"/>
        </w:rPr>
        <w:t xml:space="preserve">Supply chain and customer onboarding process guidance</w:t>
      </w:r>
    </w:p>
    <w:p>
      <w:pPr>
        <w:spacing w:before="100" w:after="0"/>
      </w:pPr>
    </w:p>
    <w:p>
      <w:pPr>
        <w:pStyle w:val="Heading3"/>
      </w:pPr>
      <w:r>
        <w:t xml:space="preserve">For Capital &amp; Scaleups Advisor:</w:t>
      </w:r>
    </w:p>
    <w:p>
      <w:pPr>
        <w:pStyle w:val="ListParagraph"/>
        <w:numPr>
          <w:ilvl w:val="0"/>
          <w:numId w:val="2"/>
        </w:numPr>
        <w:spacing w:after="60"/>
      </w:pPr>
      <w:r>
        <w:rPr>
          <w:rFonts w:ascii="Calibri" w:cs="Calibri" w:eastAsia="Calibri" w:hAnsi="Calibri"/>
          <w:color w:val="2B2B2B"/>
          <w:sz w:val="22"/>
          <w:szCs w:val="22"/>
        </w:rPr>
        <w:t xml:space="preserve">Fundraising strategy and process advisory</w:t>
      </w:r>
    </w:p>
    <w:p>
      <w:pPr>
        <w:pStyle w:val="ListParagraph"/>
        <w:numPr>
          <w:ilvl w:val="0"/>
          <w:numId w:val="2"/>
        </w:numPr>
        <w:spacing w:after="60"/>
      </w:pPr>
      <w:r>
        <w:rPr>
          <w:rFonts w:ascii="Calibri" w:cs="Calibri" w:eastAsia="Calibri" w:hAnsi="Calibri"/>
          <w:color w:val="2B2B2B"/>
          <w:sz w:val="22"/>
          <w:szCs w:val="22"/>
        </w:rPr>
        <w:t xml:space="preserve">Investor introductions and network access</w:t>
      </w:r>
    </w:p>
    <w:p>
      <w:pPr>
        <w:pStyle w:val="ListParagraph"/>
        <w:numPr>
          <w:ilvl w:val="0"/>
          <w:numId w:val="2"/>
        </w:numPr>
        <w:spacing w:after="60"/>
      </w:pPr>
      <w:r>
        <w:rPr>
          <w:rFonts w:ascii="Calibri" w:cs="Calibri" w:eastAsia="Calibri" w:hAnsi="Calibri"/>
          <w:color w:val="2B2B2B"/>
          <w:sz w:val="22"/>
          <w:szCs w:val="22"/>
        </w:rPr>
        <w:t xml:space="preserve">Valuation, deal structuring, and cap table guidance</w:t>
      </w:r>
    </w:p>
    <w:p>
      <w:pPr>
        <w:pStyle w:val="ListParagraph"/>
        <w:numPr>
          <w:ilvl w:val="0"/>
          <w:numId w:val="2"/>
        </w:numPr>
        <w:spacing w:after="60"/>
      </w:pPr>
      <w:r>
        <w:rPr>
          <w:rFonts w:ascii="Calibri" w:cs="Calibri" w:eastAsia="Calibri" w:hAnsi="Calibri"/>
          <w:color w:val="2B2B2B"/>
          <w:sz w:val="22"/>
          <w:szCs w:val="22"/>
        </w:rPr>
        <w:t xml:space="preserve">Board governance and investor reporting best practices</w:t>
      </w:r>
    </w:p>
    <w:p>
      <w:pPr>
        <w:spacing w:before="120" w:after="0"/>
      </w:pPr>
    </w:p>
    <w:p>
      <w:pPr>
        <w:spacing w:after="120"/>
      </w:pPr>
      <w:r>
        <w:rPr>
          <w:rFonts w:ascii="Calibri" w:cs="Calibri" w:eastAsia="Calibri" w:hAnsi="Calibri"/>
          <w:color w:val="2B2B2B"/>
          <w:sz w:val="22"/>
          <w:szCs w:val="22"/>
        </w:rPr>
        <w:t xml:space="preserve">1.4 The Advisor shall make reasonable efforts to be available for consultation, meetings, and introductions as needed. The parties acknowledge that the Advisor has other professional commitments.</w:t>
      </w:r>
    </w:p>
    <w:p>
      <w:pPr>
        <w:spacing w:before="200" w:after="0"/>
      </w:pPr>
    </w:p>
    <w:p>
      <w:pPr>
        <w:pStyle w:val="Heading2"/>
      </w:pPr>
      <w:r>
        <w:t xml:space="preserve">2. Term and Termination</w:t>
      </w:r>
    </w:p>
    <w:p>
      <w:pPr>
        <w:spacing w:after="120"/>
      </w:pPr>
      <w:r>
        <w:rPr>
          <w:rFonts w:ascii="Calibri" w:cs="Calibri" w:eastAsia="Calibri" w:hAnsi="Calibri"/>
          <w:color w:val="2B2B2B"/>
          <w:sz w:val="22"/>
          <w:szCs w:val="22"/>
        </w:rPr>
        <w:t xml:space="preserve">2.1 Term: This agreement commences on [start date] and continues for an initial period of 24 months, unless terminated earlier.</w:t>
      </w:r>
    </w:p>
    <w:p>
      <w:pPr>
        <w:spacing w:after="120"/>
      </w:pPr>
      <w:r>
        <w:rPr>
          <w:rFonts w:ascii="Calibri" w:cs="Calibri" w:eastAsia="Calibri" w:hAnsi="Calibri"/>
          <w:color w:val="2B2B2B"/>
          <w:sz w:val="22"/>
          <w:szCs w:val="22"/>
        </w:rPr>
        <w:t xml:space="preserve">2.2 Renewal: After the initial term, the agreement renews automatically for successive 12-month periods unless either party gives 30 days written notice of non-renewal.</w:t>
      </w:r>
    </w:p>
    <w:p>
      <w:pPr>
        <w:spacing w:after="120"/>
      </w:pPr>
      <w:r>
        <w:rPr>
          <w:rFonts w:ascii="Calibri" w:cs="Calibri" w:eastAsia="Calibri" w:hAnsi="Calibri"/>
          <w:color w:val="2B2B2B"/>
          <w:sz w:val="22"/>
          <w:szCs w:val="22"/>
        </w:rPr>
        <w:t xml:space="preserve">2.3 Termination: Either party may terminate at any time by giving 30 days written notice.</w:t>
      </w:r>
    </w:p>
    <w:p>
      <w:pPr>
        <w:spacing w:after="120"/>
      </w:pPr>
      <w:r>
        <w:rPr>
          <w:rFonts w:ascii="Calibri" w:cs="Calibri" w:eastAsia="Calibri" w:hAnsi="Calibri"/>
          <w:color w:val="2B2B2B"/>
          <w:sz w:val="22"/>
          <w:szCs w:val="22"/>
        </w:rPr>
        <w:t xml:space="preserve">2.4 Immediate Termination: The Company may terminate immediately if the Advisor materially breaches any provision and fails to cure within 14 days of written notice.</w:t>
      </w:r>
    </w:p>
    <w:p>
      <w:pPr>
        <w:spacing w:after="120"/>
      </w:pPr>
      <w:r>
        <w:rPr>
          <w:rFonts w:ascii="Calibri" w:cs="Calibri" w:eastAsia="Calibri" w:hAnsi="Calibri"/>
          <w:color w:val="2B2B2B"/>
          <w:sz w:val="22"/>
          <w:szCs w:val="22"/>
        </w:rPr>
        <w:t xml:space="preserve">2.5 Effect of Termination: Upon termination, the Advisor shall return all Company materials and confidential information. Vested equity shall be retained per Section 3. Confidentiality obligations survive termination per Section 5.</w:t>
      </w:r>
    </w:p>
    <w:p>
      <w:pPr>
        <w:spacing w:before="200" w:after="0"/>
      </w:pPr>
    </w:p>
    <w:p>
      <w:pPr>
        <w:pStyle w:val="Heading2"/>
      </w:pPr>
      <w:r>
        <w:t xml:space="preserve">3. Compensation</w:t>
      </w:r>
    </w:p>
    <w:p>
      <w:pPr>
        <w:spacing w:after="120"/>
      </w:pPr>
      <w:r>
        <w:rPr>
          <w:rFonts w:ascii="Calibri" w:cs="Calibri" w:eastAsia="Calibri" w:hAnsi="Calibri"/>
          <w:color w:val="2B2B2B"/>
          <w:sz w:val="22"/>
          <w:szCs w:val="22"/>
        </w:rPr>
        <w:t xml:space="preserve">3.1 Advisory Equity: As compensation for advisory services, the Advisor shall receive [equity / warrants / options] in the Company equivalent to [X]% of fully diluted share capital, subject to the vesting schedule in Section 3.2.</w:t>
      </w:r>
    </w:p>
    <w:p>
      <w:pPr>
        <w:spacing w:after="120"/>
      </w:pPr>
      <w:r>
        <w:rPr>
          <w:rFonts w:ascii="Calibri" w:cs="Calibri" w:eastAsia="Calibri" w:hAnsi="Calibri"/>
          <w:color w:val="2B2B2B"/>
          <w:sz w:val="22"/>
          <w:szCs w:val="22"/>
        </w:rPr>
        <w:t xml:space="preserve">3.2 Vesting Schedule:</w:t>
      </w:r>
    </w:p>
    <w:p>
      <w:pPr>
        <w:pStyle w:val="ListParagraph"/>
        <w:numPr>
          <w:ilvl w:val="0"/>
          <w:numId w:val="2"/>
        </w:numPr>
        <w:spacing w:after="60"/>
      </w:pPr>
      <w:r>
        <w:rPr>
          <w:rFonts w:ascii="Calibri" w:cs="Calibri" w:eastAsia="Calibri" w:hAnsi="Calibri"/>
          <w:color w:val="2B2B2B"/>
          <w:sz w:val="22"/>
          <w:szCs w:val="22"/>
        </w:rPr>
        <w:t xml:space="preserve">Vesting period: 24 months from commencement date</w:t>
      </w:r>
    </w:p>
    <w:p>
      <w:pPr>
        <w:pStyle w:val="ListParagraph"/>
        <w:numPr>
          <w:ilvl w:val="0"/>
          <w:numId w:val="2"/>
        </w:numPr>
        <w:spacing w:after="60"/>
      </w:pPr>
      <w:r>
        <w:rPr>
          <w:rFonts w:ascii="Calibri" w:cs="Calibri" w:eastAsia="Calibri" w:hAnsi="Calibri"/>
          <w:color w:val="2B2B2B"/>
          <w:sz w:val="22"/>
          <w:szCs w:val="22"/>
        </w:rPr>
        <w:t xml:space="preserve">Cliff: 6 months (25% vests at cliff)</w:t>
      </w:r>
    </w:p>
    <w:p>
      <w:pPr>
        <w:pStyle w:val="ListParagraph"/>
        <w:numPr>
          <w:ilvl w:val="0"/>
          <w:numId w:val="2"/>
        </w:numPr>
        <w:spacing w:after="60"/>
      </w:pPr>
      <w:r>
        <w:rPr>
          <w:rFonts w:ascii="Calibri" w:cs="Calibri" w:eastAsia="Calibri" w:hAnsi="Calibri"/>
          <w:color w:val="2B2B2B"/>
          <w:sz w:val="22"/>
          <w:szCs w:val="22"/>
        </w:rPr>
        <w:t xml:space="preserve">Subsequent vesting: Monthly over the remaining 18 months</w:t>
      </w:r>
    </w:p>
    <w:p>
      <w:pPr>
        <w:pStyle w:val="ListParagraph"/>
        <w:numPr>
          <w:ilvl w:val="0"/>
          <w:numId w:val="2"/>
        </w:numPr>
        <w:spacing w:after="60"/>
      </w:pPr>
      <w:r>
        <w:rPr>
          <w:rFonts w:ascii="Calibri" w:cs="Calibri" w:eastAsia="Calibri" w:hAnsi="Calibri"/>
          <w:color w:val="2B2B2B"/>
          <w:sz w:val="22"/>
          <w:szCs w:val="22"/>
        </w:rPr>
        <w:t xml:space="preserve">Acceleration: [Single / Double] trigger upon change of control</w:t>
      </w:r>
    </w:p>
    <w:p>
      <w:pPr>
        <w:spacing w:after="120"/>
      </w:pPr>
      <w:r>
        <w:rPr>
          <w:rFonts w:ascii="Calibri" w:cs="Calibri" w:eastAsia="Calibri" w:hAnsi="Calibri"/>
          <w:color w:val="2B2B2B"/>
          <w:sz w:val="22"/>
          <w:szCs w:val="22"/>
        </w:rPr>
        <w:t xml:space="preserve">3.3 Cash Compensation: [No cash compensation / NOK [amount] per meeting / NOK [amount] per month], subject to Board approval.</w:t>
      </w:r>
    </w:p>
    <w:p>
      <w:pPr>
        <w:spacing w:after="120"/>
      </w:pPr>
      <w:r>
        <w:rPr>
          <w:rFonts w:ascii="Calibri" w:cs="Calibri" w:eastAsia="Calibri" w:hAnsi="Calibri"/>
          <w:color w:val="2B2B2B"/>
          <w:sz w:val="22"/>
          <w:szCs w:val="22"/>
        </w:rPr>
        <w:t xml:space="preserve">3.4 Expense Reimbursement: Reasonable and documented travel and out-of-pocket expenses incurred in connection with advisory activities shall be reimbursed upon prior approval.</w:t>
      </w:r>
    </w:p>
    <w:p>
      <w:pPr>
        <w:spacing w:before="200" w:after="0"/>
      </w:pPr>
    </w:p>
    <w:p>
      <w:pPr>
        <w:pStyle w:val="Heading2"/>
      </w:pPr>
      <w:r>
        <w:t xml:space="preserve">4. Time Commitment</w:t>
      </w:r>
    </w:p>
    <w:p>
      <w:pPr>
        <w:spacing w:after="120"/>
      </w:pPr>
      <w:r>
        <w:rPr>
          <w:rFonts w:ascii="Calibri" w:cs="Calibri" w:eastAsia="Calibri" w:hAnsi="Calibri"/>
          <w:color w:val="2B2B2B"/>
          <w:sz w:val="22"/>
          <w:szCs w:val="22"/>
        </w:rPr>
        <w:t xml:space="preserve">4.1 The Advisor commits to a minimum of [2-4] hours per month, which may include:</w:t>
      </w:r>
    </w:p>
    <w:p>
      <w:pPr>
        <w:pStyle w:val="ListParagraph"/>
        <w:numPr>
          <w:ilvl w:val="0"/>
          <w:numId w:val="2"/>
        </w:numPr>
        <w:spacing w:after="60"/>
      </w:pPr>
      <w:r>
        <w:rPr>
          <w:rFonts w:ascii="Calibri" w:cs="Calibri" w:eastAsia="Calibri" w:hAnsi="Calibri"/>
          <w:color w:val="2B2B2B"/>
          <w:sz w:val="22"/>
          <w:szCs w:val="22"/>
        </w:rPr>
        <w:t xml:space="preserve">Attendance at advisory board meetings (estimated quarterly)</w:t>
      </w:r>
    </w:p>
    <w:p>
      <w:pPr>
        <w:pStyle w:val="ListParagraph"/>
        <w:numPr>
          <w:ilvl w:val="0"/>
          <w:numId w:val="2"/>
        </w:numPr>
        <w:spacing w:after="60"/>
      </w:pPr>
      <w:r>
        <w:rPr>
          <w:rFonts w:ascii="Calibri" w:cs="Calibri" w:eastAsia="Calibri" w:hAnsi="Calibri"/>
          <w:color w:val="2B2B2B"/>
          <w:sz w:val="22"/>
          <w:szCs w:val="22"/>
        </w:rPr>
        <w:t xml:space="preserve">Ad-hoc consultations by phone, email, or video</w:t>
      </w:r>
    </w:p>
    <w:p>
      <w:pPr>
        <w:pStyle w:val="ListParagraph"/>
        <w:numPr>
          <w:ilvl w:val="0"/>
          <w:numId w:val="2"/>
        </w:numPr>
        <w:spacing w:after="60"/>
      </w:pPr>
      <w:r>
        <w:rPr>
          <w:rFonts w:ascii="Calibri" w:cs="Calibri" w:eastAsia="Calibri" w:hAnsi="Calibri"/>
          <w:color w:val="2B2B2B"/>
          <w:sz w:val="22"/>
          <w:szCs w:val="22"/>
        </w:rPr>
        <w:t xml:space="preserve">Introductions and networking on behalf of the Company</w:t>
      </w:r>
    </w:p>
    <w:p>
      <w:pPr>
        <w:pStyle w:val="ListParagraph"/>
        <w:numPr>
          <w:ilvl w:val="0"/>
          <w:numId w:val="2"/>
        </w:numPr>
        <w:spacing w:after="60"/>
      </w:pPr>
      <w:r>
        <w:rPr>
          <w:rFonts w:ascii="Calibri" w:cs="Calibri" w:eastAsia="Calibri" w:hAnsi="Calibri"/>
          <w:color w:val="2B2B2B"/>
          <w:sz w:val="22"/>
          <w:szCs w:val="22"/>
        </w:rPr>
        <w:t xml:space="preserve">Review of materials and strategic documents as requested</w:t>
      </w:r>
    </w:p>
    <w:p>
      <w:pPr>
        <w:spacing w:after="120"/>
      </w:pPr>
      <w:r>
        <w:rPr>
          <w:rFonts w:ascii="Calibri" w:cs="Calibri" w:eastAsia="Calibri" w:hAnsi="Calibri"/>
          <w:color w:val="2B2B2B"/>
          <w:sz w:val="22"/>
          <w:szCs w:val="22"/>
        </w:rPr>
        <w:t xml:space="preserve">4.2 The Advisor is not required to be present at the Company's facilities on a regular basis.</w:t>
      </w:r>
    </w:p>
    <w:p>
      <w:pPr>
        <w:spacing w:before="200" w:after="0"/>
      </w:pPr>
    </w:p>
    <w:p>
      <w:pPr>
        <w:pStyle w:val="Heading2"/>
      </w:pPr>
      <w:r>
        <w:t xml:space="preserve">5. Confidentiality</w:t>
      </w:r>
    </w:p>
    <w:p>
      <w:pPr>
        <w:spacing w:after="120"/>
      </w:pPr>
      <w:r>
        <w:rPr>
          <w:rFonts w:ascii="Calibri" w:cs="Calibri" w:eastAsia="Calibri" w:hAnsi="Calibri"/>
          <w:color w:val="2B2B2B"/>
          <w:sz w:val="22"/>
          <w:szCs w:val="22"/>
        </w:rPr>
        <w:t xml:space="preserve">5.1 The Advisor shall maintain strict confidentiality regarding all non-public information disclosed by the Company.</w:t>
      </w:r>
    </w:p>
    <w:p>
      <w:pPr>
        <w:spacing w:after="120"/>
      </w:pPr>
      <w:r>
        <w:rPr>
          <w:rFonts w:ascii="Calibri" w:cs="Calibri" w:eastAsia="Calibri" w:hAnsi="Calibri"/>
          <w:color w:val="2B2B2B"/>
          <w:sz w:val="22"/>
          <w:szCs w:val="22"/>
        </w:rPr>
        <w:t xml:space="preserve">5.2 This obligation survives termination for a period of 5 years.</w:t>
      </w:r>
    </w:p>
    <w:p>
      <w:pPr>
        <w:spacing w:after="120"/>
      </w:pPr>
      <w:r>
        <w:rPr>
          <w:rFonts w:ascii="Calibri" w:cs="Calibri" w:eastAsia="Calibri" w:hAnsi="Calibri"/>
          <w:color w:val="2B2B2B"/>
          <w:sz w:val="22"/>
          <w:szCs w:val="22"/>
        </w:rPr>
        <w:t xml:space="preserve">5.3 The Advisor may disclose confidential information only: with the Company's prior written consent, as required by law or court order (with prompt notice to the Company), to the Advisor's own legal or financial advisors subject to equivalent confidentiality obligations.</w:t>
      </w:r>
    </w:p>
    <w:p>
      <w:pPr>
        <w:spacing w:before="200" w:after="0"/>
      </w:pPr>
    </w:p>
    <w:p>
      <w:pPr>
        <w:pStyle w:val="Heading2"/>
      </w:pPr>
      <w:r>
        <w:t xml:space="preserve">6. Intellectual Property</w:t>
      </w:r>
    </w:p>
    <w:p>
      <w:pPr>
        <w:spacing w:after="120"/>
      </w:pPr>
      <w:r>
        <w:rPr>
          <w:rFonts w:ascii="Calibri" w:cs="Calibri" w:eastAsia="Calibri" w:hAnsi="Calibri"/>
          <w:color w:val="2B2B2B"/>
          <w:sz w:val="22"/>
          <w:szCs w:val="22"/>
        </w:rPr>
        <w:t xml:space="preserve">6.1 Any IP created by the Advisor in the course of advisory activities shall be the exclusive property of the Company.</w:t>
      </w:r>
    </w:p>
    <w:p>
      <w:pPr>
        <w:spacing w:after="120"/>
      </w:pPr>
      <w:r>
        <w:rPr>
          <w:rFonts w:ascii="Calibri" w:cs="Calibri" w:eastAsia="Calibri" w:hAnsi="Calibri"/>
          <w:color w:val="2B2B2B"/>
          <w:sz w:val="22"/>
          <w:szCs w:val="22"/>
        </w:rPr>
        <w:t xml:space="preserve">6.2 The Advisor shall promptly disclose any such IP and execute documents necessary to assign ownership.</w:t>
      </w:r>
    </w:p>
    <w:p>
      <w:pPr>
        <w:spacing w:after="120"/>
      </w:pPr>
      <w:r>
        <w:rPr>
          <w:rFonts w:ascii="Calibri" w:cs="Calibri" w:eastAsia="Calibri" w:hAnsi="Calibri"/>
          <w:color w:val="2B2B2B"/>
          <w:sz w:val="22"/>
          <w:szCs w:val="22"/>
        </w:rPr>
        <w:t xml:space="preserve">6.3 Pre-existing IP of the Advisor is not affected.</w:t>
      </w:r>
    </w:p>
    <w:p>
      <w:pPr>
        <w:spacing w:before="200" w:after="0"/>
      </w:pPr>
    </w:p>
    <w:p>
      <w:pPr>
        <w:pStyle w:val="Heading2"/>
      </w:pPr>
      <w:r>
        <w:t xml:space="preserve">7. Conflict of Interest</w:t>
      </w:r>
    </w:p>
    <w:p>
      <w:pPr>
        <w:spacing w:after="120"/>
      </w:pPr>
      <w:r>
        <w:rPr>
          <w:rFonts w:ascii="Calibri" w:cs="Calibri" w:eastAsia="Calibri" w:hAnsi="Calibri"/>
          <w:color w:val="2B2B2B"/>
          <w:sz w:val="22"/>
          <w:szCs w:val="22"/>
        </w:rPr>
        <w:t xml:space="preserve">7.1 The Advisor shall promptly disclose any material conflict of interest.</w:t>
      </w:r>
    </w:p>
    <w:p>
      <w:pPr>
        <w:spacing w:after="120"/>
      </w:pPr>
      <w:r>
        <w:rPr>
          <w:rFonts w:ascii="Calibri" w:cs="Calibri" w:eastAsia="Calibri" w:hAnsi="Calibri"/>
          <w:color w:val="2B2B2B"/>
          <w:sz w:val="22"/>
          <w:szCs w:val="22"/>
        </w:rPr>
        <w:t xml:space="preserve">7.2 The Advisor represents that, as of the date of this agreement, there are no material conflicts of interest with the Company's business.</w:t>
      </w:r>
    </w:p>
    <w:p>
      <w:pPr>
        <w:spacing w:after="120"/>
      </w:pPr>
      <w:r>
        <w:rPr>
          <w:rFonts w:ascii="Calibri" w:cs="Calibri" w:eastAsia="Calibri" w:hAnsi="Calibri"/>
          <w:color w:val="2B2B2B"/>
          <w:sz w:val="22"/>
          <w:szCs w:val="22"/>
        </w:rPr>
        <w:t xml:space="preserve">7.3 The Advisor may engage in other professional activities, provided they do not directly compete with the Company's core business of autonomous CNC manufacturing for defense, energy, and industrial customers in the Nordic region.</w:t>
      </w:r>
    </w:p>
    <w:p>
      <w:pPr>
        <w:spacing w:before="200" w:after="0"/>
      </w:pPr>
    </w:p>
    <w:p>
      <w:pPr>
        <w:pStyle w:val="Heading2"/>
      </w:pPr>
      <w:r>
        <w:t xml:space="preserve">8. Liability and Indemnification</w:t>
      </w:r>
    </w:p>
    <w:p>
      <w:pPr>
        <w:spacing w:after="120"/>
      </w:pPr>
      <w:r>
        <w:rPr>
          <w:rFonts w:ascii="Calibri" w:cs="Calibri" w:eastAsia="Calibri" w:hAnsi="Calibri"/>
          <w:color w:val="2B2B2B"/>
          <w:sz w:val="22"/>
          <w:szCs w:val="22"/>
        </w:rPr>
        <w:t xml:space="preserve">8.1 The Advisor provides advisory services on a best-efforts basis. Not liable for business decisions except in cases of gross negligence or willful misconduct.</w:t>
      </w:r>
    </w:p>
    <w:p>
      <w:pPr>
        <w:spacing w:after="120"/>
      </w:pPr>
      <w:r>
        <w:rPr>
          <w:rFonts w:ascii="Calibri" w:cs="Calibri" w:eastAsia="Calibri" w:hAnsi="Calibri"/>
          <w:color w:val="2B2B2B"/>
          <w:sz w:val="22"/>
          <w:szCs w:val="22"/>
        </w:rPr>
        <w:t xml:space="preserve">8.2 The Company shall indemnify the Advisor against third-party claims arising from advisory activities performed in good faith and within scope.</w:t>
      </w:r>
    </w:p>
    <w:p>
      <w:pPr>
        <w:spacing w:before="200" w:after="0"/>
      </w:pPr>
    </w:p>
    <w:p>
      <w:pPr>
        <w:pStyle w:val="Heading2"/>
      </w:pPr>
      <w:r>
        <w:t xml:space="preserve">9. Governing Law and Disputes</w:t>
      </w:r>
    </w:p>
    <w:p>
      <w:pPr>
        <w:spacing w:after="120"/>
      </w:pPr>
      <w:r>
        <w:rPr>
          <w:rFonts w:ascii="Calibri" w:cs="Calibri" w:eastAsia="Calibri" w:hAnsi="Calibri"/>
          <w:color w:val="2B2B2B"/>
          <w:sz w:val="22"/>
          <w:szCs w:val="22"/>
        </w:rPr>
        <w:t xml:space="preserve">9.1 Governed by Norwegian law.</w:t>
      </w:r>
    </w:p>
    <w:p>
      <w:pPr>
        <w:spacing w:after="120"/>
      </w:pPr>
      <w:r>
        <w:rPr>
          <w:rFonts w:ascii="Calibri" w:cs="Calibri" w:eastAsia="Calibri" w:hAnsi="Calibri"/>
          <w:color w:val="2B2B2B"/>
          <w:sz w:val="22"/>
          <w:szCs w:val="22"/>
        </w:rPr>
        <w:t xml:space="preserve">9.2 Disputes: good-faith negotiation first, then arbitration under Oslo Chamber of Commerce rules.</w:t>
      </w:r>
    </w:p>
    <w:p>
      <w:pPr>
        <w:spacing w:before="200" w:after="0"/>
      </w:pPr>
    </w:p>
    <w:p>
      <w:pPr>
        <w:pStyle w:val="Heading2"/>
      </w:pPr>
      <w:r>
        <w:t xml:space="preserve">10. Miscellaneous</w:t>
      </w:r>
    </w:p>
    <w:p>
      <w:pPr>
        <w:spacing w:after="120"/>
      </w:pPr>
      <w:r>
        <w:rPr>
          <w:rFonts w:ascii="Calibri" w:cs="Calibri" w:eastAsia="Calibri" w:hAnsi="Calibri"/>
          <w:color w:val="2B2B2B"/>
          <w:sz w:val="22"/>
          <w:szCs w:val="22"/>
        </w:rPr>
        <w:t xml:space="preserve">10.1 Entire agreement. Supersedes all prior discussions.</w:t>
      </w:r>
    </w:p>
    <w:p>
      <w:pPr>
        <w:spacing w:after="120"/>
      </w:pPr>
      <w:r>
        <w:rPr>
          <w:rFonts w:ascii="Calibri" w:cs="Calibri" w:eastAsia="Calibri" w:hAnsi="Calibri"/>
          <w:color w:val="2B2B2B"/>
          <w:sz w:val="22"/>
          <w:szCs w:val="22"/>
        </w:rPr>
        <w:t xml:space="preserve">10.2 Amendments must be in writing and signed by both parties.</w:t>
      </w:r>
    </w:p>
    <w:p>
      <w:pPr>
        <w:spacing w:after="120"/>
      </w:pPr>
      <w:r>
        <w:rPr>
          <w:rFonts w:ascii="Calibri" w:cs="Calibri" w:eastAsia="Calibri" w:hAnsi="Calibri"/>
          <w:color w:val="2B2B2B"/>
          <w:sz w:val="22"/>
          <w:szCs w:val="22"/>
        </w:rPr>
        <w:t xml:space="preserve">10.3 Not assignable by the Advisor without prior written consent.</w:t>
      </w:r>
    </w:p>
    <w:p>
      <w:pPr>
        <w:spacing w:before="200" w:after="0"/>
      </w:pPr>
    </w:p>
    <w:p>
      <w:pPr>
        <w:pStyle w:val="Heading2"/>
      </w:pPr>
      <w:r>
        <w:t xml:space="preserve">11. Signatures</w:t>
      </w:r>
    </w:p>
    <w:p>
      <w:pPr>
        <w:spacing w:after="120"/>
      </w:pPr>
      <w:r>
        <w:rPr>
          <w:rFonts w:ascii="Calibri" w:cs="Calibri" w:eastAsia="Calibri" w:hAnsi="Calibri"/>
          <w:color w:val="2B2B2B"/>
          <w:sz w:val="22"/>
          <w:szCs w:val="22"/>
        </w:rPr>
        <w:t xml:space="preserve">This agreement is executed in two counterparts, each party retaining one original.</w:t>
      </w:r>
    </w:p>
    <w:p>
      <w:pPr>
        <w:spacing w:before="200" w:after="0"/>
      </w:pPr>
    </w:p>
    <w:p>
      <w:pPr>
        <w:spacing w:after="120"/>
      </w:pPr>
      <w:r>
        <w:rPr>
          <w:rFonts w:ascii="Calibri" w:cs="Calibri" w:eastAsia="Calibri" w:hAnsi="Calibri"/>
          <w:b/>
          <w:bCs/>
          <w:color w:val="2B2B2B"/>
          <w:sz w:val="22"/>
          <w:szCs w:val="22"/>
        </w:rPr>
        <w:t xml:space="preserve">For the Company:</w:t>
      </w:r>
    </w:p>
    <w:p>
      <w:pPr>
        <w:spacing w:after="120"/>
      </w:pPr>
      <w:r>
        <w:rPr>
          <w:rFonts w:ascii="Calibri" w:cs="Calibri" w:eastAsia="Calibri" w:hAnsi="Calibri"/>
          <w:color w:val="2B2B2B"/>
          <w:sz w:val="22"/>
          <w:szCs w:val="22"/>
        </w:rPr>
        <w:t xml:space="preserve">________________________________</w:t>
      </w:r>
    </w:p>
    <w:p>
      <w:pPr>
        <w:spacing w:after="120"/>
      </w:pPr>
      <w:r>
        <w:rPr>
          <w:rFonts w:ascii="Calibri" w:cs="Calibri" w:eastAsia="Calibri" w:hAnsi="Calibri"/>
          <w:color w:val="2B2B2B"/>
          <w:sz w:val="22"/>
          <w:szCs w:val="22"/>
        </w:rPr>
        <w:t xml:space="preserve">Name: André Tandberg</w:t>
      </w:r>
    </w:p>
    <w:p>
      <w:pPr>
        <w:spacing w:after="120"/>
      </w:pPr>
      <w:r>
        <w:rPr>
          <w:rFonts w:ascii="Calibri" w:cs="Calibri" w:eastAsia="Calibri" w:hAnsi="Calibri"/>
          <w:color w:val="2B2B2B"/>
          <w:sz w:val="22"/>
          <w:szCs w:val="22"/>
        </w:rPr>
        <w:t xml:space="preserve">Title: CEO</w:t>
      </w:r>
    </w:p>
    <w:p>
      <w:pPr>
        <w:spacing w:after="120"/>
      </w:pPr>
      <w:r>
        <w:rPr>
          <w:rFonts w:ascii="Calibri" w:cs="Calibri" w:eastAsia="Calibri" w:hAnsi="Calibri"/>
          <w:color w:val="2B2B2B"/>
          <w:sz w:val="22"/>
          <w:szCs w:val="22"/>
        </w:rPr>
        <w:t xml:space="preserve">Date: _______________</w:t>
      </w:r>
    </w:p>
    <w:p>
      <w:pPr>
        <w:spacing w:before="240" w:after="0"/>
      </w:pPr>
    </w:p>
    <w:p>
      <w:pPr>
        <w:spacing w:after="120"/>
      </w:pPr>
      <w:r>
        <w:rPr>
          <w:rFonts w:ascii="Calibri" w:cs="Calibri" w:eastAsia="Calibri" w:hAnsi="Calibri"/>
          <w:b/>
          <w:bCs/>
          <w:color w:val="2B2B2B"/>
          <w:sz w:val="22"/>
          <w:szCs w:val="22"/>
        </w:rPr>
        <w:t xml:space="preserve">Advisor:</w:t>
      </w:r>
    </w:p>
    <w:p>
      <w:pPr>
        <w:spacing w:after="120"/>
      </w:pPr>
      <w:r>
        <w:rPr>
          <w:rFonts w:ascii="Calibri" w:cs="Calibri" w:eastAsia="Calibri" w:hAnsi="Calibri"/>
          <w:color w:val="2B2B2B"/>
          <w:sz w:val="22"/>
          <w:szCs w:val="22"/>
        </w:rPr>
        <w:t xml:space="preserve">________________________________</w:t>
      </w:r>
    </w:p>
    <w:p>
      <w:pPr>
        <w:spacing w:after="120"/>
      </w:pPr>
      <w:r>
        <w:rPr>
          <w:rFonts w:ascii="Calibri" w:cs="Calibri" w:eastAsia="Calibri" w:hAnsi="Calibri"/>
          <w:color w:val="2B2B2B"/>
          <w:sz w:val="22"/>
          <w:szCs w:val="22"/>
        </w:rPr>
        <w:t xml:space="preserve">Name: [Advisor name]</w:t>
      </w:r>
    </w:p>
    <w:p>
      <w:pPr>
        <w:spacing w:after="120"/>
      </w:pPr>
      <w:r>
        <w:rPr>
          <w:rFonts w:ascii="Calibri" w:cs="Calibri" w:eastAsia="Calibri" w:hAnsi="Calibri"/>
          <w:color w:val="2B2B2B"/>
          <w:sz w:val="22"/>
          <w:szCs w:val="22"/>
        </w:rPr>
        <w:t xml:space="preserve">Date: _______________</w:t>
      </w:r>
    </w:p>
    <w:p>
      <w:pPr>
        <w:spacing w:before="240" w:after="0"/>
      </w:pPr>
    </w:p>
    <w:p>
      <w:pPr>
        <w:pStyle w:val="Heading2"/>
      </w:pPr>
      <w:r>
        <w:t xml:space="preserve">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VDR ref</w:t>
            </w:r>
          </w:p>
        </w:tc>
        <w:tc>
          <w:tcPr>
            <w:tcW w:type="dxa" w:w="7526"/>
            <w:tcBorders>
              <w:top w:val="single" w:color="D3D3D3" w:sz="4"/>
              <w:left w:val="none" w:color="FFFFFF" w:sz="0"/>
              <w:bottom w:val="single" w:color="D3D3D3" w:sz="4"/>
              <w:right w:val="none" w:color="FFFFFF" w:sz="0"/>
            </w:tcBorders>
            <w:shd w:fill="2B2B2B"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Document</w:t>
            </w:r>
          </w:p>
        </w:tc>
      </w:tr>
      <w:tr>
        <w:tc>
          <w:tcPr>
            <w:tcW w:type="dxa" w:w="15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01.02</w:t>
            </w:r>
          </w:p>
        </w:tc>
        <w:tc>
          <w:tcPr>
            <w:tcW w:type="dxa" w:w="7526"/>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01 Shareholders Agreement</w:t>
            </w:r>
          </w:p>
        </w:tc>
      </w:tr>
      <w:tr>
        <w:tc>
          <w:tcPr>
            <w:tcW w:type="dxa" w:w="15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05.01</w:t>
            </w:r>
          </w:p>
        </w:tc>
        <w:tc>
          <w:tcPr>
            <w:tcW w:type="dxa" w:w="7526"/>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05 IP Assignment Agreements — Founders</w:t>
            </w:r>
          </w:p>
        </w:tc>
      </w:tr>
      <w:tr>
        <w:tc>
          <w:tcPr>
            <w:tcW w:type="dxa" w:w="1500"/>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06.03</w:t>
            </w:r>
          </w:p>
        </w:tc>
        <w:tc>
          <w:tcPr>
            <w:tcW w:type="dxa" w:w="7526"/>
            <w:tcBorders>
              <w:top w:val="single" w:color="D3D3D3" w:sz="4"/>
              <w:left w:val="none" w:color="FFFFFF" w:sz="0"/>
              <w:bottom w:val="single" w:color="D3D3D3" w:sz="4"/>
              <w:right w:val="none" w:color="FFFFFF" w:sz="0"/>
            </w:tcBorders>
            <w:shd w:fill="FFFFFF"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06 Advisor Bios &amp; Industry Relevance</w:t>
            </w:r>
          </w:p>
        </w:tc>
      </w:tr>
      <w:tr>
        <w:tc>
          <w:tcPr>
            <w:tcW w:type="dxa" w:w="1500"/>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left"/>
            </w:pPr>
            <w:r>
              <w:rPr>
                <w:rFonts w:ascii="Calibri" w:cs="Calibri" w:eastAsia="Calibri" w:hAnsi="Calibri"/>
                <w:b/>
                <w:bCs/>
                <w:color w:val="2B2B2B"/>
                <w:sz w:val="22"/>
                <w:szCs w:val="22"/>
              </w:rPr>
              <w:t xml:space="preserve">06.04</w:t>
            </w:r>
          </w:p>
        </w:tc>
        <w:tc>
          <w:tcPr>
            <w:tcW w:type="dxa" w:w="7526"/>
            <w:tcBorders>
              <w:top w:val="single" w:color="D3D3D3" w:sz="4"/>
              <w:left w:val="none" w:color="FFFFFF" w:sz="0"/>
              <w:bottom w:val="single" w:color="D3D3D3" w:sz="4"/>
              <w:right w:val="none" w:color="FFFFFF" w:sz="0"/>
            </w:tcBorders>
            <w:shd w:fill="F5F5F5" w:val="clear"/>
            <w:tcMar>
              <w:top w:type="dxa" w:w="60"/>
              <w:left w:type="dxa" w:w="100"/>
              <w:bottom w:type="dxa" w:w="60"/>
              <w:right w:type="dxa" w:w="100"/>
            </w:tcMar>
          </w:tcPr>
          <w:p>
            <w:pPr>
              <w:spacing w:after="0"/>
              <w:jc w:val="right"/>
            </w:pPr>
            <w:r>
              <w:rPr>
                <w:rFonts w:ascii="Calibri" w:cs="Calibri" w:eastAsia="Calibri" w:hAnsi="Calibri"/>
                <w:b w:val="false"/>
                <w:bCs w:val="false"/>
                <w:color w:val="2B2B2B"/>
                <w:sz w:val="22"/>
                <w:szCs w:val="22"/>
              </w:rPr>
              <w:t xml:space="preserve">06 Key Hires Plan</w:t>
            </w:r>
          </w:p>
        </w:tc>
      </w:tr>
    </w:tbl>
    <w:p>
      <w:pPr>
        <w:spacing w:before="120" w:after="0"/>
      </w:pPr>
    </w:p>
    <w:p>
      <w:pPr>
        <w:spacing w:after="80"/>
      </w:pPr>
      <w:r>
        <w:rPr>
          <w:rFonts w:ascii="Calibri" w:cs="Calibri" w:eastAsia="Calibri" w:hAnsi="Calibri"/>
          <w:i/>
          <w:iCs/>
          <w:color w:val="6B6B6B"/>
          <w:sz w:val="18"/>
          <w:szCs w:val="18"/>
        </w:rPr>
        <w:t xml:space="preserve">DRAFT — This document is a template for legal review. All terms must be reviewed and approved by qualified legal counsel and the Board of Directors before execution.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spacing w:before="0"/>
    </w:pPr>
    <w:r>
      <w:rPr>
        <w:rFonts w:ascii="Calibri" w:cs="Calibri" w:eastAsia="Calibri" w:hAnsi="Calibri"/>
        <w:color w:val="6B6B6B"/>
        <w:sz w:val="18"/>
        <w:szCs w:val="18"/>
      </w:rPr>
      <w:t xml:space="preserve">CONFIDENTIAL</w:t>
    </w:r>
    <w:r>
      <w:rPr>
        <w:rFonts w:ascii="Calibri" w:cs="Calibri" w:eastAsia="Calibri" w:hAnsi="Calibri"/>
        <w:sz w:val="18"/>
        <w:szCs w:val="18"/>
      </w:rPr>
      <w:t xml:space="preserve">	</w:t>
    </w:r>
    <w:r>
      <w:rPr>
        <w:rFonts w:ascii="Calibri" w:cs="Calibri" w:eastAsia="Calibri" w:hAnsi="Calibri"/>
        <w:color w:val="6B6B6B"/>
        <w:sz w:val="18"/>
        <w:szCs w:val="18"/>
      </w:rPr>
      <w:t xml:space="preserve">Page </w:t>
    </w:r>
    <w:r>
      <w:rPr>
        <w:rFonts w:ascii="Calibri" w:cs="Calibri" w:eastAsia="Calibri" w:hAnsi="Calibri"/>
        <w:color w:val="6B6B6B"/>
        <w:sz w:val="18"/>
        <w:szCs w:val="18"/>
      </w:rPr>
      <w:fldChar w:fldCharType="begin"/>
      <w:instrText xml:space="preserve">PAGE</w:instrText>
      <w:fldChar w:fldCharType="separate"/>
      <w:fldChar w:fldCharType="end"/>
    </w:r>
    <w:r>
      <w:rPr>
        <w:rFonts w:ascii="Calibri" w:cs="Calibri" w:eastAsia="Calibri" w:hAnsi="Calibri"/>
        <w:color w:val="6B6B6B"/>
        <w:sz w:val="18"/>
        <w:szCs w:val="18"/>
      </w:rPr>
      <w:t xml:space="preserve">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0537" w:sz="4" w:space="4"/>
      </w:pBdr>
      <w:spacing w:after="0"/>
      <w:jc w:val="right"/>
    </w:pPr>
    <w:r>
      <w:rPr>
        <w:rFonts w:ascii="Calibri" w:cs="Calibri" w:eastAsia="Calibri" w:hAnsi="Calibri"/>
        <w:color w:val="6B6B6B"/>
        <w:sz w:val="18"/>
        <w:szCs w:val="18"/>
      </w:rPr>
      <w:t xml:space="preserve">Aurelian Manufacturing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Calibri" w:cs="Calibri" w:eastAsia="Calibri" w:hAnsi="Calibri"/>
      <w:b/>
      <w:bCs/>
      <w:color w:val="2B2B2B"/>
      <w:sz w:val="44"/>
      <w:szCs w:val="44"/>
    </w:rPr>
  </w:style>
  <w:style w:type="paragraph" w:styleId="Heading2">
    <w:name w:val="Heading 2"/>
    <w:basedOn w:val="Normal"/>
    <w:next w:val="Normal"/>
    <w:qFormat/>
    <w:pPr>
      <w:spacing w:before="360" w:after="120"/>
      <w:outlineLvl w:val="1"/>
    </w:pPr>
    <w:rPr>
      <w:rFonts w:ascii="Calibri" w:cs="Calibri" w:eastAsia="Calibri" w:hAnsi="Calibri"/>
      <w:b/>
      <w:bCs/>
      <w:color w:val="F50537"/>
      <w:sz w:val="32"/>
      <w:szCs w:val="32"/>
    </w:rPr>
  </w:style>
  <w:style w:type="paragraph" w:styleId="Heading3">
    <w:name w:val="Heading 3"/>
    <w:basedOn w:val="Normal"/>
    <w:next w:val="Normal"/>
    <w:qFormat/>
    <w:pPr>
      <w:spacing w:before="240" w:after="80"/>
      <w:outlineLvl w:val="2"/>
    </w:pPr>
    <w:rPr>
      <w:rFonts w:ascii="Calibri" w:cs="Calibri" w:eastAsia="Calibri" w:hAnsi="Calibri"/>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2026-02-16T22:27:14.313Z</dcterms:created>
  <dcterms:modified xsi:type="dcterms:W3CDTF">2026-02-16T22:27:14.313Z</dcterms:modified>
</cp:coreProperties>
</file>

<file path=docProps/custom.xml><?xml version="1.0" encoding="utf-8"?>
<Properties xmlns="http://schemas.openxmlformats.org/officeDocument/2006/custom-properties" xmlns:vt="http://schemas.openxmlformats.org/officeDocument/2006/docPropsVTypes"/>
</file>