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0537" w:sz="24" w:space="1"/>
        </w:pBdr>
        <w:spacing w:before="0" w:after="0"/>
      </w:pPr>
      <w:r>
        <w:rPr>
          <w:rFonts w:ascii="Calibri" w:cs="Calibri" w:eastAsia="Calibri" w:hAnsi="Calibri"/>
          <w:sz w:val="4"/>
          <w:szCs w:val="4"/>
        </w:rPr>
        <w:t xml:space="preserve"> </w:t>
      </w:r>
    </w:p>
    <w:p>
      <w:pPr>
        <w:spacing w:before="2400" w:after="200"/>
        <w:jc w:val="left"/>
      </w:pPr>
      <w:r>
        <w:rPr>
          <w:rFonts w:ascii="Calibri" w:cs="Calibri" w:eastAsia="Calibri" w:hAnsi="Calibri"/>
          <w:b/>
          <w:bCs/>
          <w:color w:val="2B2B2B"/>
          <w:sz w:val="56"/>
          <w:szCs w:val="56"/>
        </w:rPr>
        <w:t xml:space="preserve">Aurelian Manufacturing</w:t>
      </w:r>
    </w:p>
    <w:p>
      <w:pPr>
        <w:spacing w:before="100" w:after="100"/>
        <w:jc w:val="left"/>
      </w:pPr>
      <w:r>
        <w:rPr>
          <w:rFonts w:ascii="Calibri" w:cs="Calibri" w:eastAsia="Calibri" w:hAnsi="Calibri"/>
          <w:b/>
          <w:bCs/>
          <w:color w:val="F50537"/>
          <w:sz w:val="48"/>
          <w:szCs w:val="48"/>
        </w:rPr>
        <w:t xml:space="preserve">Employment Agreement</w:t>
      </w:r>
    </w:p>
    <w:p>
      <w:pPr>
        <w:spacing w:before="100" w:after="100"/>
      </w:pPr>
      <w:r>
        <w:rPr>
          <w:rFonts w:ascii="Calibri" w:cs="Calibri" w:eastAsia="Calibri" w:hAnsi="Calibri"/>
          <w:i/>
          <w:iCs/>
          <w:color w:val="6B6B6B"/>
          <w:sz w:val="26"/>
          <w:szCs w:val="26"/>
        </w:rPr>
        <w:t xml:space="preserve">DRAFT — Requires Legal Review</w:t>
      </w:r>
    </w:p>
    <w:p>
      <w:pPr>
        <w:spacing w:before="200" w:after="100"/>
      </w:pPr>
      <w:r>
        <w:rPr>
          <w:rFonts w:ascii="Calibri" w:cs="Calibri" w:eastAsia="Calibri" w:hAnsi="Calibri"/>
          <w:color w:val="6B6B6B"/>
          <w:sz w:val="22"/>
          <w:szCs w:val="22"/>
        </w:rPr>
        <w:t xml:space="preserve">VDR 05.02</w:t>
      </w:r>
    </w:p>
    <w:p>
      <w:pPr>
        <w:spacing w:before="100" w:after="100"/>
      </w:pPr>
      <w:r>
        <w:rPr>
          <w:rFonts w:ascii="Calibri" w:cs="Calibri" w:eastAsia="Calibri" w:hAnsi="Calibri"/>
          <w:color w:val="6B6B6B"/>
          <w:sz w:val="22"/>
          <w:szCs w:val="22"/>
        </w:rPr>
        <w:t xml:space="preserve">February 2026</w:t>
      </w:r>
    </w:p>
    <w:p>
      <w:pPr>
        <w:spacing w:before="600" w:after="0"/>
      </w:pPr>
      <w:r>
        <w:rPr>
          <w:rFonts w:ascii="Calibri" w:cs="Calibri" w:eastAsia="Calibri" w:hAnsi="Calibri"/>
          <w:b/>
          <w:bCs/>
          <w:color w:val="6B6B6B"/>
          <w:sz w:val="22"/>
          <w:szCs w:val="22"/>
        </w:rPr>
        <w:t xml:space="preserve">CONFIDENTIAL</w:t>
      </w:r>
    </w:p>
    <w:p>
      <w:r>
        <w:br w:type="page"/>
      </w:r>
    </w:p>
    <w:p>
      <w:pPr>
        <w:sectPr>
          <w:pgSz w:w="11906" w:h="16838" w:orient="portrait"/>
          <w:pgMar w:top="1440" w:right="1440" w:bottom="1440" w:left="1440" w:header="708" w:footer="708" w:gutter="0"/>
          <w:pgNumType/>
          <w:docGrid w:linePitch="360"/>
        </w:sectPr>
      </w:pPr>
    </w:p>
    <w:p>
      <w:pPr>
        <w:pBdr>
          <w:left w:val="single" w:color="F50537" w:sz="24" w:space="8"/>
        </w:pBdr>
        <w:shd w:fill="F5F5F5" w:val="clear"/>
        <w:spacing w:after="120"/>
        <w:ind w:left="200"/>
      </w:pPr>
      <w:r>
        <w:rPr>
          <w:rFonts w:ascii="Calibri" w:cs="Calibri" w:eastAsia="Calibri" w:hAnsi="Calibri"/>
          <w:i/>
          <w:iCs/>
          <w:color w:val="2B2B2B"/>
          <w:sz w:val="22"/>
          <w:szCs w:val="22"/>
        </w:rPr>
        <w:t xml:space="preserve">DRAFT — This document is a template for legal review. It does not constitute legal advice. All terms must be reviewed and approved by qualified legal counsel before execution.</w:t>
      </w:r>
    </w:p>
    <w:p>
      <w:pPr>
        <w:spacing w:before="240" w:after="0"/>
      </w:pPr>
    </w:p>
    <w:p>
      <w:pPr>
        <w:pStyle w:val="Heading1"/>
      </w:pPr>
      <w:r>
        <w:t xml:space="preserve">Employment Agreement</w:t>
      </w:r>
    </w:p>
    <w:p>
      <w:pPr>
        <w:spacing w:before="120" w:after="0"/>
      </w:pPr>
    </w:p>
    <w:p>
      <w:pPr>
        <w:spacing w:after="120"/>
      </w:pPr>
      <w:r>
        <w:rPr>
          <w:rFonts w:ascii="Calibri" w:cs="Calibri" w:eastAsia="Calibri" w:hAnsi="Calibri"/>
          <w:b/>
          <w:bCs/>
          <w:color w:val="2B2B2B"/>
          <w:sz w:val="22"/>
          <w:szCs w:val="22"/>
        </w:rPr>
        <w:t xml:space="preserve">Between:</w:t>
      </w:r>
    </w:p>
    <w:p>
      <w:pPr>
        <w:spacing w:after="120"/>
      </w:pPr>
      <w:r>
        <w:rPr>
          <w:rFonts w:ascii="Calibri" w:cs="Calibri" w:eastAsia="Calibri" w:hAnsi="Calibri"/>
          <w:b/>
          <w:bCs/>
          <w:color w:val="2B2B2B"/>
          <w:sz w:val="22"/>
          <w:szCs w:val="22"/>
        </w:rPr>
        <w:t xml:space="preserve">Employer: </w:t>
      </w:r>
      <w:r>
        <w:rPr>
          <w:rFonts w:ascii="Calibri" w:cs="Calibri" w:eastAsia="Calibri" w:hAnsi="Calibri"/>
          <w:color w:val="2B2B2B"/>
          <w:sz w:val="22"/>
          <w:szCs w:val="22"/>
        </w:rPr>
        <w:t xml:space="preserve">Aurelian Manufacturing AS, org.nr. 835 679 632, [registered address] (hereinafter "the Company")</w:t>
      </w:r>
    </w:p>
    <w:p>
      <w:pPr>
        <w:spacing w:after="120"/>
      </w:pPr>
      <w:r>
        <w:rPr>
          <w:rFonts w:ascii="Calibri" w:cs="Calibri" w:eastAsia="Calibri" w:hAnsi="Calibri"/>
          <w:b/>
          <w:bCs/>
          <w:color w:val="2B2B2B"/>
          <w:sz w:val="22"/>
          <w:szCs w:val="22"/>
        </w:rPr>
        <w:t xml:space="preserve">Employee: </w:t>
      </w:r>
      <w:r>
        <w:rPr>
          <w:rFonts w:ascii="Calibri" w:cs="Calibri" w:eastAsia="Calibri" w:hAnsi="Calibri"/>
          <w:color w:val="2B2B2B"/>
          <w:sz w:val="22"/>
          <w:szCs w:val="22"/>
        </w:rPr>
        <w:t xml:space="preserve">[Full Name], born [date of birth], residing at [address] (hereinafter "the Employee")</w:t>
      </w:r>
    </w:p>
    <w:p>
      <w:pPr>
        <w:spacing w:before="120" w:after="0"/>
      </w:pPr>
    </w:p>
    <w:p>
      <w:pPr>
        <w:pStyle w:val="Heading2"/>
      </w:pPr>
      <w:r>
        <w:t xml:space="preserve">1. Position and Duties</w:t>
      </w:r>
    </w:p>
    <w:p>
      <w:pPr>
        <w:spacing w:after="120"/>
      </w:pPr>
      <w:r>
        <w:rPr>
          <w:rFonts w:ascii="Calibri" w:cs="Calibri" w:eastAsia="Calibri" w:hAnsi="Calibri"/>
          <w:color w:val="2B2B2B"/>
          <w:sz w:val="22"/>
          <w:szCs w:val="22"/>
        </w:rPr>
        <w:t xml:space="preserve">1.1 The Employee is engaged as [CEO / VP Business Development / CFO pathway] of the Company, effective from [start date].</w:t>
      </w:r>
    </w:p>
    <w:p>
      <w:pPr>
        <w:spacing w:after="120"/>
      </w:pPr>
      <w:r>
        <w:rPr>
          <w:rFonts w:ascii="Calibri" w:cs="Calibri" w:eastAsia="Calibri" w:hAnsi="Calibri"/>
          <w:color w:val="2B2B2B"/>
          <w:sz w:val="22"/>
          <w:szCs w:val="22"/>
        </w:rPr>
        <w:t xml:space="preserve">1.2 The Employee shall report to the Board of Directors.</w:t>
      </w:r>
    </w:p>
    <w:p>
      <w:pPr>
        <w:spacing w:after="120"/>
      </w:pPr>
      <w:r>
        <w:rPr>
          <w:rFonts w:ascii="Calibri" w:cs="Calibri" w:eastAsia="Calibri" w:hAnsi="Calibri"/>
          <w:color w:val="2B2B2B"/>
          <w:sz w:val="22"/>
          <w:szCs w:val="22"/>
        </w:rPr>
        <w:t xml:space="preserve">1.3 The Employee's primary responsibilities include: [To be specified per role — see Section 10 for role-specific schedules]</w:t>
      </w:r>
    </w:p>
    <w:p>
      <w:pPr>
        <w:spacing w:after="120"/>
      </w:pPr>
      <w:r>
        <w:rPr>
          <w:rFonts w:ascii="Calibri" w:cs="Calibri" w:eastAsia="Calibri" w:hAnsi="Calibri"/>
          <w:color w:val="2B2B2B"/>
          <w:sz w:val="22"/>
          <w:szCs w:val="22"/>
        </w:rPr>
        <w:t xml:space="preserve">1.4 The Employee shall devote 100% of working capacity to the Company, subject to approved side engagements as defined in the Shareholders Agreement, Schedule C (VDR 01.02).</w:t>
      </w:r>
    </w:p>
    <w:p>
      <w:pPr>
        <w:spacing w:after="120"/>
      </w:pPr>
      <w:r>
        <w:rPr>
          <w:rFonts w:ascii="Calibri" w:cs="Calibri" w:eastAsia="Calibri" w:hAnsi="Calibri"/>
          <w:color w:val="2B2B2B"/>
          <w:sz w:val="22"/>
          <w:szCs w:val="22"/>
        </w:rPr>
        <w:t xml:space="preserve">1.5 The Employee's principal place of work is the Company's facilities in Våler, Østfold, Norway, or such other location as may be agreed.</w:t>
      </w:r>
    </w:p>
    <w:p>
      <w:pPr>
        <w:spacing w:before="120" w:after="0"/>
      </w:pPr>
    </w:p>
    <w:p>
      <w:pPr>
        <w:pStyle w:val="Heading2"/>
      </w:pPr>
      <w:r>
        <w:t xml:space="preserve">2. Compensation</w:t>
      </w:r>
    </w:p>
    <w:p>
      <w:pPr>
        <w:spacing w:after="120"/>
      </w:pPr>
      <w:r>
        <w:rPr>
          <w:rFonts w:ascii="Calibri" w:cs="Calibri" w:eastAsia="Calibri" w:hAnsi="Calibri"/>
          <w:color w:val="2B2B2B"/>
          <w:sz w:val="22"/>
          <w:szCs w:val="22"/>
        </w:rPr>
        <w:t xml:space="preserve">2.1 Base Salary: NOK [amount] per annum, payable monthly in arrears on the last business day of each month, subject to statutory deductions.</w:t>
      </w:r>
    </w:p>
    <w:p>
      <w:pPr>
        <w:spacing w:after="120"/>
      </w:pPr>
      <w:r>
        <w:rPr>
          <w:rFonts w:ascii="Calibri" w:cs="Calibri" w:eastAsia="Calibri" w:hAnsi="Calibri"/>
          <w:color w:val="2B2B2B"/>
          <w:sz w:val="22"/>
          <w:szCs w:val="22"/>
        </w:rPr>
        <w:t xml:space="preserve">2.2 Salary Review: The Board shall review the Employee's salary annually, with the first review no later than [date]. Salary adjustments are at the Board's discretion.</w:t>
      </w:r>
    </w:p>
    <w:p>
      <w:pPr>
        <w:spacing w:after="120"/>
      </w:pPr>
      <w:r>
        <w:rPr>
          <w:rFonts w:ascii="Calibri" w:cs="Calibri" w:eastAsia="Calibri" w:hAnsi="Calibri"/>
          <w:color w:val="2B2B2B"/>
          <w:sz w:val="22"/>
          <w:szCs w:val="22"/>
        </w:rPr>
        <w:t xml:space="preserve">2.3 Pension: The Company shall provide occupational pension in accordance with applicable Norwegian law (OTP — Obligatorisk Tjenestepensjon). Currently minimum 2% of salary between 1G and 12G.</w:t>
      </w:r>
    </w:p>
    <w:p>
      <w:pPr>
        <w:spacing w:after="120"/>
      </w:pPr>
      <w:r>
        <w:rPr>
          <w:rFonts w:ascii="Calibri" w:cs="Calibri" w:eastAsia="Calibri" w:hAnsi="Calibri"/>
          <w:color w:val="2B2B2B"/>
          <w:sz w:val="22"/>
          <w:szCs w:val="22"/>
        </w:rPr>
        <w:t xml:space="preserve">2.4 Insurance: The Company shall provide: occupational injury insurance (yrkesskadeforsikring) as required by law, group life insurance and disability coverage as determined by the Board.</w:t>
      </w:r>
    </w:p>
    <w:p>
      <w:pPr>
        <w:spacing w:after="120"/>
      </w:pPr>
      <w:r>
        <w:rPr>
          <w:rFonts w:ascii="Calibri" w:cs="Calibri" w:eastAsia="Calibri" w:hAnsi="Calibri"/>
          <w:color w:val="2B2B2B"/>
          <w:sz w:val="22"/>
          <w:szCs w:val="22"/>
        </w:rPr>
        <w:t xml:space="preserve">2.5 Expense Reimbursement: Reasonable and documented business expenses shall be reimbursed in accordance with the Company's expense policy.</w:t>
      </w:r>
    </w:p>
    <w:p>
      <w:pPr>
        <w:spacing w:before="120" w:after="0"/>
      </w:pPr>
    </w:p>
    <w:p>
      <w:pPr>
        <w:pStyle w:val="Heading2"/>
      </w:pPr>
      <w:r>
        <w:t xml:space="preserve">3. Working Hours</w:t>
      </w:r>
    </w:p>
    <w:p>
      <w:pPr>
        <w:spacing w:after="120"/>
      </w:pPr>
      <w:r>
        <w:rPr>
          <w:rFonts w:ascii="Calibri" w:cs="Calibri" w:eastAsia="Calibri" w:hAnsi="Calibri"/>
          <w:color w:val="2B2B2B"/>
          <w:sz w:val="22"/>
          <w:szCs w:val="22"/>
        </w:rPr>
        <w:t xml:space="preserve">3.1 The Employee holds a senior/leading position (ledende stilling) within the meaning of the Norwegian Working Environment Act (arbeidsmiljøloven) §10-12, and is therefore exempt from the provisions on working hours in Chapter 10.</w:t>
      </w:r>
    </w:p>
    <w:p>
      <w:pPr>
        <w:spacing w:after="120"/>
      </w:pPr>
      <w:r>
        <w:rPr>
          <w:rFonts w:ascii="Calibri" w:cs="Calibri" w:eastAsia="Calibri" w:hAnsi="Calibri"/>
          <w:color w:val="2B2B2B"/>
          <w:sz w:val="22"/>
          <w:szCs w:val="22"/>
        </w:rPr>
        <w:t xml:space="preserve">3.2 The Employee is expected to work the hours necessary to fulfill the responsibilities of the position. No overtime compensation shall apply.</w:t>
      </w:r>
    </w:p>
    <w:p>
      <w:pPr>
        <w:spacing w:before="120" w:after="0"/>
      </w:pPr>
    </w:p>
    <w:p>
      <w:pPr>
        <w:pStyle w:val="Heading2"/>
      </w:pPr>
      <w:r>
        <w:t xml:space="preserve">4. Equity and Vesting</w:t>
      </w:r>
    </w:p>
    <w:p>
      <w:pPr>
        <w:spacing w:after="120"/>
      </w:pPr>
      <w:r>
        <w:rPr>
          <w:rFonts w:ascii="Calibri" w:cs="Calibri" w:eastAsia="Calibri" w:hAnsi="Calibri"/>
          <w:color w:val="2B2B2B"/>
          <w:sz w:val="22"/>
          <w:szCs w:val="22"/>
        </w:rPr>
        <w:t xml:space="preserve">4.1 The Employee's equity interest in the Company is held through [holding company name and org.nr.], as set out in the Shareholders Agreement (VDR 01.02).</w:t>
      </w:r>
    </w:p>
    <w:p>
      <w:pPr>
        <w:spacing w:after="120"/>
      </w:pPr>
      <w:r>
        <w:rPr>
          <w:rFonts w:ascii="Calibri" w:cs="Calibri" w:eastAsia="Calibri" w:hAnsi="Calibri"/>
          <w:color w:val="2B2B2B"/>
          <w:sz w:val="22"/>
          <w:szCs w:val="22"/>
        </w:rPr>
        <w:t xml:space="preserve">4.2 Vesting terms are governed by the Shareholders Agreement §2:</w:t>
      </w:r>
    </w:p>
    <w:p>
      <w:pPr>
        <w:pStyle w:val="ListParagraph"/>
        <w:numPr>
          <w:ilvl w:val="0"/>
          <w:numId w:val="2"/>
        </w:numPr>
        <w:spacing w:after="60"/>
      </w:pPr>
      <w:r>
        <w:rPr>
          <w:rFonts w:ascii="Calibri" w:cs="Calibri" w:eastAsia="Calibri" w:hAnsi="Calibri"/>
          <w:color w:val="2B2B2B"/>
          <w:sz w:val="22"/>
          <w:szCs w:val="22"/>
        </w:rPr>
        <w:t xml:space="preserve">Vesting period: 4 years from 9 February 2026</w:t>
      </w:r>
    </w:p>
    <w:p>
      <w:pPr>
        <w:pStyle w:val="ListParagraph"/>
        <w:numPr>
          <w:ilvl w:val="0"/>
          <w:numId w:val="2"/>
        </w:numPr>
        <w:spacing w:after="60"/>
      </w:pPr>
      <w:r>
        <w:rPr>
          <w:rFonts w:ascii="Calibri" w:cs="Calibri" w:eastAsia="Calibri" w:hAnsi="Calibri"/>
          <w:color w:val="2B2B2B"/>
          <w:sz w:val="22"/>
          <w:szCs w:val="22"/>
        </w:rPr>
        <w:t xml:space="preserve">Cliff: 12 months (25% vests at cliff)</w:t>
      </w:r>
    </w:p>
    <w:p>
      <w:pPr>
        <w:pStyle w:val="ListParagraph"/>
        <w:numPr>
          <w:ilvl w:val="0"/>
          <w:numId w:val="2"/>
        </w:numPr>
        <w:spacing w:after="60"/>
      </w:pPr>
      <w:r>
        <w:rPr>
          <w:rFonts w:ascii="Calibri" w:cs="Calibri" w:eastAsia="Calibri" w:hAnsi="Calibri"/>
          <w:color w:val="2B2B2B"/>
          <w:sz w:val="22"/>
          <w:szCs w:val="22"/>
        </w:rPr>
        <w:t xml:space="preserve">Subsequent vesting: Monthly over the remaining 36 months</w:t>
      </w:r>
    </w:p>
    <w:p>
      <w:pPr>
        <w:pStyle w:val="ListParagraph"/>
        <w:numPr>
          <w:ilvl w:val="0"/>
          <w:numId w:val="2"/>
        </w:numPr>
        <w:spacing w:after="60"/>
      </w:pPr>
      <w:r>
        <w:rPr>
          <w:rFonts w:ascii="Calibri" w:cs="Calibri" w:eastAsia="Calibri" w:hAnsi="Calibri"/>
          <w:color w:val="2B2B2B"/>
          <w:sz w:val="22"/>
          <w:szCs w:val="22"/>
        </w:rPr>
        <w:t xml:space="preserve">Acceleration: Double-trigger upon change of control, as defined in VDR 01.06</w:t>
      </w:r>
    </w:p>
    <w:p>
      <w:pPr>
        <w:spacing w:after="120"/>
      </w:pPr>
      <w:r>
        <w:rPr>
          <w:rFonts w:ascii="Calibri" w:cs="Calibri" w:eastAsia="Calibri" w:hAnsi="Calibri"/>
          <w:color w:val="2B2B2B"/>
          <w:sz w:val="22"/>
          <w:szCs w:val="22"/>
        </w:rPr>
        <w:t xml:space="preserve">4.3 Good leaver / bad leaver provisions are governed by the Shareholders Agreement §8.</w:t>
      </w:r>
    </w:p>
    <w:p>
      <w:pPr>
        <w:spacing w:before="120" w:after="0"/>
      </w:pPr>
    </w:p>
    <w:p>
      <w:pPr>
        <w:pStyle w:val="Heading2"/>
      </w:pPr>
      <w:r>
        <w:t xml:space="preserve">5. Intellectual Property</w:t>
      </w:r>
    </w:p>
    <w:p>
      <w:pPr>
        <w:spacing w:after="120"/>
      </w:pPr>
      <w:r>
        <w:rPr>
          <w:rFonts w:ascii="Calibri" w:cs="Calibri" w:eastAsia="Calibri" w:hAnsi="Calibri"/>
          <w:color w:val="2B2B2B"/>
          <w:sz w:val="22"/>
          <w:szCs w:val="22"/>
        </w:rPr>
        <w:t xml:space="preserve">5.1 All intellectual property created by the Employee in connection with the Company's business — including inventions, designs, software, trade secrets, know-how, and other proprietary rights — shall be the exclusive property of the Company.</w:t>
      </w:r>
    </w:p>
    <w:p>
      <w:pPr>
        <w:spacing w:after="120"/>
      </w:pPr>
      <w:r>
        <w:rPr>
          <w:rFonts w:ascii="Calibri" w:cs="Calibri" w:eastAsia="Calibri" w:hAnsi="Calibri"/>
          <w:color w:val="2B2B2B"/>
          <w:sz w:val="22"/>
          <w:szCs w:val="22"/>
        </w:rPr>
        <w:t xml:space="preserve">5.2 The Employee has executed an IP Assignment Declaration dated 11 February 2026, as referenced in the Shareholders Agreement §13 and VDR 05.01.</w:t>
      </w:r>
    </w:p>
    <w:p>
      <w:pPr>
        <w:spacing w:after="120"/>
      </w:pPr>
      <w:r>
        <w:rPr>
          <w:rFonts w:ascii="Calibri" w:cs="Calibri" w:eastAsia="Calibri" w:hAnsi="Calibri"/>
          <w:color w:val="2B2B2B"/>
          <w:sz w:val="22"/>
          <w:szCs w:val="22"/>
        </w:rPr>
        <w:t xml:space="preserve">5.3 The Employee shall promptly disclose all inventions and IP to the Company and execute such documents as necessary to perfect the Company's ownership.</w:t>
      </w:r>
    </w:p>
    <w:p>
      <w:pPr>
        <w:spacing w:before="120" w:after="0"/>
      </w:pPr>
    </w:p>
    <w:p>
      <w:pPr>
        <w:pStyle w:val="Heading2"/>
      </w:pPr>
      <w:r>
        <w:t xml:space="preserve">6. Confidentiality</w:t>
      </w:r>
    </w:p>
    <w:p>
      <w:pPr>
        <w:spacing w:after="120"/>
      </w:pPr>
      <w:r>
        <w:rPr>
          <w:rFonts w:ascii="Calibri" w:cs="Calibri" w:eastAsia="Calibri" w:hAnsi="Calibri"/>
          <w:color w:val="2B2B2B"/>
          <w:sz w:val="22"/>
          <w:szCs w:val="22"/>
        </w:rPr>
        <w:t xml:space="preserve">6.1 The Employee shall maintain strict confidentiality regarding all non-public information relating to the Company's business, technology, customers, suppliers, financial affairs, and strategic plans.</w:t>
      </w:r>
    </w:p>
    <w:p>
      <w:pPr>
        <w:spacing w:after="120"/>
      </w:pPr>
      <w:r>
        <w:rPr>
          <w:rFonts w:ascii="Calibri" w:cs="Calibri" w:eastAsia="Calibri" w:hAnsi="Calibri"/>
          <w:color w:val="2B2B2B"/>
          <w:sz w:val="22"/>
          <w:szCs w:val="22"/>
        </w:rPr>
        <w:t xml:space="preserve">6.2 This obligation survives termination of employment for a period of 5 years, consistent with the Shareholders Agreement §10.</w:t>
      </w:r>
    </w:p>
    <w:p>
      <w:pPr>
        <w:spacing w:after="120"/>
      </w:pPr>
      <w:r>
        <w:rPr>
          <w:rFonts w:ascii="Calibri" w:cs="Calibri" w:eastAsia="Calibri" w:hAnsi="Calibri"/>
          <w:color w:val="2B2B2B"/>
          <w:sz w:val="22"/>
          <w:szCs w:val="22"/>
        </w:rPr>
        <w:t xml:space="preserve">6.3 Breach of confidentiality entails liability for damages and a contractual penalty of NOK 200,000 per breach, as defined in the Shareholders Agreement §10.</w:t>
      </w:r>
    </w:p>
    <w:p>
      <w:pPr>
        <w:spacing w:before="120" w:after="0"/>
      </w:pPr>
    </w:p>
    <w:p>
      <w:pPr>
        <w:pStyle w:val="Heading2"/>
      </w:pPr>
      <w:r>
        <w:t xml:space="preserve">7. Non-Competition and Non-Solicitation</w:t>
      </w:r>
    </w:p>
    <w:p>
      <w:pPr>
        <w:spacing w:after="120"/>
      </w:pPr>
      <w:r>
        <w:rPr>
          <w:rFonts w:ascii="Calibri" w:cs="Calibri" w:eastAsia="Calibri" w:hAnsi="Calibri"/>
          <w:color w:val="2B2B2B"/>
          <w:sz w:val="22"/>
          <w:szCs w:val="22"/>
        </w:rPr>
        <w:t xml:space="preserve">7.1 Non-Competition: For a period of 2 years following termination of employment, the Employee shall not, directly or indirectly, engage in, own, manage, operate, or participate in any business that competes with the Company's business within Norway or within 100 km of any Company facility, consistent with the Shareholders Agreement §9.</w:t>
      </w:r>
    </w:p>
    <w:p>
      <w:pPr>
        <w:spacing w:after="120"/>
      </w:pPr>
      <w:r>
        <w:rPr>
          <w:rFonts w:ascii="Calibri" w:cs="Calibri" w:eastAsia="Calibri" w:hAnsi="Calibri"/>
          <w:color w:val="2B2B2B"/>
          <w:sz w:val="22"/>
          <w:szCs w:val="22"/>
        </w:rPr>
        <w:t xml:space="preserve">7.2 Non-Solicitation: For a period of 2 years following termination of employment, the Employee shall not solicit or recruit any employee, advisor, or consultant of the Company, or solicit business from any customer or prospective customer of the Company.</w:t>
      </w:r>
    </w:p>
    <w:p>
      <w:pPr>
        <w:spacing w:after="120"/>
      </w:pPr>
      <w:r>
        <w:rPr>
          <w:rFonts w:ascii="Calibri" w:cs="Calibri" w:eastAsia="Calibri" w:hAnsi="Calibri"/>
          <w:color w:val="2B2B2B"/>
          <w:sz w:val="22"/>
          <w:szCs w:val="22"/>
        </w:rPr>
        <w:t xml:space="preserve">7.3 Compensation: During any post-termination non-competition period, the Company shall pay compensation in accordance with the Norwegian Working Environment Act §14A.</w:t>
      </w:r>
    </w:p>
    <w:p>
      <w:pPr>
        <w:spacing w:after="120"/>
      </w:pPr>
      <w:r>
        <w:rPr>
          <w:rFonts w:ascii="Calibri" w:cs="Calibri" w:eastAsia="Calibri" w:hAnsi="Calibri"/>
          <w:color w:val="2B2B2B"/>
          <w:sz w:val="22"/>
          <w:szCs w:val="22"/>
        </w:rPr>
        <w:t xml:space="preserve">7.4 Contractual Penalty: Breach of non-competition obligations entails a contractual penalty of NOK 2,000,000 per breach, as defined in the Shareholders Agreement §9, in addition to any damages.</w:t>
      </w:r>
    </w:p>
    <w:p>
      <w:pPr>
        <w:spacing w:before="120" w:after="0"/>
      </w:pPr>
    </w:p>
    <w:p>
      <w:pPr>
        <w:pStyle w:val="Heading2"/>
      </w:pPr>
      <w:r>
        <w:t xml:space="preserve">8. Termination</w:t>
      </w:r>
    </w:p>
    <w:p>
      <w:pPr>
        <w:spacing w:after="120"/>
      </w:pPr>
      <w:r>
        <w:rPr>
          <w:rFonts w:ascii="Calibri" w:cs="Calibri" w:eastAsia="Calibri" w:hAnsi="Calibri"/>
          <w:color w:val="2B2B2B"/>
          <w:sz w:val="22"/>
          <w:szCs w:val="22"/>
        </w:rPr>
        <w:t xml:space="preserve">8.1 Notice Period: Either party may terminate this agreement by giving [3 / 6] months written notice. The notice period commences on the first day of the month following receipt of notice.</w:t>
      </w:r>
    </w:p>
    <w:p>
      <w:pPr>
        <w:spacing w:after="120"/>
      </w:pPr>
      <w:r>
        <w:rPr>
          <w:rFonts w:ascii="Calibri" w:cs="Calibri" w:eastAsia="Calibri" w:hAnsi="Calibri"/>
          <w:color w:val="2B2B2B"/>
          <w:sz w:val="22"/>
          <w:szCs w:val="22"/>
        </w:rPr>
        <w:t xml:space="preserve">8.2 Summary Dismissal: The Company may terminate the employment with immediate effect in accordance with the Norwegian Working Environment Act §15-14 (avskjed) in cases of gross breach of duty or other material default.</w:t>
      </w:r>
    </w:p>
    <w:p>
      <w:pPr>
        <w:spacing w:after="120"/>
      </w:pPr>
      <w:r>
        <w:rPr>
          <w:rFonts w:ascii="Calibri" w:cs="Calibri" w:eastAsia="Calibri" w:hAnsi="Calibri"/>
          <w:color w:val="2B2B2B"/>
          <w:sz w:val="22"/>
          <w:szCs w:val="22"/>
        </w:rPr>
        <w:t xml:space="preserve">8.3 Garden Leave: During the notice period, the Company may place the Employee on garden leave (fritak for arbeidsplikt). The Employee shall remain available for consultation and shall not commence employment with any third party during the notice period.</w:t>
      </w:r>
    </w:p>
    <w:p>
      <w:pPr>
        <w:spacing w:after="120"/>
      </w:pPr>
      <w:r>
        <w:rPr>
          <w:rFonts w:ascii="Calibri" w:cs="Calibri" w:eastAsia="Calibri" w:hAnsi="Calibri"/>
          <w:color w:val="2B2B2B"/>
          <w:sz w:val="22"/>
          <w:szCs w:val="22"/>
        </w:rPr>
        <w:t xml:space="preserve">8.4 Return of Property: Upon termination, the Employee shall immediately return all Company property, documents, data, and equipment. Access to Company systems shall be revoked upon the effective date of termination.</w:t>
      </w:r>
    </w:p>
    <w:p>
      <w:pPr>
        <w:spacing w:before="120" w:after="0"/>
      </w:pPr>
    </w:p>
    <w:p>
      <w:pPr>
        <w:pStyle w:val="Heading2"/>
      </w:pPr>
      <w:r>
        <w:t xml:space="preserve">9. Governing Law and Disputes</w:t>
      </w:r>
    </w:p>
    <w:p>
      <w:pPr>
        <w:spacing w:after="120"/>
      </w:pPr>
      <w:r>
        <w:rPr>
          <w:rFonts w:ascii="Calibri" w:cs="Calibri" w:eastAsia="Calibri" w:hAnsi="Calibri"/>
          <w:color w:val="2B2B2B"/>
          <w:sz w:val="22"/>
          <w:szCs w:val="22"/>
        </w:rPr>
        <w:t xml:space="preserve">9.1 This agreement is governed by Norwegian law.</w:t>
      </w:r>
    </w:p>
    <w:p>
      <w:pPr>
        <w:spacing w:after="120"/>
      </w:pPr>
      <w:r>
        <w:rPr>
          <w:rFonts w:ascii="Calibri" w:cs="Calibri" w:eastAsia="Calibri" w:hAnsi="Calibri"/>
          <w:color w:val="2B2B2B"/>
          <w:sz w:val="22"/>
          <w:szCs w:val="22"/>
        </w:rPr>
        <w:t xml:space="preserve">9.2 Any dispute arising from or in connection with this agreement shall be resolved by arbitration under the rules of the Oslo Chamber of Commerce, consistent with the Shareholders Agreement §14.</w:t>
      </w:r>
    </w:p>
    <w:p>
      <w:pPr>
        <w:spacing w:after="120"/>
      </w:pPr>
      <w:r>
        <w:rPr>
          <w:rFonts w:ascii="Calibri" w:cs="Calibri" w:eastAsia="Calibri" w:hAnsi="Calibri"/>
          <w:color w:val="2B2B2B"/>
          <w:sz w:val="22"/>
          <w:szCs w:val="22"/>
        </w:rPr>
        <w:t xml:space="preserve">9.3 The parties shall first attempt to resolve disputes through good-faith negotiation.</w:t>
      </w:r>
    </w:p>
    <w:p>
      <w:pPr>
        <w:spacing w:before="120" w:after="0"/>
      </w:pPr>
    </w:p>
    <w:p>
      <w:pPr>
        <w:pStyle w:val="Heading2"/>
      </w:pPr>
      <w:r>
        <w:t xml:space="preserve">10. Role-Specific Schedule</w:t>
      </w:r>
    </w:p>
    <w:p>
      <w:pPr>
        <w:pStyle w:val="Heading3"/>
      </w:pPr>
      <w:r>
        <w:t xml:space="preserve">Schedule A — CEO (André Tandberg)</w:t>
      </w:r>
    </w:p>
    <w:p>
      <w:pPr>
        <w:spacing w:after="120"/>
      </w:pPr>
      <w:r>
        <w:rPr>
          <w:rFonts w:ascii="Calibri" w:cs="Calibri" w:eastAsia="Calibri" w:hAnsi="Calibri"/>
          <w:b/>
          <w:bCs/>
          <w:color w:val="2B2B2B"/>
          <w:sz w:val="22"/>
          <w:szCs w:val="22"/>
        </w:rPr>
        <w:t xml:space="preserve">Primary Responsibilities:</w:t>
      </w:r>
    </w:p>
    <w:p>
      <w:pPr>
        <w:pStyle w:val="ListParagraph"/>
        <w:numPr>
          <w:ilvl w:val="0"/>
          <w:numId w:val="2"/>
        </w:numPr>
        <w:spacing w:after="60"/>
      </w:pPr>
      <w:r>
        <w:rPr>
          <w:rFonts w:ascii="Calibri" w:cs="Calibri" w:eastAsia="Calibri" w:hAnsi="Calibri"/>
          <w:color w:val="2B2B2B"/>
          <w:sz w:val="22"/>
          <w:szCs w:val="22"/>
        </w:rPr>
        <w:t xml:space="preserve">Overall strategic direction and operational leadership</w:t>
      </w:r>
    </w:p>
    <w:p>
      <w:pPr>
        <w:pStyle w:val="ListParagraph"/>
        <w:numPr>
          <w:ilvl w:val="0"/>
          <w:numId w:val="2"/>
        </w:numPr>
        <w:spacing w:after="60"/>
      </w:pPr>
      <w:r>
        <w:rPr>
          <w:rFonts w:ascii="Calibri" w:cs="Calibri" w:eastAsia="Calibri" w:hAnsi="Calibri"/>
          <w:color w:val="2B2B2B"/>
          <w:sz w:val="22"/>
          <w:szCs w:val="22"/>
        </w:rPr>
        <w:t xml:space="preserve">Capital allocation and fundraising coordination</w:t>
      </w:r>
    </w:p>
    <w:p>
      <w:pPr>
        <w:pStyle w:val="ListParagraph"/>
        <w:numPr>
          <w:ilvl w:val="0"/>
          <w:numId w:val="2"/>
        </w:numPr>
        <w:spacing w:after="60"/>
      </w:pPr>
      <w:r>
        <w:rPr>
          <w:rFonts w:ascii="Calibri" w:cs="Calibri" w:eastAsia="Calibri" w:hAnsi="Calibri"/>
          <w:color w:val="2B2B2B"/>
          <w:sz w:val="22"/>
          <w:szCs w:val="22"/>
        </w:rPr>
        <w:t xml:space="preserve">Investor relations and Board reporting</w:t>
      </w:r>
    </w:p>
    <w:p>
      <w:pPr>
        <w:pStyle w:val="ListParagraph"/>
        <w:numPr>
          <w:ilvl w:val="0"/>
          <w:numId w:val="2"/>
        </w:numPr>
        <w:spacing w:after="60"/>
      </w:pPr>
      <w:r>
        <w:rPr>
          <w:rFonts w:ascii="Calibri" w:cs="Calibri" w:eastAsia="Calibri" w:hAnsi="Calibri"/>
          <w:color w:val="2B2B2B"/>
          <w:sz w:val="22"/>
          <w:szCs w:val="22"/>
        </w:rPr>
        <w:t xml:space="preserve">Key commercial partnerships and customer relationships at C-level</w:t>
      </w:r>
    </w:p>
    <w:p>
      <w:pPr>
        <w:pStyle w:val="ListParagraph"/>
        <w:numPr>
          <w:ilvl w:val="0"/>
          <w:numId w:val="2"/>
        </w:numPr>
        <w:spacing w:after="60"/>
      </w:pPr>
      <w:r>
        <w:rPr>
          <w:rFonts w:ascii="Calibri" w:cs="Calibri" w:eastAsia="Calibri" w:hAnsi="Calibri"/>
          <w:color w:val="2B2B2B"/>
          <w:sz w:val="22"/>
          <w:szCs w:val="22"/>
        </w:rPr>
        <w:t xml:space="preserve">Facility development oversight and supplier negotiations</w:t>
      </w:r>
    </w:p>
    <w:p>
      <w:pPr>
        <w:spacing w:before="120" w:after="0"/>
      </w:pPr>
    </w:p>
    <w:p>
      <w:pPr>
        <w:pStyle w:val="Heading3"/>
      </w:pPr>
      <w:r>
        <w:t xml:space="preserve">Schedule B — VP Business Development (Tore Ausland)</w:t>
      </w:r>
    </w:p>
    <w:p>
      <w:pPr>
        <w:spacing w:after="120"/>
      </w:pPr>
      <w:r>
        <w:rPr>
          <w:rFonts w:ascii="Calibri" w:cs="Calibri" w:eastAsia="Calibri" w:hAnsi="Calibri"/>
          <w:b/>
          <w:bCs/>
          <w:color w:val="2B2B2B"/>
          <w:sz w:val="22"/>
          <w:szCs w:val="22"/>
        </w:rPr>
        <w:t xml:space="preserve">Primary Responsibilities:</w:t>
      </w:r>
    </w:p>
    <w:p>
      <w:pPr>
        <w:pStyle w:val="ListParagraph"/>
        <w:numPr>
          <w:ilvl w:val="0"/>
          <w:numId w:val="2"/>
        </w:numPr>
        <w:spacing w:after="60"/>
      </w:pPr>
      <w:r>
        <w:rPr>
          <w:rFonts w:ascii="Calibri" w:cs="Calibri" w:eastAsia="Calibri" w:hAnsi="Calibri"/>
          <w:color w:val="2B2B2B"/>
          <w:sz w:val="22"/>
          <w:szCs w:val="22"/>
        </w:rPr>
        <w:t xml:space="preserve">Enterprise partnerships and anchor customer acquisition</w:t>
      </w:r>
    </w:p>
    <w:p>
      <w:pPr>
        <w:pStyle w:val="ListParagraph"/>
        <w:numPr>
          <w:ilvl w:val="0"/>
          <w:numId w:val="2"/>
        </w:numPr>
        <w:spacing w:after="60"/>
      </w:pPr>
      <w:r>
        <w:rPr>
          <w:rFonts w:ascii="Calibri" w:cs="Calibri" w:eastAsia="Calibri" w:hAnsi="Calibri"/>
          <w:color w:val="2B2B2B"/>
          <w:sz w:val="22"/>
          <w:szCs w:val="22"/>
        </w:rPr>
        <w:t xml:space="preserve">Go-to-market strategy execution</w:t>
      </w:r>
    </w:p>
    <w:p>
      <w:pPr>
        <w:pStyle w:val="ListParagraph"/>
        <w:numPr>
          <w:ilvl w:val="0"/>
          <w:numId w:val="2"/>
        </w:numPr>
        <w:spacing w:after="60"/>
      </w:pPr>
      <w:r>
        <w:rPr>
          <w:rFonts w:ascii="Calibri" w:cs="Calibri" w:eastAsia="Calibri" w:hAnsi="Calibri"/>
          <w:color w:val="2B2B2B"/>
          <w:sz w:val="22"/>
          <w:szCs w:val="22"/>
        </w:rPr>
        <w:t xml:space="preserve">Supplier network development and management</w:t>
      </w:r>
    </w:p>
    <w:p>
      <w:pPr>
        <w:pStyle w:val="ListParagraph"/>
        <w:numPr>
          <w:ilvl w:val="0"/>
          <w:numId w:val="2"/>
        </w:numPr>
        <w:spacing w:after="60"/>
      </w:pPr>
      <w:r>
        <w:rPr>
          <w:rFonts w:ascii="Calibri" w:cs="Calibri" w:eastAsia="Calibri" w:hAnsi="Calibri"/>
          <w:color w:val="2B2B2B"/>
          <w:sz w:val="22"/>
          <w:szCs w:val="22"/>
        </w:rPr>
        <w:t xml:space="preserve">Customer pipeline development across Tier 1-3 segments (Defense, Energy, Maritime)</w:t>
      </w:r>
    </w:p>
    <w:p>
      <w:pPr>
        <w:pStyle w:val="ListParagraph"/>
        <w:numPr>
          <w:ilvl w:val="0"/>
          <w:numId w:val="2"/>
        </w:numPr>
        <w:spacing w:after="60"/>
      </w:pPr>
      <w:r>
        <w:rPr>
          <w:rFonts w:ascii="Calibri" w:cs="Calibri" w:eastAsia="Calibri" w:hAnsi="Calibri"/>
          <w:color w:val="2B2B2B"/>
          <w:sz w:val="22"/>
          <w:szCs w:val="22"/>
        </w:rPr>
        <w:t xml:space="preserve">Commercial proposals and contract negotiations</w:t>
      </w:r>
    </w:p>
    <w:p>
      <w:pPr>
        <w:spacing w:before="120" w:after="0"/>
      </w:pPr>
    </w:p>
    <w:p>
      <w:pPr>
        <w:pStyle w:val="Heading3"/>
      </w:pPr>
      <w:r>
        <w:t xml:space="preserve">Schedule C — Co-Founder / CFO Pathway (Henrik S. Strøm)</w:t>
      </w:r>
    </w:p>
    <w:p>
      <w:pPr>
        <w:spacing w:after="120"/>
      </w:pPr>
      <w:r>
        <w:rPr>
          <w:rFonts w:ascii="Calibri" w:cs="Calibri" w:eastAsia="Calibri" w:hAnsi="Calibri"/>
          <w:b/>
          <w:bCs/>
          <w:color w:val="2B2B2B"/>
          <w:sz w:val="22"/>
          <w:szCs w:val="22"/>
        </w:rPr>
        <w:t xml:space="preserve">Primary Responsibilities:</w:t>
      </w:r>
    </w:p>
    <w:p>
      <w:pPr>
        <w:pStyle w:val="ListParagraph"/>
        <w:numPr>
          <w:ilvl w:val="0"/>
          <w:numId w:val="2"/>
        </w:numPr>
        <w:spacing w:after="60"/>
      </w:pPr>
      <w:r>
        <w:rPr>
          <w:rFonts w:ascii="Calibri" w:cs="Calibri" w:eastAsia="Calibri" w:hAnsi="Calibri"/>
          <w:color w:val="2B2B2B"/>
          <w:sz w:val="22"/>
          <w:szCs w:val="22"/>
        </w:rPr>
        <w:t xml:space="preserve">Financial structure, modeling, and reporting</w:t>
      </w:r>
    </w:p>
    <w:p>
      <w:pPr>
        <w:pStyle w:val="ListParagraph"/>
        <w:numPr>
          <w:ilvl w:val="0"/>
          <w:numId w:val="2"/>
        </w:numPr>
        <w:spacing w:after="60"/>
      </w:pPr>
      <w:r>
        <w:rPr>
          <w:rFonts w:ascii="Calibri" w:cs="Calibri" w:eastAsia="Calibri" w:hAnsi="Calibri"/>
          <w:color w:val="2B2B2B"/>
          <w:sz w:val="22"/>
          <w:szCs w:val="22"/>
        </w:rPr>
        <w:t xml:space="preserve">Bank dialogue and debt financing coordination</w:t>
      </w:r>
    </w:p>
    <w:p>
      <w:pPr>
        <w:pStyle w:val="ListParagraph"/>
        <w:numPr>
          <w:ilvl w:val="0"/>
          <w:numId w:val="2"/>
        </w:numPr>
        <w:spacing w:after="60"/>
      </w:pPr>
      <w:r>
        <w:rPr>
          <w:rFonts w:ascii="Calibri" w:cs="Calibri" w:eastAsia="Calibri" w:hAnsi="Calibri"/>
          <w:color w:val="2B2B2B"/>
          <w:sz w:val="22"/>
          <w:szCs w:val="22"/>
        </w:rPr>
        <w:t xml:space="preserve">Financial due diligence support</w:t>
      </w:r>
    </w:p>
    <w:p>
      <w:pPr>
        <w:pStyle w:val="ListParagraph"/>
        <w:numPr>
          <w:ilvl w:val="0"/>
          <w:numId w:val="2"/>
        </w:numPr>
        <w:spacing w:after="60"/>
      </w:pPr>
      <w:r>
        <w:rPr>
          <w:rFonts w:ascii="Calibri" w:cs="Calibri" w:eastAsia="Calibri" w:hAnsi="Calibri"/>
          <w:color w:val="2B2B2B"/>
          <w:sz w:val="22"/>
          <w:szCs w:val="22"/>
        </w:rPr>
        <w:t xml:space="preserve">Board financial reporting</w:t>
      </w:r>
    </w:p>
    <w:p>
      <w:pPr>
        <w:pStyle w:val="ListParagraph"/>
        <w:numPr>
          <w:ilvl w:val="0"/>
          <w:numId w:val="2"/>
        </w:numPr>
        <w:spacing w:after="60"/>
      </w:pPr>
      <w:r>
        <w:rPr>
          <w:rFonts w:ascii="Calibri" w:cs="Calibri" w:eastAsia="Calibri" w:hAnsi="Calibri"/>
          <w:color w:val="2B2B2B"/>
          <w:sz w:val="22"/>
          <w:szCs w:val="22"/>
        </w:rPr>
        <w:t xml:space="preserve">Transition to full-time CFO role post-Seed (as defined in Shareholders Agreement §3)</w:t>
      </w:r>
    </w:p>
    <w:p>
      <w:pPr>
        <w:spacing w:before="240" w:after="0"/>
      </w:pPr>
    </w:p>
    <w:p>
      <w:pPr>
        <w:pStyle w:val="Heading2"/>
      </w:pPr>
      <w:r>
        <w:t xml:space="preserve">11. Signatures</w:t>
      </w:r>
    </w:p>
    <w:p>
      <w:pPr>
        <w:spacing w:after="120"/>
      </w:pPr>
      <w:r>
        <w:rPr>
          <w:rFonts w:ascii="Calibri" w:cs="Calibri" w:eastAsia="Calibri" w:hAnsi="Calibri"/>
          <w:color w:val="2B2B2B"/>
          <w:sz w:val="22"/>
          <w:szCs w:val="22"/>
        </w:rPr>
        <w:t xml:space="preserve">This agreement is executed in two counterparts, each party retaining one original.</w:t>
      </w:r>
    </w:p>
    <w:p>
      <w:pPr>
        <w:spacing w:before="120" w:after="0"/>
      </w:pPr>
    </w:p>
    <w:p>
      <w:pPr>
        <w:spacing w:after="120"/>
      </w:pPr>
      <w:r>
        <w:rPr>
          <w:rFonts w:ascii="Calibri" w:cs="Calibri" w:eastAsia="Calibri" w:hAnsi="Calibri"/>
          <w:b/>
          <w:bCs/>
          <w:color w:val="2B2B2B"/>
          <w:sz w:val="22"/>
          <w:szCs w:val="22"/>
        </w:rPr>
        <w:t xml:space="preserve">For the Company:</w:t>
      </w:r>
    </w:p>
    <w:p>
      <w:pPr>
        <w:spacing w:after="120"/>
      </w:pPr>
      <w:r>
        <w:rPr>
          <w:rFonts w:ascii="Calibri" w:cs="Calibri" w:eastAsia="Calibri" w:hAnsi="Calibri"/>
          <w:sz w:val="22"/>
          <w:szCs w:val="22"/>
        </w:rPr>
        <w:t xml:space="preserve">________________________________</w:t>
      </w:r>
    </w:p>
    <w:p>
      <w:pPr>
        <w:spacing w:after="120"/>
      </w:pPr>
      <w:r>
        <w:rPr>
          <w:rFonts w:ascii="Calibri" w:cs="Calibri" w:eastAsia="Calibri" w:hAnsi="Calibri"/>
          <w:color w:val="2B2B2B"/>
          <w:sz w:val="22"/>
          <w:szCs w:val="22"/>
        </w:rPr>
        <w:t xml:space="preserve">Name: [Board representative]</w:t>
      </w:r>
    </w:p>
    <w:p>
      <w:pPr>
        <w:spacing w:after="120"/>
      </w:pPr>
      <w:r>
        <w:rPr>
          <w:rFonts w:ascii="Calibri" w:cs="Calibri" w:eastAsia="Calibri" w:hAnsi="Calibri"/>
          <w:color w:val="2B2B2B"/>
          <w:sz w:val="22"/>
          <w:szCs w:val="22"/>
        </w:rPr>
        <w:t xml:space="preserve">Title: Chairman of the Board</w:t>
      </w:r>
    </w:p>
    <w:p>
      <w:pPr>
        <w:spacing w:after="120"/>
      </w:pPr>
      <w:r>
        <w:rPr>
          <w:rFonts w:ascii="Calibri" w:cs="Calibri" w:eastAsia="Calibri" w:hAnsi="Calibri"/>
          <w:color w:val="2B2B2B"/>
          <w:sz w:val="22"/>
          <w:szCs w:val="22"/>
        </w:rPr>
        <w:t xml:space="preserve">Date: _______________</w:t>
      </w:r>
    </w:p>
    <w:p>
      <w:pPr>
        <w:spacing w:before="240" w:after="0"/>
      </w:pPr>
    </w:p>
    <w:p>
      <w:pPr>
        <w:spacing w:after="120"/>
      </w:pPr>
      <w:r>
        <w:rPr>
          <w:rFonts w:ascii="Calibri" w:cs="Calibri" w:eastAsia="Calibri" w:hAnsi="Calibri"/>
          <w:b/>
          <w:bCs/>
          <w:color w:val="2B2B2B"/>
          <w:sz w:val="22"/>
          <w:szCs w:val="22"/>
        </w:rPr>
        <w:t xml:space="preserve">Employee:</w:t>
      </w:r>
    </w:p>
    <w:p>
      <w:pPr>
        <w:spacing w:after="120"/>
      </w:pPr>
      <w:r>
        <w:rPr>
          <w:rFonts w:ascii="Calibri" w:cs="Calibri" w:eastAsia="Calibri" w:hAnsi="Calibri"/>
          <w:sz w:val="22"/>
          <w:szCs w:val="22"/>
        </w:rPr>
        <w:t xml:space="preserve">________________________________</w:t>
      </w:r>
    </w:p>
    <w:p>
      <w:pPr>
        <w:spacing w:after="120"/>
      </w:pPr>
      <w:r>
        <w:rPr>
          <w:rFonts w:ascii="Calibri" w:cs="Calibri" w:eastAsia="Calibri" w:hAnsi="Calibri"/>
          <w:color w:val="2B2B2B"/>
          <w:sz w:val="22"/>
          <w:szCs w:val="22"/>
        </w:rPr>
        <w:t xml:space="preserve">Name: [Employee name]</w:t>
      </w:r>
    </w:p>
    <w:p>
      <w:pPr>
        <w:spacing w:after="120"/>
      </w:pPr>
      <w:r>
        <w:rPr>
          <w:rFonts w:ascii="Calibri" w:cs="Calibri" w:eastAsia="Calibri" w:hAnsi="Calibri"/>
          <w:color w:val="2B2B2B"/>
          <w:sz w:val="22"/>
          <w:szCs w:val="22"/>
        </w:rPr>
        <w:t xml:space="preserve">Date: _______________</w:t>
      </w:r>
    </w:p>
    <w:p>
      <w:pPr>
        <w:spacing w:before="240" w:after="0"/>
      </w:pPr>
    </w:p>
    <w:p>
      <w:pPr>
        <w:pStyle w:val="Heading2"/>
      </w:pPr>
      <w:r>
        <w:t xml:space="preserve">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D3D3D3" w:sz="4"/>
              <w:left w:val="none" w:color="FFFFFF" w:sz="0"/>
              <w:bottom w:val="single" w:color="D3D3D3" w:sz="4"/>
              <w:right w:val="none" w:color="FFFFFF" w:sz="0"/>
            </w:tcBorders>
            <w:shd w:fill="2B2B2B"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VDR ref</w:t>
            </w:r>
          </w:p>
        </w:tc>
        <w:tc>
          <w:tcPr>
            <w:tcW w:type="dxa" w:w="7526"/>
            <w:tcBorders>
              <w:top w:val="single" w:color="D3D3D3" w:sz="4"/>
              <w:left w:val="none" w:color="FFFFFF" w:sz="0"/>
              <w:bottom w:val="single" w:color="D3D3D3" w:sz="4"/>
              <w:right w:val="none" w:color="FFFFFF" w:sz="0"/>
            </w:tcBorders>
            <w:shd w:fill="2B2B2B"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Document</w:t>
            </w:r>
          </w:p>
        </w:tc>
      </w:tr>
      <w:tr>
        <w:tc>
          <w:tcPr>
            <w:tcW w:type="dxa" w:w="1500"/>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01.02</w:t>
            </w:r>
          </w:p>
        </w:tc>
        <w:tc>
          <w:tcPr>
            <w:tcW w:type="dxa" w:w="7526"/>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color w:val="2B2B2B"/>
                <w:sz w:val="22"/>
                <w:szCs w:val="22"/>
              </w:rPr>
              <w:t xml:space="preserve">Shareholders Agreement</w:t>
            </w:r>
          </w:p>
        </w:tc>
      </w:tr>
      <w:tr>
        <w:tc>
          <w:tcPr>
            <w:tcW w:type="dxa" w:w="1500"/>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01.05</w:t>
            </w:r>
          </w:p>
        </w:tc>
        <w:tc>
          <w:tcPr>
            <w:tcW w:type="dxa" w:w="7526"/>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left"/>
            </w:pPr>
            <w:r>
              <w:rPr>
                <w:rFonts w:ascii="Calibri" w:cs="Calibri" w:eastAsia="Calibri" w:hAnsi="Calibri"/>
                <w:b w:val="false"/>
                <w:bCs w:val="false"/>
                <w:color w:val="2B2B2B"/>
                <w:sz w:val="22"/>
                <w:szCs w:val="22"/>
              </w:rPr>
              <w:t xml:space="preserve">Organizational Structure — Current Org Chart</w:t>
            </w:r>
          </w:p>
        </w:tc>
      </w:tr>
      <w:tr>
        <w:tc>
          <w:tcPr>
            <w:tcW w:type="dxa" w:w="1500"/>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01.06</w:t>
            </w:r>
          </w:p>
        </w:tc>
        <w:tc>
          <w:tcPr>
            <w:tcW w:type="dxa" w:w="7526"/>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color w:val="2B2B2B"/>
                <w:sz w:val="22"/>
                <w:szCs w:val="22"/>
              </w:rPr>
              <w:t xml:space="preserve">Acceleration Terms — Double Trigger</w:t>
            </w:r>
          </w:p>
        </w:tc>
      </w:tr>
      <w:tr>
        <w:tc>
          <w:tcPr>
            <w:tcW w:type="dxa" w:w="1500"/>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05.01</w:t>
            </w:r>
          </w:p>
        </w:tc>
        <w:tc>
          <w:tcPr>
            <w:tcW w:type="dxa" w:w="7526"/>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left"/>
            </w:pPr>
            <w:r>
              <w:rPr>
                <w:rFonts w:ascii="Calibri" w:cs="Calibri" w:eastAsia="Calibri" w:hAnsi="Calibri"/>
                <w:b w:val="false"/>
                <w:bCs w:val="false"/>
                <w:color w:val="2B2B2B"/>
                <w:sz w:val="22"/>
                <w:szCs w:val="22"/>
              </w:rPr>
              <w:t xml:space="preserve">IP Assignment Agreements — Founders</w:t>
            </w:r>
          </w:p>
        </w:tc>
      </w:tr>
      <w:tr>
        <w:tc>
          <w:tcPr>
            <w:tcW w:type="dxa" w:w="1500"/>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06.04</w:t>
            </w:r>
          </w:p>
        </w:tc>
        <w:tc>
          <w:tcPr>
            <w:tcW w:type="dxa" w:w="7526"/>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color w:val="2B2B2B"/>
                <w:sz w:val="22"/>
                <w:szCs w:val="22"/>
              </w:rPr>
              <w:t xml:space="preserve">Key Hires Plan</w:t>
            </w:r>
          </w:p>
        </w:tc>
      </w:tr>
    </w:tbl>
    <w:p>
      <w:pPr>
        <w:spacing w:before="120" w:after="0"/>
      </w:pPr>
    </w:p>
    <w:p>
      <w:pPr>
        <w:spacing w:after="80"/>
      </w:pPr>
      <w:r>
        <w:rPr>
          <w:rFonts w:ascii="Calibri" w:cs="Calibri" w:eastAsia="Calibri" w:hAnsi="Calibri"/>
          <w:i/>
          <w:iCs/>
          <w:color w:val="6B6B6B"/>
          <w:sz w:val="18"/>
          <w:szCs w:val="18"/>
        </w:rPr>
        <w:t xml:space="preserve">DRAFT — This document is a template for legal review. It does not constitute legal advice. All terms must be reviewed and approved by qualified legal counsel before execution.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spacing w:before="0"/>
    </w:pPr>
    <w:r>
      <w:rPr>
        <w:rFonts w:ascii="Calibri" w:cs="Calibri" w:eastAsia="Calibri" w:hAnsi="Calibri"/>
        <w:color w:val="6B6B6B"/>
        <w:sz w:val="18"/>
        <w:szCs w:val="18"/>
      </w:rPr>
      <w:t xml:space="preserve">CONFIDENTIAL</w:t>
    </w:r>
    <w:r>
      <w:rPr>
        <w:rFonts w:ascii="Calibri" w:cs="Calibri" w:eastAsia="Calibri" w:hAnsi="Calibri"/>
        <w:sz w:val="18"/>
        <w:szCs w:val="18"/>
      </w:rPr>
      <w:t xml:space="preserve">	</w:t>
    </w:r>
    <w:r>
      <w:rPr>
        <w:rFonts w:ascii="Calibri" w:cs="Calibri" w:eastAsia="Calibri" w:hAnsi="Calibri"/>
        <w:color w:val="6B6B6B"/>
        <w:sz w:val="18"/>
        <w:szCs w:val="18"/>
      </w:rPr>
      <w:t xml:space="preserve">Page </w:t>
    </w:r>
    <w:r>
      <w:rPr>
        <w:rFonts w:ascii="Calibri" w:cs="Calibri" w:eastAsia="Calibri" w:hAnsi="Calibri"/>
        <w:color w:val="6B6B6B"/>
        <w:sz w:val="18"/>
        <w:szCs w:val="18"/>
      </w:rPr>
      <w:fldChar w:fldCharType="begin"/>
      <w:instrText xml:space="preserve">PAGE</w:instrText>
      <w:fldChar w:fldCharType="separate"/>
      <w:fldChar w:fldCharType="end"/>
    </w:r>
    <w:r>
      <w:rPr>
        <w:rFonts w:ascii="Calibri" w:cs="Calibri" w:eastAsia="Calibri" w:hAnsi="Calibri"/>
        <w:color w:val="6B6B6B"/>
        <w:sz w:val="18"/>
        <w:szCs w:val="18"/>
      </w:rPr>
      <w:t xml:space="preserve">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0537" w:sz="4" w:space="4"/>
      </w:pBdr>
      <w:spacing w:after="0"/>
      <w:jc w:val="right"/>
    </w:pPr>
    <w:r>
      <w:rPr>
        <w:rFonts w:ascii="Calibri" w:cs="Calibri" w:eastAsia="Calibri" w:hAnsi="Calibri"/>
        <w:color w:val="6B6B6B"/>
        <w:sz w:val="18"/>
        <w:szCs w:val="18"/>
      </w:rPr>
      <w:t xml:space="preserve">Aurelian Manufacturing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Calibri" w:cs="Calibri" w:eastAsia="Calibri" w:hAnsi="Calibri"/>
      <w:b/>
      <w:bCs/>
      <w:color w:val="2B2B2B"/>
      <w:sz w:val="44"/>
      <w:szCs w:val="44"/>
    </w:rPr>
  </w:style>
  <w:style w:type="paragraph" w:styleId="Heading2">
    <w:name w:val="Heading 2"/>
    <w:basedOn w:val="Normal"/>
    <w:next w:val="Normal"/>
    <w:qFormat/>
    <w:pPr>
      <w:spacing w:before="360" w:after="120"/>
      <w:outlineLvl w:val="1"/>
    </w:pPr>
    <w:rPr>
      <w:rFonts w:ascii="Calibri" w:cs="Calibri" w:eastAsia="Calibri" w:hAnsi="Calibri"/>
      <w:b/>
      <w:bCs/>
      <w:color w:val="F50537"/>
      <w:sz w:val="32"/>
      <w:szCs w:val="32"/>
    </w:rPr>
  </w:style>
  <w:style w:type="paragraph" w:styleId="Heading3">
    <w:name w:val="Heading 3"/>
    <w:basedOn w:val="Normal"/>
    <w:next w:val="Normal"/>
    <w:qFormat/>
    <w:pPr>
      <w:spacing w:before="240" w:after="80"/>
      <w:outlineLvl w:val="2"/>
    </w:pPr>
    <w:rPr>
      <w:rFonts w:ascii="Calibri" w:cs="Calibri" w:eastAsia="Calibri" w:hAnsi="Calibri"/>
      <w:b/>
      <w:bCs/>
      <w:color w:val="2B2B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2026-02-16T22:28:16.357Z</dcterms:created>
  <dcterms:modified xsi:type="dcterms:W3CDTF">2026-02-16T22:28:16.357Z</dcterms:modified>
</cp:coreProperties>
</file>

<file path=docProps/custom.xml><?xml version="1.0" encoding="utf-8"?>
<Properties xmlns="http://schemas.openxmlformats.org/officeDocument/2006/custom-properties" xmlns:vt="http://schemas.openxmlformats.org/officeDocument/2006/docPropsVTypes"/>
</file>