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pBdr>
          <w:top w:val="single" w:sz="24" w:space="1" w:color="F50537"/>
        </w:pBdr>
      </w:pPr>
    </w:p>
    <w:p>
      <w:pPr>
        <w:spacing w:after="480"/>
        <w:jc w:val="left"/>
      </w:pPr>
      <w:r>
        <w:rPr>
          <w:rFonts w:ascii="Calibri" w:hAnsi="Calibri"/>
          <w:color w:val="6B6B6B"/>
          <w:sz w:val="28"/>
        </w:rPr>
        <w:t>Aurelian Manufacturing</w:t>
      </w:r>
    </w:p>
    <w:p>
      <w:pPr>
        <w:spacing w:after="160"/>
        <w:jc w:val="left"/>
      </w:pPr>
      <w:r>
        <w:rPr>
          <w:rFonts w:ascii="Calibri" w:hAnsi="Calibri"/>
          <w:b/>
          <w:color w:val="2B2B2B"/>
          <w:sz w:val="56"/>
        </w:rPr>
        <w:t>Founder Contribution &amp; PreSeed Valuation Basis</w:t>
      </w:r>
    </w:p>
    <w:p>
      <w:pPr>
        <w:spacing w:after="480"/>
        <w:jc w:val="left"/>
      </w:pPr>
      <w:r>
        <w:rPr>
          <w:rFonts w:ascii="Calibri" w:hAnsi="Calibri"/>
          <w:color w:val="6B6B6B"/>
          <w:sz w:val="28"/>
        </w:rPr>
        <w:t>Documentation of Founder Deliverables and Valuation Rationale</w:t>
      </w:r>
    </w:p>
    <w:p>
      <w:pPr>
        <w:spacing w:after="80"/>
      </w:pPr>
      <w:r>
        <w:rPr>
          <w:rFonts w:ascii="Calibri" w:hAnsi="Calibri"/>
          <w:color w:val="6B6B6B"/>
          <w:sz w:val="22"/>
        </w:rPr>
        <w:t>VDR 02.03</w:t>
      </w:r>
    </w:p>
    <w:p>
      <w:pPr>
        <w:spacing w:after="720"/>
      </w:pPr>
      <w:r>
        <w:rPr>
          <w:rFonts w:ascii="Calibri" w:hAnsi="Calibri"/>
          <w:color w:val="6B6B6B"/>
          <w:sz w:val="22"/>
        </w:rPr>
        <w:t>February 2026</w:t>
      </w:r>
    </w:p>
    <w:p>
      <w:pPr>
        <w:spacing w:after="0"/>
      </w:pPr>
      <w:r>
        <w:rPr>
          <w:rFonts w:ascii="Calibri" w:hAnsi="Calibri"/>
          <w:b/>
          <w:color w:val="6B6B6B"/>
          <w:sz w:val="22"/>
        </w:rPr>
        <w:t>CONFIDENTIAL</w:t>
      </w:r>
    </w:p>
    <w:p>
      <w:r>
        <w:br w:type="page"/>
      </w:r>
    </w:p>
    <w:p>
      <w:r>
        <w:rPr>
          <w:rFonts w:ascii="Calibri" w:hAnsi="Calibri"/>
          <w:b w:val="0"/>
          <w:i w:val="0"/>
          <w:color w:val="2B2B2B"/>
          <w:sz w:val="22"/>
        </w:rPr>
        <w:t>Founder Contribution &amp;</w:t>
      </w:r>
    </w:p>
    <w:p>
      <w:r>
        <w:rPr>
          <w:rFonts w:ascii="Calibri" w:hAnsi="Calibri"/>
          <w:b w:val="0"/>
          <w:i w:val="0"/>
          <w:color w:val="2B2B2B"/>
          <w:sz w:val="22"/>
        </w:rPr>
        <w:t>Pre-Seed Valuation Basis</w:t>
      </w:r>
    </w:p>
    <w:p>
      <w:r>
        <w:rPr>
          <w:rFonts w:ascii="Calibri" w:hAnsi="Calibri"/>
          <w:b w:val="0"/>
          <w:i w:val="0"/>
          <w:color w:val="2B2B2B"/>
          <w:sz w:val="22"/>
        </w:rPr>
        <w:t>October 2025 — February 2026</w:t>
      </w:r>
    </w:p>
    <w:p>
      <w:pPr>
        <w:pStyle w:val="Heading1"/>
      </w:pPr>
      <w:r>
        <w:rPr>
          <w:rFonts w:ascii="Calibri" w:hAnsi="Calibri"/>
        </w:rPr>
        <w:t>What Has Been Delivered</w:t>
      </w:r>
    </w:p>
    <w:p>
      <w:r>
        <w:rPr>
          <w:rFonts w:ascii="Calibri" w:hAnsi="Calibri"/>
          <w:b w:val="0"/>
          <w:i w:val="0"/>
          <w:color w:val="2B2B2B"/>
          <w:sz w:val="22"/>
        </w:rPr>
        <w:t>Between October 2025 and February 2026, the founding team has produced a body of work that would typically require 6–12 months and significant external spend at a funded startup. The following is a complete inventory of deliverables:</w:t>
      </w:r>
    </w:p>
    <w:p>
      <w:pPr>
        <w:pStyle w:val="Heading2"/>
      </w:pPr>
      <w:r>
        <w:rPr>
          <w:rFonts w:ascii="Calibri" w:hAnsi="Calibri"/>
        </w:rPr>
        <w:t>1. Complete Due Diligence Package</w:t>
      </w:r>
    </w:p>
    <w:p>
      <w:r>
        <w:rPr>
          <w:rFonts w:ascii="Calibri" w:hAnsi="Calibri"/>
          <w:b w:val="0"/>
          <w:i w:val="0"/>
          <w:color w:val="2B2B2B"/>
          <w:sz w:val="22"/>
        </w:rPr>
        <w:t>A full investor-grade DD package has been prepared covering financial, technical, market, and legal dimensions. This includes a structured Virtual Data Room with 50+ documents organized across 7 categories, ready for investor review.</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Financial Due Diligence documentation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Technical Due Diligence documentation</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150–300K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Market Due Diligence documentation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Legal &amp; Corporate Due Diligence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100–200K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Virtual Data Room (50+ documents, 7 categories)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Structured and populated</w:t>
            </w:r>
          </w:p>
        </w:tc>
        <w:tc>
          <w:tcPr>
            <w:tcW w:type="dxa" w:w="3024"/>
            <w:shd w:val="clear" w:fill="FFFFFF"/>
            <w:tcMar>
              <w:top w:w="40" w:type="dxa"/>
              <w:bottom w:w="40" w:type="dxa"/>
              <w:left w:w="80" w:type="dxa"/>
              <w:right w:w="80" w:type="dxa"/>
            </w:tcMar>
          </w:tcPr>
          <w:p>
            <w:pPr>
              <w:jc w:val="left"/>
            </w:pPr>
            <w:r>
              <w:rPr>
                <w:rFonts w:ascii="Calibri" w:hAnsi="Calibri"/>
                <w:color w:val="2B2B2B"/>
                <w:sz w:val="22"/>
              </w:rPr>
              <w:t>50–100K NOK</w:t>
            </w:r>
          </w:p>
        </w:tc>
      </w:tr>
    </w:tbl>
    <w:p>
      <w:pPr>
        <w:pStyle w:val="Heading2"/>
      </w:pPr>
      <w:r>
        <w:rPr>
          <w:rFonts w:ascii="Calibri" w:hAnsi="Calibri"/>
        </w:rPr>
        <w:t>2. Financial Model &amp; Economic Foundation</w:t>
      </w:r>
    </w:p>
    <w:p>
      <w:r>
        <w:rPr>
          <w:rFonts w:ascii="Calibri" w:hAnsi="Calibri"/>
          <w:b w:val="0"/>
          <w:i w:val="0"/>
          <w:color w:val="2B2B2B"/>
          <w:sz w:val="22"/>
        </w:rPr>
        <w:t>A comprehensive financial model has been built from first principles, covering 2027–2035. The model includes full cost structure, revenue projections, sensitivity analysis, break-even calculations, scenario analysis, and cap table modeling across three funding rounds. It is built to bank underwriting standards.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02 Economic Tables &amp; Projections (VDR 02.04, 8 sections)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 and validated</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Sensitivity analysis (utilization, rate, cost)</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Scenario analysis (bear to multi-site)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Cap table modeling (PreSeed through Serie A)</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Valuation methodology and defense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100–200K NOK</w:t>
            </w:r>
          </w:p>
        </w:tc>
      </w:tr>
    </w:tbl>
    <w:p>
      <w:pPr>
        <w:pStyle w:val="Heading2"/>
      </w:pPr>
      <w:r>
        <w:rPr>
          <w:rFonts w:ascii="Calibri" w:hAnsi="Calibri"/>
        </w:rPr>
        <w:t>3. Market Analysis &amp; Competitive Positioning</w:t>
      </w:r>
    </w:p>
    <w:p>
      <w:r>
        <w:rPr>
          <w:rFonts w:ascii="Calibri" w:hAnsi="Calibri"/>
          <w:b w:val="0"/>
          <w:i w:val="0"/>
          <w:color w:val="2B2B2B"/>
          <w:sz w:val="22"/>
        </w:rPr>
        <w:t>A thorough market analysis has been conducted covering the Norwegian defense sector, oil &amp; gas, energy transition, and general industrial manufacturing. The analysis includes TAM/SAM/SOM sizing, competitive landscape mapping, and go-to-market strategy development.</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Market analysis report (defense, energy, industrial)</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Competitive landscape and positioning</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Go-to-market strategy</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100–200K NOK</w:t>
            </w:r>
          </w:p>
        </w:tc>
      </w:tr>
    </w:tbl>
    <w:p>
      <w:pPr>
        <w:pStyle w:val="Heading2"/>
      </w:pPr>
      <w:r>
        <w:rPr>
          <w:rFonts w:ascii="Calibri" w:hAnsi="Calibri"/>
        </w:rPr>
        <w:t>4. Supplier &amp; Technical Due Diligence</w:t>
      </w:r>
    </w:p>
    <w:p>
      <w:r>
        <w:rPr>
          <w:rFonts w:ascii="Calibri" w:hAnsi="Calibri"/>
          <w:b w:val="0"/>
          <w:i w:val="0"/>
          <w:color w:val="2B2B2B"/>
          <w:sz w:val="22"/>
        </w:rPr>
        <w:t>Detailed supplier engagement has been conducted with equipment manufacturers, resulting in specific machine configurations, pricing, and delivery timelines. The technical foundation for the autonomous production model is validated with real supplier data.</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CNC supplier evaluation (MAZAK, DMG Mori)</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 with quotes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100–200K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Shop base equipment specification and quotes</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 (8.6 MNOK itemized)</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Automation system specification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50–100K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Measurement room specification (Wenzel, Jenoptik)</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 with quotes</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Facility layout and requirements (2,400–2,600 m²)</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50–100K NOK</w:t>
            </w:r>
          </w:p>
        </w:tc>
      </w:tr>
    </w:tbl>
    <w:p>
      <w:pPr>
        <w:pStyle w:val="Heading2"/>
      </w:pPr>
      <w:r>
        <w:rPr>
          <w:rFonts w:ascii="Calibri" w:hAnsi="Calibri"/>
        </w:rPr>
        <w:t>5. Customer Pipeline &amp; Strategic Partnerships</w:t>
      </w:r>
    </w:p>
    <w:p>
      <w:r>
        <w:rPr>
          <w:rFonts w:ascii="Calibri" w:hAnsi="Calibri"/>
          <w:b w:val="0"/>
          <w:i w:val="0"/>
          <w:color w:val="2B2B2B"/>
          <w:sz w:val="22"/>
        </w:rPr>
        <w:t>Active engagement with potential customers and strategic partners has produced tangible commercial progress that de-risks the revenue assumptions.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Physical Robotics LOI (signed, DocuSign)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Executed</w:t>
            </w:r>
          </w:p>
        </w:tc>
        <w:tc>
          <w:tcPr>
            <w:tcW w:type="dxa" w:w="3024"/>
            <w:shd w:val="clear" w:fill="FFFFFF"/>
            <w:tcMar>
              <w:top w:w="40" w:type="dxa"/>
              <w:bottom w:w="40" w:type="dxa"/>
              <w:left w:w="80" w:type="dxa"/>
              <w:right w:w="80" w:type="dxa"/>
            </w:tcMar>
          </w:tcPr>
          <w:p>
            <w:pPr>
              <w:jc w:val="left"/>
            </w:pPr>
            <w:r>
              <w:rPr>
                <w:rFonts w:ascii="Calibri" w:hAnsi="Calibri"/>
                <w:color w:val="2B2B2B"/>
                <w:sz w:val="22"/>
              </w:rPr>
              <w:t>Strategic — hard to price</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Defense sector customer pipeline development</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 progress</w:t>
            </w:r>
          </w:p>
        </w:tc>
        <w:tc>
          <w:tcPr>
            <w:tcW w:type="dxa" w:w="3024"/>
            <w:shd w:val="clear" w:fill="F5F5F5"/>
            <w:tcMar>
              <w:top w:w="40" w:type="dxa"/>
              <w:bottom w:w="40" w:type="dxa"/>
              <w:left w:w="80" w:type="dxa"/>
              <w:right w:w="80" w:type="dxa"/>
            </w:tcMar>
          </w:tcPr>
          <w:p>
            <w:pPr>
              <w:jc w:val="left"/>
            </w:pPr>
            <w:r>
              <w:rPr>
                <w:rFonts w:ascii="Calibri" w:hAnsi="Calibri"/>
                <w:color w:val="2B2B2B"/>
                <w:sz w:val="22"/>
              </w:rPr>
              <w:t>Strategic</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Energy/O&amp;G customer identification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In progress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Strategic</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Partnership model design (Customer Program)</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bl>
    <w:p>
      <w:pPr>
        <w:pStyle w:val="Heading2"/>
      </w:pPr>
      <w:r>
        <w:rPr>
          <w:rFonts w:ascii="Calibri" w:hAnsi="Calibri"/>
        </w:rPr>
        <w:t>6. Investor Materials &amp; Strategy</w:t>
      </w:r>
    </w:p>
    <w:p>
      <w:r>
        <w:rPr>
          <w:rFonts w:ascii="Calibri" w:hAnsi="Calibri"/>
          <w:b w:val="0"/>
          <w:i w:val="0"/>
          <w:color w:val="2B2B2B"/>
          <w:sz w:val="22"/>
        </w:rPr>
        <w:t>A complete set of investor-facing materials has been prepared, enabling efficient fundraising from day one of the PreSeed process.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Investor pitch deck (V3)</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150–300K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Investor Q&amp;A database (50 questions, validated)</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Fundraising strategy (PreSeed through Serie A)</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Included in advisory</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DD readiness checklists (Pre-Seed, Seed, Serie A)</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bl>
    <w:p>
      <w:pPr>
        <w:pStyle w:val="Heading1"/>
      </w:pPr>
      <w:r>
        <w:rPr>
          <w:rFonts w:ascii="Calibri" w:hAnsi="Calibri"/>
        </w:rPr>
        <w:t>Valuation of Founder Contribution</w:t>
      </w:r>
    </w:p>
    <w:p>
      <w:pPr>
        <w:pStyle w:val="Heading2"/>
      </w:pPr>
      <w:r>
        <w:rPr>
          <w:rFonts w:ascii="Calibri" w:hAnsi="Calibri"/>
        </w:rPr>
        <w:t>External Cost Equivalent</w:t>
      </w:r>
    </w:p>
    <w:p>
      <w:r>
        <w:rPr>
          <w:rFonts w:ascii="Calibri" w:hAnsi="Calibri"/>
          <w:b w:val="0"/>
          <w:i w:val="0"/>
          <w:color w:val="2B2B2B"/>
          <w:sz w:val="22"/>
        </w:rPr>
        <w:t>If the work delivered by the founders had been outsourced to professional advisors, consultants, and service providers, the estimated cost would be:</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Category</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Estimated External Cost (NOK)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Due Diligence package (financial, technical, market, legal)</w:t>
            </w:r>
          </w:p>
        </w:tc>
        <w:tc>
          <w:tcPr>
            <w:tcW w:type="dxa" w:w="4536"/>
            <w:shd w:val="clear" w:fill="FFFFFF"/>
            <w:tcMar>
              <w:top w:w="40" w:type="dxa"/>
              <w:bottom w:w="40" w:type="dxa"/>
              <w:left w:w="80" w:type="dxa"/>
              <w:right w:w="80" w:type="dxa"/>
            </w:tcMar>
          </w:tcPr>
          <w:p>
            <w:pPr>
              <w:jc w:val="left"/>
            </w:pPr>
            <w:r>
              <w:rPr>
                <w:rFonts w:ascii="Calibri" w:hAnsi="Calibri"/>
                <w:color w:val="2B2B2B"/>
                <w:sz w:val="22"/>
              </w:rPr>
              <w:t>700K – 1.4M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Financial model and valuation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350K – 700K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Market analysis and GTM strategy</w:t>
            </w:r>
          </w:p>
        </w:tc>
        <w:tc>
          <w:tcPr>
            <w:tcW w:type="dxa" w:w="4536"/>
            <w:shd w:val="clear" w:fill="FFFFFF"/>
            <w:tcMar>
              <w:top w:w="40" w:type="dxa"/>
              <w:bottom w:w="40" w:type="dxa"/>
              <w:left w:w="80" w:type="dxa"/>
              <w:right w:w="80" w:type="dxa"/>
            </w:tcMar>
          </w:tcPr>
          <w:p>
            <w:pPr>
              <w:jc w:val="left"/>
            </w:pPr>
            <w:r>
              <w:rPr>
                <w:rFonts w:ascii="Calibri" w:hAnsi="Calibri"/>
                <w:color w:val="2B2B2B"/>
                <w:sz w:val="22"/>
              </w:rPr>
              <w:t>300K – 600K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Supplier and technical due diligence</w:t>
            </w:r>
          </w:p>
        </w:tc>
        <w:tc>
          <w:tcPr>
            <w:tcW w:type="dxa" w:w="4536"/>
            <w:shd w:val="clear" w:fill="F5F5F5"/>
            <w:tcMar>
              <w:top w:w="40" w:type="dxa"/>
              <w:bottom w:w="40" w:type="dxa"/>
              <w:left w:w="80" w:type="dxa"/>
              <w:right w:w="80" w:type="dxa"/>
            </w:tcMar>
          </w:tcPr>
          <w:p>
            <w:pPr>
              <w:jc w:val="left"/>
            </w:pPr>
            <w:r>
              <w:rPr>
                <w:rFonts w:ascii="Calibri" w:hAnsi="Calibri"/>
                <w:color w:val="2B2B2B"/>
                <w:sz w:val="22"/>
              </w:rPr>
              <w:t>200K – 400K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Investor materials and pitch preparation</w:t>
            </w:r>
          </w:p>
        </w:tc>
        <w:tc>
          <w:tcPr>
            <w:tcW w:type="dxa" w:w="4536"/>
            <w:shd w:val="clear" w:fill="FFFFFF"/>
            <w:tcMar>
              <w:top w:w="40" w:type="dxa"/>
              <w:bottom w:w="40" w:type="dxa"/>
              <w:left w:w="80" w:type="dxa"/>
              <w:right w:w="80" w:type="dxa"/>
            </w:tcMar>
          </w:tcPr>
          <w:p>
            <w:pPr>
              <w:jc w:val="left"/>
            </w:pPr>
            <w:r>
              <w:rPr>
                <w:rFonts w:ascii="Calibri" w:hAnsi="Calibri"/>
                <w:color w:val="2B2B2B"/>
                <w:sz w:val="22"/>
              </w:rPr>
              <w:t>250K – 500K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Customer pipeline and partnership development</w:t>
            </w:r>
          </w:p>
        </w:tc>
        <w:tc>
          <w:tcPr>
            <w:tcW w:type="dxa" w:w="4536"/>
            <w:shd w:val="clear" w:fill="F5F5F5"/>
            <w:tcMar>
              <w:top w:w="40" w:type="dxa"/>
              <w:bottom w:w="40" w:type="dxa"/>
              <w:left w:w="80" w:type="dxa"/>
              <w:right w:w="80" w:type="dxa"/>
            </w:tcMar>
          </w:tcPr>
          <w:p>
            <w:pPr>
              <w:jc w:val="left"/>
            </w:pPr>
            <w:r>
              <w:rPr>
                <w:rFonts w:ascii="Calibri" w:hAnsi="Calibri"/>
                <w:color w:val="2B2B2B"/>
                <w:sz w:val="22"/>
              </w:rPr>
              <w:t>Strategic — not outsourceable</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Total consulting equivalent</w:t>
            </w:r>
          </w:p>
        </w:tc>
        <w:tc>
          <w:tcPr>
            <w:tcW w:type="dxa" w:w="4536"/>
            <w:shd w:val="clear" w:fill="FFFFFF"/>
            <w:tcMar>
              <w:top w:w="40" w:type="dxa"/>
              <w:bottom w:w="40" w:type="dxa"/>
              <w:left w:w="80" w:type="dxa"/>
              <w:right w:w="80" w:type="dxa"/>
            </w:tcMar>
          </w:tcPr>
          <w:p>
            <w:pPr>
              <w:jc w:val="left"/>
            </w:pPr>
            <w:r>
              <w:rPr>
                <w:rFonts w:ascii="Calibri" w:hAnsi="Calibri"/>
                <w:color w:val="2B2B2B"/>
                <w:sz w:val="22"/>
              </w:rPr>
              <w:t>1.8 – 3.6 MNOK</w:t>
            </w:r>
          </w:p>
        </w:tc>
      </w:tr>
    </w:tbl>
    <w:p>
      <w:pPr>
        <w:pStyle w:val="Heading2"/>
      </w:pPr>
      <w:r>
        <w:rPr>
          <w:rFonts w:ascii="Calibri" w:hAnsi="Calibri"/>
        </w:rPr>
        <w:t>Founder Time Investment</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1814"/>
        <w:gridCol w:w="1814"/>
        <w:gridCol w:w="1814"/>
        <w:gridCol w:w="1814"/>
        <w:gridCol w:w="1814"/>
      </w:tblGrid>
      <w:tr>
        <w:tc>
          <w:tcPr>
            <w:tcW w:type="dxa" w:w="1814"/>
            <w:shd w:val="clear" w:fill="2B2B2B"/>
            <w:tcMar>
              <w:top w:w="60" w:type="dxa"/>
              <w:bottom w:w="60" w:type="dxa"/>
              <w:left w:w="80" w:type="dxa"/>
              <w:right w:w="80" w:type="dxa"/>
            </w:tcMar>
          </w:tcPr>
          <w:p>
            <w:pPr>
              <w:jc w:val="left"/>
            </w:pPr>
            <w:r>
              <w:rPr>
                <w:rFonts w:ascii="Calibri" w:hAnsi="Calibri"/>
                <w:b/>
                <w:color w:val="FFFFFF"/>
                <w:sz w:val="22"/>
              </w:rPr>
              <w:t>Founder</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Monthly Market Rate</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Months</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Value</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Salary Taken</w:t>
            </w:r>
          </w:p>
        </w:tc>
      </w:tr>
      <w:tr>
        <w:tc>
          <w:tcPr>
            <w:tcW w:type="dxa" w:w="1814"/>
            <w:shd w:val="clear" w:fill="FFFFFF"/>
            <w:tcMar>
              <w:top w:w="40" w:type="dxa"/>
              <w:bottom w:w="40" w:type="dxa"/>
              <w:left w:w="80" w:type="dxa"/>
              <w:right w:w="80" w:type="dxa"/>
            </w:tcMar>
          </w:tcPr>
          <w:p>
            <w:pPr>
              <w:jc w:val="left"/>
            </w:pPr>
            <w:r>
              <w:rPr>
                <w:rFonts w:ascii="Calibri" w:hAnsi="Calibri"/>
                <w:color w:val="2B2B2B"/>
                <w:sz w:val="22"/>
              </w:rPr>
              <w:t>André Tandberg (CEO)</w:t>
            </w:r>
          </w:p>
        </w:tc>
        <w:tc>
          <w:tcPr>
            <w:tcW w:type="dxa" w:w="1814"/>
            <w:shd w:val="clear" w:fill="FFFFFF"/>
            <w:tcMar>
              <w:top w:w="40" w:type="dxa"/>
              <w:bottom w:w="40" w:type="dxa"/>
              <w:left w:w="80" w:type="dxa"/>
              <w:right w:w="80" w:type="dxa"/>
            </w:tcMar>
          </w:tcPr>
          <w:p>
            <w:pPr>
              <w:jc w:val="left"/>
            </w:pPr>
            <w:r>
              <w:rPr>
                <w:rFonts w:ascii="Calibri" w:hAnsi="Calibri"/>
                <w:color w:val="2B2B2B"/>
                <w:sz w:val="22"/>
              </w:rPr>
              <w:t>~150K NOK</w:t>
            </w:r>
          </w:p>
        </w:tc>
        <w:tc>
          <w:tcPr>
            <w:tcW w:type="dxa" w:w="1814"/>
            <w:shd w:val="clear" w:fill="FFFFFF"/>
            <w:tcMar>
              <w:top w:w="40" w:type="dxa"/>
              <w:bottom w:w="40" w:type="dxa"/>
              <w:left w:w="80" w:type="dxa"/>
              <w:right w:w="80" w:type="dxa"/>
            </w:tcMar>
          </w:tcPr>
          <w:p>
            <w:pPr>
              <w:jc w:val="left"/>
            </w:pPr>
            <w:r>
              <w:rPr>
                <w:rFonts w:ascii="Calibri" w:hAnsi="Calibri"/>
                <w:color w:val="2B2B2B"/>
                <w:sz w:val="22"/>
              </w:rPr>
              <w:t>5</w:t>
            </w:r>
          </w:p>
        </w:tc>
        <w:tc>
          <w:tcPr>
            <w:tcW w:type="dxa" w:w="1814"/>
            <w:shd w:val="clear" w:fill="FFFFFF"/>
            <w:tcMar>
              <w:top w:w="40" w:type="dxa"/>
              <w:bottom w:w="40" w:type="dxa"/>
              <w:left w:w="80" w:type="dxa"/>
              <w:right w:w="80" w:type="dxa"/>
            </w:tcMar>
          </w:tcPr>
          <w:p>
            <w:pPr>
              <w:jc w:val="left"/>
            </w:pPr>
            <w:r>
              <w:rPr>
                <w:rFonts w:ascii="Calibri" w:hAnsi="Calibri"/>
                <w:color w:val="2B2B2B"/>
                <w:sz w:val="22"/>
              </w:rPr>
              <w:t>750K NOK</w:t>
            </w:r>
          </w:p>
        </w:tc>
        <w:tc>
          <w:tcPr>
            <w:tcW w:type="dxa" w:w="1814"/>
            <w:shd w:val="clear" w:fill="FFFFFF"/>
            <w:tcMar>
              <w:top w:w="40" w:type="dxa"/>
              <w:bottom w:w="40" w:type="dxa"/>
              <w:left w:w="80" w:type="dxa"/>
              <w:right w:w="80" w:type="dxa"/>
            </w:tcMar>
          </w:tcPr>
          <w:p>
            <w:pPr>
              <w:jc w:val="left"/>
            </w:pPr>
            <w:r>
              <w:rPr>
                <w:rFonts w:ascii="Calibri" w:hAnsi="Calibri"/>
                <w:color w:val="2B2B2B"/>
                <w:sz w:val="22"/>
              </w:rPr>
              <w:t>0</w:t>
            </w:r>
          </w:p>
        </w:tc>
      </w:tr>
      <w:tr>
        <w:tc>
          <w:tcPr>
            <w:tcW w:type="dxa" w:w="1814"/>
            <w:shd w:val="clear" w:fill="F5F5F5"/>
            <w:tcMar>
              <w:top w:w="40" w:type="dxa"/>
              <w:bottom w:w="40" w:type="dxa"/>
              <w:left w:w="80" w:type="dxa"/>
              <w:right w:w="80" w:type="dxa"/>
            </w:tcMar>
          </w:tcPr>
          <w:p>
            <w:pPr>
              <w:jc w:val="left"/>
            </w:pPr>
            <w:r>
              <w:rPr>
                <w:rFonts w:ascii="Calibri" w:hAnsi="Calibri"/>
                <w:color w:val="2B2B2B"/>
                <w:sz w:val="22"/>
              </w:rPr>
              <w:t>Tore Ausland (BD/Commercial)</w:t>
            </w:r>
          </w:p>
        </w:tc>
        <w:tc>
          <w:tcPr>
            <w:tcW w:type="dxa" w:w="1814"/>
            <w:shd w:val="clear" w:fill="F5F5F5"/>
            <w:tcMar>
              <w:top w:w="40" w:type="dxa"/>
              <w:bottom w:w="40" w:type="dxa"/>
              <w:left w:w="80" w:type="dxa"/>
              <w:right w:w="80" w:type="dxa"/>
            </w:tcMar>
          </w:tcPr>
          <w:p>
            <w:pPr>
              <w:jc w:val="left"/>
            </w:pPr>
            <w:r>
              <w:rPr>
                <w:rFonts w:ascii="Calibri" w:hAnsi="Calibri"/>
                <w:color w:val="2B2B2B"/>
                <w:sz w:val="22"/>
              </w:rPr>
              <w:t>~130K NOK</w:t>
            </w:r>
          </w:p>
        </w:tc>
        <w:tc>
          <w:tcPr>
            <w:tcW w:type="dxa" w:w="1814"/>
            <w:shd w:val="clear" w:fill="F5F5F5"/>
            <w:tcMar>
              <w:top w:w="40" w:type="dxa"/>
              <w:bottom w:w="40" w:type="dxa"/>
              <w:left w:w="80" w:type="dxa"/>
              <w:right w:w="80" w:type="dxa"/>
            </w:tcMar>
          </w:tcPr>
          <w:p>
            <w:pPr>
              <w:jc w:val="left"/>
            </w:pPr>
            <w:r>
              <w:rPr>
                <w:rFonts w:ascii="Calibri" w:hAnsi="Calibri"/>
                <w:color w:val="2B2B2B"/>
                <w:sz w:val="22"/>
              </w:rPr>
              <w:t>5</w:t>
            </w:r>
          </w:p>
        </w:tc>
        <w:tc>
          <w:tcPr>
            <w:tcW w:type="dxa" w:w="1814"/>
            <w:shd w:val="clear" w:fill="F5F5F5"/>
            <w:tcMar>
              <w:top w:w="40" w:type="dxa"/>
              <w:bottom w:w="40" w:type="dxa"/>
              <w:left w:w="80" w:type="dxa"/>
              <w:right w:w="80" w:type="dxa"/>
            </w:tcMar>
          </w:tcPr>
          <w:p>
            <w:pPr>
              <w:jc w:val="left"/>
            </w:pPr>
            <w:r>
              <w:rPr>
                <w:rFonts w:ascii="Calibri" w:hAnsi="Calibri"/>
                <w:color w:val="2B2B2B"/>
                <w:sz w:val="22"/>
              </w:rPr>
              <w:t>650K NOK</w:t>
            </w:r>
          </w:p>
        </w:tc>
        <w:tc>
          <w:tcPr>
            <w:tcW w:type="dxa" w:w="1814"/>
            <w:shd w:val="clear" w:fill="F5F5F5"/>
            <w:tcMar>
              <w:top w:w="40" w:type="dxa"/>
              <w:bottom w:w="40" w:type="dxa"/>
              <w:left w:w="80" w:type="dxa"/>
              <w:right w:w="80" w:type="dxa"/>
            </w:tcMar>
          </w:tcPr>
          <w:p>
            <w:pPr>
              <w:jc w:val="left"/>
            </w:pPr>
            <w:r>
              <w:rPr>
                <w:rFonts w:ascii="Calibri" w:hAnsi="Calibri"/>
                <w:color w:val="2B2B2B"/>
                <w:sz w:val="22"/>
              </w:rPr>
              <w:t>0</w:t>
            </w:r>
          </w:p>
        </w:tc>
      </w:tr>
      <w:tr>
        <w:tc>
          <w:tcPr>
            <w:tcW w:type="dxa" w:w="1814"/>
            <w:shd w:val="clear" w:fill="F5F5F5"/>
            <w:tcMar>
              <w:top w:w="40" w:type="dxa"/>
              <w:bottom w:w="40" w:type="dxa"/>
              <w:left w:w="80" w:type="dxa"/>
              <w:right w:w="80" w:type="dxa"/>
            </w:tcMar>
          </w:tcPr>
          <w:p>
            <w:pPr>
              <w:jc w:val="left"/>
            </w:pPr>
            <w:r>
              <w:rPr>
                <w:rFonts w:ascii="Calibri" w:hAnsi="Calibri"/>
                <w:color w:val="2B2B2B"/>
                <w:sz w:val="22"/>
              </w:rPr>
              <w:t>Fredrik Vangsal (Technical Advisor)</w:t>
            </w:r>
          </w:p>
        </w:tc>
        <w:tc>
          <w:tcPr>
            <w:tcW w:type="dxa" w:w="1814"/>
            <w:shd w:val="clear" w:fill="F5F5F5"/>
            <w:tcMar>
              <w:top w:w="40" w:type="dxa"/>
              <w:bottom w:w="40" w:type="dxa"/>
              <w:left w:w="80" w:type="dxa"/>
              <w:right w:w="80" w:type="dxa"/>
            </w:tcMar>
          </w:tcPr>
          <w:p>
            <w:pPr>
              <w:jc w:val="left"/>
            </w:pPr>
            <w:r>
              <w:rPr>
                <w:rFonts w:ascii="Calibri" w:hAnsi="Calibri"/>
                <w:color w:val="2B2B2B"/>
                <w:sz w:val="22"/>
              </w:rPr>
              <w:t>~120K NOK</w:t>
            </w:r>
          </w:p>
        </w:tc>
        <w:tc>
          <w:tcPr>
            <w:tcW w:type="dxa" w:w="1814"/>
            <w:shd w:val="clear" w:fill="F5F5F5"/>
            <w:tcMar>
              <w:top w:w="40" w:type="dxa"/>
              <w:bottom w:w="40" w:type="dxa"/>
              <w:left w:w="80" w:type="dxa"/>
              <w:right w:w="80" w:type="dxa"/>
            </w:tcMar>
          </w:tcPr>
          <w:p>
            <w:pPr>
              <w:jc w:val="left"/>
            </w:pPr>
            <w:r>
              <w:rPr>
                <w:rFonts w:ascii="Calibri" w:hAnsi="Calibri"/>
                <w:color w:val="2B2B2B"/>
                <w:sz w:val="22"/>
              </w:rPr>
              <w:t>3</w:t>
            </w:r>
          </w:p>
        </w:tc>
        <w:tc>
          <w:tcPr>
            <w:tcW w:type="dxa" w:w="1814"/>
            <w:shd w:val="clear" w:fill="F5F5F5"/>
            <w:tcMar>
              <w:top w:w="40" w:type="dxa"/>
              <w:bottom w:w="40" w:type="dxa"/>
              <w:left w:w="80" w:type="dxa"/>
              <w:right w:w="80" w:type="dxa"/>
            </w:tcMar>
          </w:tcPr>
          <w:p>
            <w:pPr>
              <w:jc w:val="left"/>
            </w:pPr>
            <w:r>
              <w:rPr>
                <w:rFonts w:ascii="Calibri" w:hAnsi="Calibri"/>
                <w:color w:val="2B2B2B"/>
                <w:sz w:val="22"/>
              </w:rPr>
              <w:t>360K NOK</w:t>
            </w:r>
          </w:p>
        </w:tc>
        <w:tc>
          <w:tcPr>
            <w:tcW w:type="dxa" w:w="1814"/>
            <w:shd w:val="clear" w:fill="F5F5F5"/>
            <w:tcMar>
              <w:top w:w="40" w:type="dxa"/>
              <w:bottom w:w="40" w:type="dxa"/>
              <w:left w:w="80" w:type="dxa"/>
              <w:right w:w="80" w:type="dxa"/>
            </w:tcMar>
          </w:tcPr>
          <w:p>
            <w:pPr>
              <w:jc w:val="left"/>
            </w:pPr>
            <w:r>
              <w:rPr>
                <w:rFonts w:ascii="Calibri" w:hAnsi="Calibri"/>
                <w:color w:val="2B2B2B"/>
                <w:sz w:val="22"/>
              </w:rPr>
              <w:t>0</w:t>
            </w:r>
          </w:p>
        </w:tc>
      </w:tr>
      <w:tr>
        <w:tc>
          <w:tcPr>
            <w:tcW w:type="dxa" w:w="1814"/>
            <w:shd w:val="clear" w:fill="FFFFFF"/>
            <w:tcMar>
              <w:top w:w="40" w:type="dxa"/>
              <w:bottom w:w="40" w:type="dxa"/>
              <w:left w:w="80" w:type="dxa"/>
              <w:right w:w="80" w:type="dxa"/>
            </w:tcMar>
          </w:tcPr>
          <w:p>
            <w:pPr>
              <w:jc w:val="left"/>
            </w:pPr>
            <w:r>
              <w:rPr>
                <w:rFonts w:ascii="Calibri" w:hAnsi="Calibri"/>
                <w:color w:val="2B2B2B"/>
                <w:sz w:val="22"/>
              </w:rPr>
              <w:t>Total</w:t>
            </w:r>
          </w:p>
        </w:tc>
        <w:tc>
          <w:tcPr>
            <w:tcW w:type="dxa" w:w="1814"/>
            <w:shd w:val="clear" w:fill="FFFFFF"/>
            <w:tcMar>
              <w:top w:w="40" w:type="dxa"/>
              <w:bottom w:w="40" w:type="dxa"/>
              <w:left w:w="80" w:type="dxa"/>
              <w:right w:w="80" w:type="dxa"/>
            </w:tcMar>
          </w:tcPr>
          <w:p>
            <w:pPr>
              <w:jc w:val="left"/>
            </w:pPr>
            <w:r>
              <w:rPr>
                <w:rFonts w:ascii="Calibri" w:hAnsi="Calibri"/>
                <w:color w:val="2B2B2B"/>
                <w:sz w:val="22"/>
              </w:rPr>
            </w:r>
          </w:p>
        </w:tc>
        <w:tc>
          <w:tcPr>
            <w:tcW w:type="dxa" w:w="1814"/>
            <w:shd w:val="clear" w:fill="FFFFFF"/>
            <w:tcMar>
              <w:top w:w="40" w:type="dxa"/>
              <w:bottom w:w="40" w:type="dxa"/>
              <w:left w:w="80" w:type="dxa"/>
              <w:right w:w="80" w:type="dxa"/>
            </w:tcMar>
          </w:tcPr>
          <w:p>
            <w:pPr>
              <w:jc w:val="left"/>
            </w:pPr>
            <w:r>
              <w:rPr>
                <w:rFonts w:ascii="Calibri" w:hAnsi="Calibri"/>
                <w:color w:val="2B2B2B"/>
                <w:sz w:val="22"/>
              </w:rPr>
            </w:r>
          </w:p>
        </w:tc>
        <w:tc>
          <w:tcPr>
            <w:tcW w:type="dxa" w:w="1814"/>
            <w:shd w:val="clear" w:fill="FFFFFF"/>
            <w:tcMar>
              <w:top w:w="40" w:type="dxa"/>
              <w:bottom w:w="40" w:type="dxa"/>
              <w:left w:w="80" w:type="dxa"/>
              <w:right w:w="80" w:type="dxa"/>
            </w:tcMar>
          </w:tcPr>
          <w:p>
            <w:pPr>
              <w:jc w:val="left"/>
            </w:pPr>
            <w:r>
              <w:rPr>
                <w:rFonts w:ascii="Calibri" w:hAnsi="Calibri"/>
                <w:color w:val="2B2B2B"/>
                <w:sz w:val="22"/>
              </w:rPr>
              <w:t>1.4 MNOK</w:t>
            </w:r>
          </w:p>
        </w:tc>
        <w:tc>
          <w:tcPr>
            <w:tcW w:type="dxa" w:w="1814"/>
            <w:shd w:val="clear" w:fill="FFFFFF"/>
            <w:tcMar>
              <w:top w:w="40" w:type="dxa"/>
              <w:bottom w:w="40" w:type="dxa"/>
              <w:left w:w="80" w:type="dxa"/>
              <w:right w:w="80" w:type="dxa"/>
            </w:tcMar>
          </w:tcPr>
          <w:p>
            <w:pPr>
              <w:jc w:val="left"/>
            </w:pPr>
            <w:r>
              <w:rPr>
                <w:rFonts w:ascii="Calibri" w:hAnsi="Calibri"/>
                <w:color w:val="2B2B2B"/>
                <w:sz w:val="22"/>
              </w:rPr>
              <w:t>0</w:t>
            </w:r>
          </w:p>
        </w:tc>
      </w:tr>
    </w:tbl>
    <w:p>
      <w:r>
        <w:rPr>
          <w:rFonts w:ascii="Calibri" w:hAnsi="Calibri"/>
          <w:b w:val="0"/>
          <w:i w:val="0"/>
          <w:color w:val="2B2B2B"/>
          <w:sz w:val="22"/>
        </w:rPr>
        <w:t>Monthly rates are based on market rates for senior industrial executives in Norway. Actual commitment extends to ~16 months (through Seed close) with no compensation.</w:t>
      </w:r>
    </w:p>
    <w:p>
      <w:pPr>
        <w:pStyle w:val="Heading2"/>
      </w:pPr>
      <w:r>
        <w:rPr>
          <w:rFonts w:ascii="Calibri" w:hAnsi="Calibri"/>
        </w:rPr>
        <w:t>Total Founder Contribution</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Component</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Value (NOK)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External cost equivalent of deliverables</w:t>
            </w:r>
          </w:p>
        </w:tc>
        <w:tc>
          <w:tcPr>
            <w:tcW w:type="dxa" w:w="4536"/>
            <w:shd w:val="clear" w:fill="FFFFFF"/>
            <w:tcMar>
              <w:top w:w="40" w:type="dxa"/>
              <w:bottom w:w="40" w:type="dxa"/>
              <w:left w:w="80" w:type="dxa"/>
              <w:right w:w="80" w:type="dxa"/>
            </w:tcMar>
          </w:tcPr>
          <w:p>
            <w:pPr>
              <w:jc w:val="left"/>
            </w:pPr>
            <w:r>
              <w:rPr>
                <w:rFonts w:ascii="Calibri" w:hAnsi="Calibri"/>
                <w:color w:val="2B2B2B"/>
                <w:sz w:val="22"/>
              </w:rPr>
              <w:t>1.8 – 3.6 MNOK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Founder time investment (Oct 2025 – Feb 2026)</w:t>
            </w:r>
          </w:p>
        </w:tc>
        <w:tc>
          <w:tcPr>
            <w:tcW w:type="dxa" w:w="4536"/>
            <w:shd w:val="clear" w:fill="F5F5F5"/>
            <w:tcMar>
              <w:top w:w="40" w:type="dxa"/>
              <w:bottom w:w="40" w:type="dxa"/>
              <w:left w:w="80" w:type="dxa"/>
              <w:right w:w="80" w:type="dxa"/>
            </w:tcMar>
          </w:tcPr>
          <w:p>
            <w:pPr>
              <w:jc w:val="left"/>
            </w:pPr>
            <w:r>
              <w:rPr>
                <w:rFonts w:ascii="Calibri" w:hAnsi="Calibri"/>
                <w:color w:val="2B2B2B"/>
                <w:sz w:val="22"/>
              </w:rPr>
              <w:t>1.4 MNOK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Projected unpaid time (Mar 2026 – Q1 2027)</w:t>
            </w:r>
          </w:p>
        </w:tc>
        <w:tc>
          <w:tcPr>
            <w:tcW w:type="dxa" w:w="4536"/>
            <w:shd w:val="clear" w:fill="FFFFFF"/>
            <w:tcMar>
              <w:top w:w="40" w:type="dxa"/>
              <w:bottom w:w="40" w:type="dxa"/>
              <w:left w:w="80" w:type="dxa"/>
              <w:right w:w="80" w:type="dxa"/>
            </w:tcMar>
          </w:tcPr>
          <w:p>
            <w:pPr>
              <w:jc w:val="left"/>
            </w:pPr>
            <w:r>
              <w:rPr>
                <w:rFonts w:ascii="Calibri" w:hAnsi="Calibri"/>
                <w:color w:val="2B2B2B"/>
                <w:sz w:val="22"/>
              </w:rPr>
              <w:t>~3.6 MNOK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Total founder contribution through Seed</w:t>
            </w:r>
          </w:p>
        </w:tc>
        <w:tc>
          <w:tcPr>
            <w:tcW w:type="dxa" w:w="4536"/>
            <w:shd w:val="clear" w:fill="F5F5F5"/>
            <w:tcMar>
              <w:top w:w="40" w:type="dxa"/>
              <w:bottom w:w="40" w:type="dxa"/>
              <w:left w:w="80" w:type="dxa"/>
              <w:right w:w="80" w:type="dxa"/>
            </w:tcMar>
          </w:tcPr>
          <w:p>
            <w:pPr>
              <w:jc w:val="left"/>
            </w:pPr>
            <w:r>
              <w:rPr>
                <w:rFonts w:ascii="Calibri" w:hAnsi="Calibri"/>
                <w:color w:val="2B2B2B"/>
                <w:sz w:val="22"/>
              </w:rPr>
              <w:t>~6.8 – 8.6 MNOK</w:t>
            </w:r>
          </w:p>
        </w:tc>
      </w:tr>
    </w:tbl>
    <w:p>
      <w:r>
        <w:rPr>
          <w:rFonts w:ascii="Calibri" w:hAnsi="Calibri"/>
          <w:b w:val="0"/>
          <w:i w:val="0"/>
          <w:color w:val="2B2B2B"/>
          <w:sz w:val="22"/>
        </w:rPr>
        <w:t>By the time the Seed round closes, the founders will have invested an estimated 7–9 MNOK of value into the company — without taking a single krone in compensation. This represents a level of commitment and personal risk that fundamentally de-risks the investment for PreSeed participants.</w:t>
      </w:r>
    </w:p>
    <w:p>
      <w:pPr>
        <w:pStyle w:val="Heading1"/>
      </w:pPr>
      <w:r>
        <w:rPr>
          <w:rFonts w:ascii="Calibri" w:hAnsi="Calibri"/>
        </w:rPr>
        <w:t>What This Means for the PreSeed Investor</w:t>
      </w:r>
    </w:p>
    <w:p>
      <w:pPr>
        <w:pStyle w:val="Heading2"/>
      </w:pPr>
      <w:r>
        <w:rPr>
          <w:rFonts w:ascii="Calibri" w:hAnsi="Calibri"/>
        </w:rPr>
        <w:t>Your 5 MNOK Goes Entirely to Execution</w:t>
      </w:r>
    </w:p>
    <w:p>
      <w:r>
        <w:rPr>
          <w:rFonts w:ascii="Calibri" w:hAnsi="Calibri"/>
          <w:b w:val="0"/>
          <w:i w:val="0"/>
          <w:color w:val="2B2B2B"/>
          <w:sz w:val="22"/>
        </w:rPr>
        <w:t>The founder contribution is not structured as a loan, convertible note, or any instrument that competes with investor capital. There are no founder claims against the company. Every krone of the 5 MNOK PreSeed round goes directly to advancing the company toward Seed readiness: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Use of PreSeed Funds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MNOK</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Purpose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Concept validation &amp; customer discovery</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1.5</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Convert pipeline to commitments</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Supplier LOIs &amp; regulatory preparation</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w:t>
            </w:r>
          </w:p>
        </w:tc>
        <w:tc>
          <w:tcPr>
            <w:tcW w:type="dxa" w:w="3024"/>
            <w:shd w:val="clear" w:fill="F5F5F5"/>
            <w:tcMar>
              <w:top w:w="40" w:type="dxa"/>
              <w:bottom w:w="40" w:type="dxa"/>
              <w:left w:w="80" w:type="dxa"/>
              <w:right w:w="80" w:type="dxa"/>
            </w:tcMar>
          </w:tcPr>
          <w:p>
            <w:pPr>
              <w:jc w:val="left"/>
            </w:pPr>
            <w:r>
              <w:rPr>
                <w:rFonts w:ascii="Calibri" w:hAnsi="Calibri"/>
                <w:color w:val="2B2B2B"/>
                <w:sz w:val="22"/>
              </w:rPr>
              <w:t>Lock machine configurations and pricing</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Team &amp; advisory</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w:t>
            </w:r>
          </w:p>
        </w:tc>
        <w:tc>
          <w:tcPr>
            <w:tcW w:type="dxa" w:w="3024"/>
            <w:shd w:val="clear" w:fill="FFFFFF"/>
            <w:tcMar>
              <w:top w:w="40" w:type="dxa"/>
              <w:bottom w:w="40" w:type="dxa"/>
              <w:left w:w="80" w:type="dxa"/>
              <w:right w:w="80" w:type="dxa"/>
            </w:tcMar>
          </w:tcPr>
          <w:p>
            <w:pPr>
              <w:jc w:val="left"/>
            </w:pPr>
            <w:r>
              <w:rPr>
                <w:rFonts w:ascii="Calibri" w:hAnsi="Calibri"/>
                <w:color w:val="2B2B2B"/>
                <w:sz w:val="22"/>
              </w:rPr>
              <w:t>Key hires and board advisory</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Planning &amp; engineering</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w:t>
            </w:r>
          </w:p>
        </w:tc>
        <w:tc>
          <w:tcPr>
            <w:tcW w:type="dxa" w:w="3024"/>
            <w:shd w:val="clear" w:fill="F5F5F5"/>
            <w:tcMar>
              <w:top w:w="40" w:type="dxa"/>
              <w:bottom w:w="40" w:type="dxa"/>
              <w:left w:w="80" w:type="dxa"/>
              <w:right w:w="80" w:type="dxa"/>
            </w:tcMar>
          </w:tcPr>
          <w:p>
            <w:pPr>
              <w:jc w:val="left"/>
            </w:pPr>
            <w:r>
              <w:rPr>
                <w:rFonts w:ascii="Calibri" w:hAnsi="Calibri"/>
                <w:color w:val="2B2B2B"/>
                <w:sz w:val="22"/>
              </w:rPr>
              <w:t>Detailed facility and production planning</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Buffer</w:t>
            </w:r>
          </w:p>
        </w:tc>
        <w:tc>
          <w:tcPr>
            <w:tcW w:type="dxa" w:w="3024"/>
            <w:shd w:val="clear" w:fill="FFFFFF"/>
            <w:tcMar>
              <w:top w:w="40" w:type="dxa"/>
              <w:bottom w:w="40" w:type="dxa"/>
              <w:left w:w="80" w:type="dxa"/>
              <w:right w:w="80" w:type="dxa"/>
            </w:tcMar>
          </w:tcPr>
          <w:p>
            <w:pPr>
              <w:jc w:val="left"/>
            </w:pPr>
            <w:r>
              <w:rPr>
                <w:rFonts w:ascii="Calibri" w:hAnsi="Calibri"/>
                <w:color w:val="2B2B2B"/>
                <w:sz w:val="22"/>
              </w:rPr>
              <w:t>0.5</w:t>
            </w:r>
          </w:p>
        </w:tc>
        <w:tc>
          <w:tcPr>
            <w:tcW w:type="dxa" w:w="3024"/>
            <w:shd w:val="clear" w:fill="FFFFFF"/>
            <w:tcMar>
              <w:top w:w="40" w:type="dxa"/>
              <w:bottom w:w="40" w:type="dxa"/>
              <w:left w:w="80" w:type="dxa"/>
              <w:right w:w="80" w:type="dxa"/>
            </w:tcMar>
          </w:tcPr>
          <w:p>
            <w:pPr>
              <w:jc w:val="left"/>
            </w:pPr>
            <w:r>
              <w:rPr>
                <w:rFonts w:ascii="Calibri" w:hAnsi="Calibri"/>
                <w:color w:val="2B2B2B"/>
                <w:sz w:val="22"/>
              </w:rPr>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Total</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100% to execution</w:t>
            </w:r>
          </w:p>
        </w:tc>
      </w:tr>
    </w:tbl>
    <w:p>
      <w:pPr>
        <w:pStyle w:val="Heading2"/>
      </w:pPr>
      <w:r>
        <w:rPr>
          <w:rFonts w:ascii="Calibri" w:hAnsi="Calibri"/>
        </w:rPr>
        <w:t>What You Are Not Paying For</w:t>
      </w:r>
    </w:p>
    <w:p>
      <w:r>
        <w:rPr>
          <w:rFonts w:ascii="Calibri" w:hAnsi="Calibri"/>
          <w:b w:val="0"/>
          <w:i w:val="0"/>
          <w:color w:val="2B2B2B"/>
          <w:sz w:val="22"/>
        </w:rPr>
        <w:t>The following has already been completed at zero cost to the company and will not require funding:</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Already Delivered (No Cost to Investors)</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Equivalent Value</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Complete DD package ready for investor review</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0.7 – 1.4M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Bank-grade financial model with full sensitivity analysis</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0.35 – 0.7M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Market analysis and competitive positioning</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0.3 – 0.6M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Supplier due diligence with quotes in hand</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0.2 – 0.4M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Signed LOI with strategic partner (Physical Robotics)</w:t>
            </w:r>
          </w:p>
        </w:tc>
        <w:tc>
          <w:tcPr>
            <w:tcW w:type="dxa" w:w="4536"/>
            <w:shd w:val="clear" w:fill="FFFFFF"/>
            <w:tcMar>
              <w:top w:w="40" w:type="dxa"/>
              <w:bottom w:w="40" w:type="dxa"/>
              <w:left w:w="80" w:type="dxa"/>
              <w:right w:w="80" w:type="dxa"/>
            </w:tcMar>
          </w:tcPr>
          <w:p>
            <w:pPr>
              <w:jc w:val="left"/>
            </w:pPr>
            <w:r>
              <w:rPr>
                <w:rFonts w:ascii="Calibri" w:hAnsi="Calibri"/>
                <w:color w:val="2B2B2B"/>
                <w:sz w:val="22"/>
              </w:rPr>
              <w:t>Strategic</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Investor pitch materials and Q&amp;A preparation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0.25 – 0.5M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Corporate structure design (mother/daughter model)</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0.1 – 0.2M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Certification roadmap (AS9100, AQAP, ISO 9001)</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0.05 – 0.1M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Total value already created</w:t>
            </w:r>
          </w:p>
        </w:tc>
        <w:tc>
          <w:tcPr>
            <w:tcW w:type="dxa" w:w="4536"/>
            <w:shd w:val="clear" w:fill="FFFFFF"/>
            <w:tcMar>
              <w:top w:w="40" w:type="dxa"/>
              <w:bottom w:w="40" w:type="dxa"/>
              <w:left w:w="80" w:type="dxa"/>
              <w:right w:w="80" w:type="dxa"/>
            </w:tcMar>
          </w:tcPr>
          <w:p>
            <w:pPr>
              <w:jc w:val="left"/>
            </w:pPr>
            <w:r>
              <w:rPr>
                <w:rFonts w:ascii="Calibri" w:hAnsi="Calibri"/>
                <w:color w:val="2B2B2B"/>
                <w:sz w:val="22"/>
              </w:rPr>
              <w:t>~2 – 4 MNOK</w:t>
            </w:r>
          </w:p>
        </w:tc>
      </w:tr>
    </w:tbl>
    <w:p>
      <w:pPr>
        <w:pStyle w:val="Heading2"/>
      </w:pPr>
      <w:r>
        <w:rPr>
          <w:rFonts w:ascii="Calibri" w:hAnsi="Calibri"/>
        </w:rPr>
        <w:t>Pre-Money Valuation: 25 MNOK</w:t>
      </w:r>
    </w:p>
    <w:p>
      <w:r>
        <w:rPr>
          <w:rFonts w:ascii="Calibri" w:hAnsi="Calibri"/>
          <w:b w:val="0"/>
          <w:i w:val="0"/>
          <w:color w:val="2B2B2B"/>
          <w:sz w:val="22"/>
        </w:rPr>
        <w:t>The 25 MNOK pre-money valuation reflects the combination of:</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Valuation Component</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Contribution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Founder expertise (30+ years combined industrial experience)</w:t>
            </w:r>
          </w:p>
        </w:tc>
        <w:tc>
          <w:tcPr>
            <w:tcW w:type="dxa" w:w="4536"/>
            <w:shd w:val="clear" w:fill="FFFFFF"/>
            <w:tcMar>
              <w:top w:w="40" w:type="dxa"/>
              <w:bottom w:w="40" w:type="dxa"/>
              <w:left w:w="80" w:type="dxa"/>
              <w:right w:w="80" w:type="dxa"/>
            </w:tcMar>
          </w:tcPr>
          <w:p>
            <w:pPr>
              <w:jc w:val="left"/>
            </w:pPr>
            <w:r>
              <w:rPr>
                <w:rFonts w:ascii="Calibri" w:hAnsi="Calibri"/>
                <w:color w:val="2B2B2B"/>
                <w:sz w:val="22"/>
              </w:rPr>
              <w:t>Foundation</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5 months full-time unpaid work by founding team</w:t>
            </w:r>
          </w:p>
        </w:tc>
        <w:tc>
          <w:tcPr>
            <w:tcW w:type="dxa" w:w="4536"/>
            <w:shd w:val="clear" w:fill="F5F5F5"/>
            <w:tcMar>
              <w:top w:w="40" w:type="dxa"/>
              <w:bottom w:w="40" w:type="dxa"/>
              <w:left w:w="80" w:type="dxa"/>
              <w:right w:w="80" w:type="dxa"/>
            </w:tcMar>
          </w:tcPr>
          <w:p>
            <w:pPr>
              <w:jc w:val="left"/>
            </w:pPr>
            <w:r>
              <w:rPr>
                <w:rFonts w:ascii="Calibri" w:hAnsi="Calibri"/>
                <w:color w:val="2B2B2B"/>
                <w:sz w:val="22"/>
              </w:rPr>
              <w:t>~1.4 MNOK direct</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Complete DD package and financial model</w:t>
            </w:r>
          </w:p>
        </w:tc>
        <w:tc>
          <w:tcPr>
            <w:tcW w:type="dxa" w:w="4536"/>
            <w:shd w:val="clear" w:fill="FFFFFF"/>
            <w:tcMar>
              <w:top w:w="40" w:type="dxa"/>
              <w:bottom w:w="40" w:type="dxa"/>
              <w:left w:w="80" w:type="dxa"/>
              <w:right w:w="80" w:type="dxa"/>
            </w:tcMar>
          </w:tcPr>
          <w:p>
            <w:pPr>
              <w:jc w:val="left"/>
            </w:pPr>
            <w:r>
              <w:rPr>
                <w:rFonts w:ascii="Calibri" w:hAnsi="Calibri"/>
                <w:color w:val="2B2B2B"/>
                <w:sz w:val="22"/>
              </w:rPr>
              <w:t>~2–4 MNOK equivalent</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Signed strategic partnership (Physical Robotics LOI)</w:t>
            </w:r>
          </w:p>
        </w:tc>
        <w:tc>
          <w:tcPr>
            <w:tcW w:type="dxa" w:w="4536"/>
            <w:shd w:val="clear" w:fill="F5F5F5"/>
            <w:tcMar>
              <w:top w:w="40" w:type="dxa"/>
              <w:bottom w:w="40" w:type="dxa"/>
              <w:left w:w="80" w:type="dxa"/>
              <w:right w:w="80" w:type="dxa"/>
            </w:tcMar>
          </w:tcPr>
          <w:p>
            <w:pPr>
              <w:jc w:val="left"/>
            </w:pPr>
            <w:r>
              <w:rPr>
                <w:rFonts w:ascii="Calibri" w:hAnsi="Calibri"/>
                <w:color w:val="2B2B2B"/>
                <w:sz w:val="22"/>
              </w:rPr>
              <w:t>Commercial validation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Supplier relationships with pricing in hand</w:t>
            </w:r>
          </w:p>
        </w:tc>
        <w:tc>
          <w:tcPr>
            <w:tcW w:type="dxa" w:w="4536"/>
            <w:shd w:val="clear" w:fill="FFFFFF"/>
            <w:tcMar>
              <w:top w:w="40" w:type="dxa"/>
              <w:bottom w:w="40" w:type="dxa"/>
              <w:left w:w="80" w:type="dxa"/>
              <w:right w:w="80" w:type="dxa"/>
            </w:tcMar>
          </w:tcPr>
          <w:p>
            <w:pPr>
              <w:jc w:val="left"/>
            </w:pPr>
            <w:r>
              <w:rPr>
                <w:rFonts w:ascii="Calibri" w:hAnsi="Calibri"/>
                <w:color w:val="2B2B2B"/>
                <w:sz w:val="22"/>
              </w:rPr>
              <w:t>Execution readiness</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Clear 12-month execution window to Seed</w:t>
            </w:r>
          </w:p>
        </w:tc>
        <w:tc>
          <w:tcPr>
            <w:tcW w:type="dxa" w:w="4536"/>
            <w:shd w:val="clear" w:fill="F5F5F5"/>
            <w:tcMar>
              <w:top w:w="40" w:type="dxa"/>
              <w:bottom w:w="40" w:type="dxa"/>
              <w:left w:w="80" w:type="dxa"/>
              <w:right w:w="80" w:type="dxa"/>
            </w:tcMar>
          </w:tcPr>
          <w:p>
            <w:pPr>
              <w:jc w:val="left"/>
            </w:pPr>
            <w:r>
              <w:rPr>
                <w:rFonts w:ascii="Calibri" w:hAnsi="Calibri"/>
                <w:color w:val="2B2B2B"/>
                <w:sz w:val="22"/>
              </w:rPr>
              <w:t>Timeline credibility</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Industry 4.0 / autonomous manufacturing classification</w:t>
            </w:r>
          </w:p>
        </w:tc>
        <w:tc>
          <w:tcPr>
            <w:tcW w:type="dxa" w:w="4536"/>
            <w:shd w:val="clear" w:fill="FFFFFF"/>
            <w:tcMar>
              <w:top w:w="40" w:type="dxa"/>
              <w:bottom w:w="40" w:type="dxa"/>
              <w:left w:w="80" w:type="dxa"/>
              <w:right w:w="80" w:type="dxa"/>
            </w:tcMar>
          </w:tcPr>
          <w:p>
            <w:pPr>
              <w:jc w:val="left"/>
            </w:pPr>
            <w:r>
              <w:rPr>
                <w:rFonts w:ascii="Calibri" w:hAnsi="Calibri"/>
                <w:color w:val="2B2B2B"/>
                <w:sz w:val="22"/>
              </w:rPr>
              <w:t>Sector premium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Pre-money valuation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25 MNOK</w:t>
            </w:r>
          </w:p>
        </w:tc>
      </w:tr>
    </w:tbl>
    <w:p>
      <w:r>
        <w:rPr>
          <w:rFonts w:ascii="Calibri" w:hAnsi="Calibri"/>
          <w:b w:val="0"/>
          <w:i w:val="0"/>
          <w:color w:val="2B2B2B"/>
          <w:sz w:val="22"/>
        </w:rPr>
        <w:t>The European Pre-Seed median ranges from 5 to 55 MNOK. Aurelian’s 25 MNOK sits comfortably within this range and is justified by the exceptional level of preparation and de-risking already achieved.</w:t>
      </w:r>
    </w:p>
    <w:p>
      <w:pPr>
        <w:pStyle w:val="Heading1"/>
      </w:pPr>
      <w:r>
        <w:rPr>
          <w:rFonts w:ascii="Calibri" w:hAnsi="Calibri"/>
        </w:rPr>
        <w:t>Founder–Investor Alignment</w:t>
      </w:r>
    </w:p>
    <w:p>
      <w:r>
        <w:rPr>
          <w:rFonts w:ascii="Calibri" w:hAnsi="Calibri"/>
          <w:b w:val="0"/>
          <w:i w:val="0"/>
          <w:color w:val="2B2B2B"/>
          <w:sz w:val="22"/>
        </w:rPr>
        <w:t>The founding team’s interests are fully aligned with PreSeed investors: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Alignment Factor</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Detail</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No salary until Seed</w:t>
            </w:r>
          </w:p>
        </w:tc>
        <w:tc>
          <w:tcPr>
            <w:tcW w:type="dxa" w:w="4536"/>
            <w:shd w:val="clear" w:fill="FFFFFF"/>
            <w:tcMar>
              <w:top w:w="40" w:type="dxa"/>
              <w:bottom w:w="40" w:type="dxa"/>
              <w:left w:w="80" w:type="dxa"/>
              <w:right w:w="80" w:type="dxa"/>
            </w:tcMar>
          </w:tcPr>
          <w:p>
            <w:pPr>
              <w:jc w:val="left"/>
            </w:pPr>
            <w:r>
              <w:rPr>
                <w:rFonts w:ascii="Calibri" w:hAnsi="Calibri"/>
                <w:color w:val="2B2B2B"/>
                <w:sz w:val="22"/>
              </w:rPr>
              <w:t>Founders take zero compensation for ~16 months</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No founder loans</w:t>
            </w:r>
          </w:p>
        </w:tc>
        <w:tc>
          <w:tcPr>
            <w:tcW w:type="dxa" w:w="4536"/>
            <w:shd w:val="clear" w:fill="F5F5F5"/>
            <w:tcMar>
              <w:top w:w="40" w:type="dxa"/>
              <w:bottom w:w="40" w:type="dxa"/>
              <w:left w:w="80" w:type="dxa"/>
              <w:right w:w="80" w:type="dxa"/>
            </w:tcMar>
          </w:tcPr>
          <w:p>
            <w:pPr>
              <w:jc w:val="left"/>
            </w:pPr>
            <w:r>
              <w:rPr>
                <w:rFonts w:ascii="Calibri" w:hAnsi="Calibri"/>
                <w:color w:val="2B2B2B"/>
                <w:sz w:val="22"/>
              </w:rPr>
              <w:t>No claims against the company. Clean balance sheet.</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No consulting fees</w:t>
            </w:r>
          </w:p>
        </w:tc>
        <w:tc>
          <w:tcPr>
            <w:tcW w:type="dxa" w:w="4536"/>
            <w:shd w:val="clear" w:fill="FFFFFF"/>
            <w:tcMar>
              <w:top w:w="40" w:type="dxa"/>
              <w:bottom w:w="40" w:type="dxa"/>
              <w:left w:w="80" w:type="dxa"/>
              <w:right w:w="80" w:type="dxa"/>
            </w:tcMar>
          </w:tcPr>
          <w:p>
            <w:pPr>
              <w:jc w:val="left"/>
            </w:pPr>
            <w:r>
              <w:rPr>
                <w:rFonts w:ascii="Calibri" w:hAnsi="Calibri"/>
                <w:color w:val="2B2B2B"/>
                <w:sz w:val="22"/>
              </w:rPr>
              <w:t>All work to date performed at no cost to the company</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100% equity upside</w:t>
            </w:r>
          </w:p>
        </w:tc>
        <w:tc>
          <w:tcPr>
            <w:tcW w:type="dxa" w:w="4536"/>
            <w:shd w:val="clear" w:fill="F5F5F5"/>
            <w:tcMar>
              <w:top w:w="40" w:type="dxa"/>
              <w:bottom w:w="40" w:type="dxa"/>
              <w:left w:w="80" w:type="dxa"/>
              <w:right w:w="80" w:type="dxa"/>
            </w:tcMar>
          </w:tcPr>
          <w:p>
            <w:pPr>
              <w:jc w:val="left"/>
            </w:pPr>
            <w:r>
              <w:rPr>
                <w:rFonts w:ascii="Calibri" w:hAnsi="Calibri"/>
                <w:color w:val="2B2B2B"/>
                <w:sz w:val="22"/>
              </w:rPr>
              <w:t>Founders’ only return is through equity appreciation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Skin in the game</w:t>
            </w:r>
          </w:p>
        </w:tc>
        <w:tc>
          <w:tcPr>
            <w:tcW w:type="dxa" w:w="4536"/>
            <w:shd w:val="clear" w:fill="FFFFFF"/>
            <w:tcMar>
              <w:top w:w="40" w:type="dxa"/>
              <w:bottom w:w="40" w:type="dxa"/>
              <w:left w:w="80" w:type="dxa"/>
              <w:right w:w="80" w:type="dxa"/>
            </w:tcMar>
          </w:tcPr>
          <w:p>
            <w:pPr>
              <w:jc w:val="left"/>
            </w:pPr>
            <w:r>
              <w:rPr>
                <w:rFonts w:ascii="Calibri" w:hAnsi="Calibri"/>
                <w:color w:val="2B2B2B"/>
                <w:sz w:val="22"/>
              </w:rPr>
              <w:t>~7–9 MNOK of value contributed before any investor return</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Cap table is clean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No convertible notes, SAFEs, or prior instruments</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Vesting commitment</w:t>
            </w:r>
          </w:p>
        </w:tc>
        <w:tc>
          <w:tcPr>
            <w:tcW w:type="dxa" w:w="4536"/>
            <w:shd w:val="clear" w:fill="FFFFFF"/>
            <w:tcMar>
              <w:top w:w="40" w:type="dxa"/>
              <w:bottom w:w="40" w:type="dxa"/>
              <w:left w:w="80" w:type="dxa"/>
              <w:right w:w="80" w:type="dxa"/>
            </w:tcMar>
          </w:tcPr>
          <w:p>
            <w:pPr>
              <w:jc w:val="left"/>
            </w:pPr>
            <w:r>
              <w:rPr>
                <w:rFonts w:ascii="Calibri" w:hAnsi="Calibri"/>
                <w:color w:val="2B2B2B"/>
                <w:sz w:val="22"/>
              </w:rPr>
              <w:t>Founders committed to long-term execution</w:t>
            </w:r>
          </w:p>
        </w:tc>
      </w:tr>
    </w:tbl>
    <w:p>
      <w:r>
        <w:rPr>
          <w:rFonts w:ascii="Calibri" w:hAnsi="Calibri"/>
          <w:b w:val="0"/>
          <w:i w:val="0"/>
          <w:color w:val="2B2B2B"/>
          <w:sz w:val="22"/>
        </w:rPr>
        <w:t>When PreSeed investors evaluate Aurelian, they are looking at a company where the founders have already demonstrated through action — not promises — that they will do whatever it takes to make this succeed. The body of work speaks for itself.</w:t>
      </w:r>
    </w:p>
    <w:p>
      <w:r>
        <w:rPr>
          <w:rFonts w:ascii="Calibri" w:hAnsi="Calibri"/>
          <w:b w:val="0"/>
          <w:i w:val="0"/>
          <w:color w:val="2B2B2B"/>
          <w:sz w:val="22"/>
        </w:rPr>
        <w:t>— — —</w:t>
      </w:r>
    </w:p>
    <w:p>
      <w:r>
        <w:rPr>
          <w:rFonts w:ascii="Calibri" w:hAnsi="Calibri"/>
          <w:b w:val="0"/>
          <w:i w:val="0"/>
          <w:color w:val="2B2B2B"/>
          <w:sz w:val="22"/>
        </w:rPr>
        <w:t>André Tandberg, CEO  |  Tore Ausland, BD &amp; Commercial  |  Fredrik Vangsal, Technical Advisor</w:t>
      </w:r>
    </w:p>
    <w:p>
      <w:pPr>
        <w:pStyle w:val="Heading2"/>
      </w:pPr>
      <w:r>
        <w:rPr>
          <w:rFonts w:ascii="Calibri" w:hAnsi="Calibri"/>
        </w:rPr>
        <w:t>References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VDR ref</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Document</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02.04</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02 Economic Tables &amp; Projections (master document)</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02.02</w:t>
            </w:r>
          </w:p>
        </w:tc>
        <w:tc>
          <w:tcPr>
            <w:tcW w:type="dxa" w:w="4536"/>
            <w:shd w:val="clear" w:fill="F5F5F5"/>
            <w:tcMar>
              <w:top w:w="40" w:type="dxa"/>
              <w:bottom w:w="40" w:type="dxa"/>
              <w:left w:w="80" w:type="dxa"/>
              <w:right w:w="80" w:type="dxa"/>
            </w:tcMar>
          </w:tcPr>
          <w:p>
            <w:pPr>
              <w:jc w:val="left"/>
            </w:pPr>
            <w:r>
              <w:rPr>
                <w:rFonts w:ascii="Calibri" w:hAnsi="Calibri"/>
                <w:color w:val="2B2B2B"/>
                <w:sz w:val="22"/>
              </w:rPr>
              <w:t>Financing Plan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01.04</w:t>
            </w:r>
          </w:p>
        </w:tc>
        <w:tc>
          <w:tcPr>
            <w:tcW w:type="dxa" w:w="4536"/>
            <w:shd w:val="clear" w:fill="FFFFFF"/>
            <w:tcMar>
              <w:top w:w="40" w:type="dxa"/>
              <w:bottom w:w="40" w:type="dxa"/>
              <w:left w:w="80" w:type="dxa"/>
              <w:right w:w="80" w:type="dxa"/>
            </w:tcMar>
          </w:tcPr>
          <w:p>
            <w:pPr>
              <w:jc w:val="left"/>
            </w:pPr>
            <w:r>
              <w:rPr>
                <w:rFonts w:ascii="Calibri" w:hAnsi="Calibri"/>
                <w:color w:val="2B2B2B"/>
                <w:sz w:val="22"/>
              </w:rPr>
              <w:t>Cap Table Pro Forma All Rounds</w:t>
            </w:r>
          </w:p>
        </w:tc>
      </w:tr>
    </w:tbl>
    <w:p>
      <w:pPr>
        <w:spacing w:before="480"/>
      </w:pPr>
      <w:r>
        <w:rPr>
          <w:rFonts w:ascii="Calibri" w:hAnsi="Calibri"/>
          <w:color w:val="6B6B6B"/>
          <w:sz w:val="18"/>
        </w:rPr>
        <w:t>Aurelian Manufacturing AS  |  VDR 02.03  |  Confidential</w:t>
      </w:r>
    </w:p>
    <w:p>
      <w:r>
        <w:rPr>
          <w:rFonts w:ascii="Calibri" w:hAnsi="Calibri"/>
          <w:i/>
          <w:color w:val="6B6B6B"/>
          <w:sz w:val="18"/>
        </w:rPr>
        <w:t>Contact: Andre Tandberg, CEO — andre@aurelian.no</w:t>
      </w:r>
    </w:p>
    <w:p>
      <w:r>
        <w:rPr>
          <w:rFonts w:ascii="Calibri" w:hAnsi="Calibri"/>
          <w:i/>
          <w:color w:val="6B6B6B"/>
          <w:sz w:val="18"/>
        </w:rPr>
        <w:t>Contact: Tore Ausland, VP Business Development — tore@aurelian.no</w:t>
      </w:r>
    </w:p>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820"/>
        <w:tab w:val="right" w:pos="9639"/>
      </w:tabs>
      <w:pBdr>
        <w:top w:val="single" w:sz="4" w:space="1" w:color="D3D3D3"/>
      </w:pBdr>
    </w:pPr>
    <w:r>
      <w:rPr>
        <w:rFonts w:ascii="Calibri" w:hAnsi="Calibri"/>
        <w:color w:val="6B6B6B"/>
        <w:sz w:val="18"/>
      </w:rPr>
      <w:t>CONFIDENTIAL</w:t>
    </w:r>
    <w:r>
      <w:tab/>
    </w:r>
    <w:r>
      <w:rPr>
        <w:rFonts w:ascii="Calibri" w:hAnsi="Calibri"/>
        <w:color w:val="6B6B6B"/>
        <w:sz w:val="18"/>
      </w:rPr>
      <w:t xml:space="preserve">Page </w:t>
    </w:r>
    <w:fldSimple w:instr=" PAGE ">
      <w:r>
        <w:rPr>
          <w:rFonts w:ascii="Calibri" w:hAnsi="Calibri"/>
          <w:sz w:val="18"/>
          <w:color w:val="6B6B6B"/>
        </w:rPr>
        <w:t>2</w:t>
      </w:r>
    </w:fldSimple>
    <w:r>
      <w:tab/>
    </w:r>
    <w:r>
      <w:rPr>
        <w:rFonts w:ascii="Calibri" w:hAnsi="Calibri"/>
        <w:color w:val="6B6B6B"/>
        <w:sz w:val="18"/>
      </w:rPr>
      <w:t>February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50537"/>
      </w:pBdr>
    </w:pPr>
    <w:r>
      <w:rPr>
        <w:rFonts w:ascii="Calibri" w:hAnsi="Calibri"/>
        <w:color w:val="6B6B6B"/>
        <w:sz w:val="18"/>
      </w:rPr>
      <w:t>Aurelian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F5053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6B6B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2B2B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