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3663" w14:textId="77777777" w:rsidR="0058697A" w:rsidRDefault="00000000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11293664" w14:textId="77777777" w:rsidR="0058697A" w:rsidRPr="007D704B" w:rsidRDefault="00000000">
      <w:pPr>
        <w:spacing w:before="2400" w:after="200"/>
        <w:rPr>
          <w:lang w:val="en-US"/>
        </w:rPr>
      </w:pPr>
      <w:r w:rsidRPr="007D704B">
        <w:rPr>
          <w:b/>
          <w:bCs/>
          <w:sz w:val="56"/>
          <w:szCs w:val="56"/>
          <w:lang w:val="en-US"/>
        </w:rPr>
        <w:t>Aurelian Manufacturing</w:t>
      </w:r>
    </w:p>
    <w:p w14:paraId="11293665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b/>
          <w:bCs/>
          <w:color w:val="F50537"/>
          <w:sz w:val="48"/>
          <w:szCs w:val="48"/>
          <w:lang w:val="en-US"/>
        </w:rPr>
        <w:t>Advisor Bios &amp; Strategic Relevance</w:t>
      </w:r>
    </w:p>
    <w:p w14:paraId="11293666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i/>
          <w:iCs/>
          <w:color w:val="6B6B6B"/>
          <w:sz w:val="26"/>
          <w:szCs w:val="26"/>
          <w:lang w:val="en-US"/>
        </w:rPr>
        <w:t>Advisory Board Profiles and Engagement Overview</w:t>
      </w:r>
    </w:p>
    <w:p w14:paraId="11293667" w14:textId="77777777" w:rsidR="0058697A" w:rsidRPr="007D704B" w:rsidRDefault="00000000">
      <w:pPr>
        <w:spacing w:before="200" w:after="100"/>
        <w:rPr>
          <w:lang w:val="en-US"/>
        </w:rPr>
      </w:pPr>
      <w:r w:rsidRPr="007D704B">
        <w:rPr>
          <w:color w:val="6B6B6B"/>
          <w:lang w:val="en-US"/>
        </w:rPr>
        <w:t>VDR 06.03</w:t>
      </w:r>
    </w:p>
    <w:p w14:paraId="11293668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color w:val="6B6B6B"/>
          <w:lang w:val="en-US"/>
        </w:rPr>
        <w:t>February 2026</w:t>
      </w:r>
    </w:p>
    <w:p w14:paraId="11293669" w14:textId="77777777" w:rsidR="0058697A" w:rsidRPr="007D704B" w:rsidRDefault="00000000">
      <w:pPr>
        <w:spacing w:before="600"/>
        <w:rPr>
          <w:lang w:val="en-US"/>
        </w:rPr>
      </w:pPr>
      <w:r w:rsidRPr="007D704B">
        <w:rPr>
          <w:b/>
          <w:bCs/>
          <w:color w:val="6B6B6B"/>
          <w:lang w:val="en-US"/>
        </w:rPr>
        <w:t>CONFIDENTIAL</w:t>
      </w:r>
    </w:p>
    <w:p w14:paraId="1129366A" w14:textId="77777777" w:rsidR="0058697A" w:rsidRPr="007D704B" w:rsidRDefault="00000000">
      <w:pPr>
        <w:rPr>
          <w:lang w:val="en-US"/>
        </w:rPr>
      </w:pPr>
      <w:r w:rsidRPr="007D704B">
        <w:rPr>
          <w:lang w:val="en-US"/>
        </w:rPr>
        <w:br w:type="page"/>
      </w:r>
    </w:p>
    <w:p w14:paraId="1129366B" w14:textId="77777777" w:rsidR="0058697A" w:rsidRPr="007D704B" w:rsidRDefault="0058697A">
      <w:pPr>
        <w:rPr>
          <w:lang w:val="en-US"/>
        </w:rPr>
        <w:sectPr w:rsidR="0058697A" w:rsidRPr="007D70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29366C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lastRenderedPageBreak/>
        <w:t>Advisory Board Overview</w:t>
      </w:r>
    </w:p>
    <w:p w14:paraId="1129366D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Aurelian Manufacturing has assembled a targeted advisory board of three individuals whose combined expertise spans the company's critical execution domains: technology and automation, industrial scaling, and growth capital. Each advisor brings direct, relevant experience to Aurelian's path from Seed funding through production start and commercial scale-up.</w:t>
      </w:r>
    </w:p>
    <w:p w14:paraId="1129366E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The advisory board operates in an informal capacity during the pre-Seed phase. Formal advisory agreements with defined scope, compensation, and terms are being established as part of the Seed round preparations.</w:t>
      </w:r>
    </w:p>
    <w:p w14:paraId="1129366F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t>Advisor Profiles</w:t>
      </w:r>
    </w:p>
    <w:p w14:paraId="11293670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Fredrik Vangsal — Co-Founder &amp; Technical Advisor</w:t>
      </w:r>
    </w:p>
    <w:p w14:paraId="1129367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CNC technology strategy, automation architecture, and manufacturing systems integration.</w:t>
      </w:r>
    </w:p>
    <w:p w14:paraId="11293672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73" w14:textId="77777777" w:rsidR="0058697A" w:rsidRDefault="00000000">
      <w:pPr>
        <w:spacing w:after="120"/>
      </w:pPr>
      <w:r w:rsidRPr="007D704B">
        <w:rPr>
          <w:lang w:val="en-US"/>
        </w:rPr>
        <w:t xml:space="preserve">Fredrik brings hands-on expertise in industrial automation and technology integration — directly relevant to Aurelian's core thesis of autonomous CNC manufacturing.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74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Evaluation and validation of CNC equipment selection and configuration</w:t>
      </w:r>
    </w:p>
    <w:p w14:paraId="11293675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Automation roadmap design — from semi-automated cells to progressive lights-out operation</w:t>
      </w:r>
    </w:p>
    <w:p w14:paraId="11293676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Technology stack assessment, including machine connectivity, digital thread architecture, and sensor integration</w:t>
      </w:r>
    </w:p>
    <w:p w14:paraId="11293677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Vendor and supplier relationship guidance in the Nordic automation ecosystem</w:t>
      </w:r>
    </w:p>
    <w:p w14:paraId="11293678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Aurelian's differentiation depends on achieving significantly higher utilization rates than incumbent workshops through automation. Fredrik's technology perspective provides a practical reality check on automation feasibility, phasing, and integration risk — areas where pre-revenue companies often underestimate complexity.</w:t>
      </w:r>
    </w:p>
    <w:p w14:paraId="11293679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Bjørnar Torsnes — Industry &amp; Scaling</w:t>
      </w:r>
    </w:p>
    <w:p w14:paraId="1129367A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Industrial operations, production scaling, and organizational development in manufacturing environments.</w:t>
      </w:r>
    </w:p>
    <w:p w14:paraId="1129367B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7C" w14:textId="77777777" w:rsidR="0058697A" w:rsidRDefault="00000000">
      <w:pPr>
        <w:spacing w:after="120"/>
      </w:pPr>
      <w:r w:rsidRPr="007D704B">
        <w:rPr>
          <w:lang w:val="en-US"/>
        </w:rPr>
        <w:t xml:space="preserve">Bjørnar's experience in scaling industrial operations provides Aurelian with practical guidance on the operational challenges of growing from a 5-machine Seed configuration to a 20-machine facility at scale.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7D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Operational process design and production workflow optimization</w:t>
      </w:r>
    </w:p>
    <w:p w14:paraId="1129367E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Organizational scaling — transitioning from a founding team to a structured operations organization</w:t>
      </w:r>
    </w:p>
    <w:p w14:paraId="1129367F" w14:textId="71624F63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 xml:space="preserve">Quality management system pathways </w:t>
      </w:r>
    </w:p>
    <w:p w14:paraId="11293680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lastRenderedPageBreak/>
        <w:t>Supply chain development and customer onboarding processes for industrial manufacturing</w:t>
      </w:r>
    </w:p>
    <w:p w14:paraId="1129368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The transition from facility commissioning to stable production is a critical execution phase. Bjørnar's industrial scaling experience helps Aurelian anticipate and plan for the operational complexities that emerge when moving from planning to production — staffing ramp-up, quality system implementation, and customer qualification processes.</w:t>
      </w:r>
    </w:p>
    <w:p w14:paraId="11293682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Andreas Mollatt — Capital &amp; Scaleups</w:t>
      </w:r>
    </w:p>
    <w:p w14:paraId="11293683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Fundraising strategy, investor relations, and financial structuring for growth-stage companies.</w:t>
      </w:r>
    </w:p>
    <w:p w14:paraId="11293684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85" w14:textId="77777777" w:rsidR="0058697A" w:rsidRDefault="00000000">
      <w:pPr>
        <w:spacing w:after="120"/>
      </w:pPr>
      <w:r w:rsidRPr="007D704B">
        <w:rPr>
          <w:lang w:val="en-US"/>
        </w:rPr>
        <w:t>Andreas brings experience from the Nordic venture and growth capital ecosystem — directly relevant to Aurelian's three-round financing strategy (</w:t>
      </w:r>
      <w:proofErr w:type="spellStart"/>
      <w:r w:rsidRPr="007D704B">
        <w:rPr>
          <w:lang w:val="en-US"/>
        </w:rPr>
        <w:t>PreSeed</w:t>
      </w:r>
      <w:proofErr w:type="spellEnd"/>
      <w:r w:rsidRPr="007D704B">
        <w:rPr>
          <w:lang w:val="en-US"/>
        </w:rPr>
        <w:t xml:space="preserve">, Seed, Serie A).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86" w14:textId="77777777" w:rsidR="0058697A" w:rsidRDefault="00000000">
      <w:pPr>
        <w:pStyle w:val="Listeavsnitt"/>
        <w:numPr>
          <w:ilvl w:val="0"/>
          <w:numId w:val="2"/>
        </w:numPr>
        <w:spacing w:after="60"/>
      </w:pPr>
      <w:proofErr w:type="spellStart"/>
      <w:r>
        <w:t>Fundraising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advisory</w:t>
      </w:r>
      <w:proofErr w:type="spellEnd"/>
    </w:p>
    <w:p w14:paraId="11293687" w14:textId="77777777" w:rsidR="0058697A" w:rsidRDefault="00000000">
      <w:pPr>
        <w:pStyle w:val="Listeavsnitt"/>
        <w:numPr>
          <w:ilvl w:val="0"/>
          <w:numId w:val="2"/>
        </w:numPr>
        <w:spacing w:after="60"/>
      </w:pPr>
      <w:r>
        <w:t xml:space="preserve">Investor </w:t>
      </w:r>
      <w:proofErr w:type="spellStart"/>
      <w:r>
        <w:t>introductions</w:t>
      </w:r>
      <w:proofErr w:type="spellEnd"/>
      <w:r>
        <w:t xml:space="preserve"> and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1293688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Valuation, deal structuring, and cap table guidance</w:t>
      </w:r>
    </w:p>
    <w:p w14:paraId="11293689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Board governance and investor reporting best practices</w:t>
      </w:r>
    </w:p>
    <w:p w14:paraId="1129368A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Aurelian's financing plan spans 101.3 MNOK in total equity across three rounds, supplemented by bank debt. Navigating this multi-round process — particularly the transition from Seed to Serie A — requires experience with Nordic VC practices, institutional investor expectations, and the specific dynamics of capital-intensive hardware startups.</w:t>
      </w:r>
    </w:p>
    <w:p w14:paraId="1129368B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t>Advisory Board Composition Rationale</w:t>
      </w:r>
    </w:p>
    <w:p w14:paraId="1129368C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The three advisory domains map directly to Aurelian's key execution risks and value creation drivers: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8697A" w14:paraId="11293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D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Domain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E" w14:textId="77777777" w:rsidR="0058697A" w:rsidRDefault="00000000">
            <w:r>
              <w:rPr>
                <w:b/>
                <w:bCs/>
                <w:color w:val="FFFFFF"/>
              </w:rPr>
              <w:t>Advisor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F" w14:textId="77777777" w:rsidR="0058697A" w:rsidRDefault="00000000">
            <w:r>
              <w:rPr>
                <w:b/>
                <w:bCs/>
                <w:color w:val="FFFFFF"/>
              </w:rPr>
              <w:t xml:space="preserve">Aurelian </w:t>
            </w:r>
            <w:proofErr w:type="spellStart"/>
            <w:r>
              <w:rPr>
                <w:b/>
                <w:bCs/>
                <w:color w:val="FFFFFF"/>
              </w:rPr>
              <w:t>Execution</w:t>
            </w:r>
            <w:proofErr w:type="spellEnd"/>
            <w:r>
              <w:rPr>
                <w:b/>
                <w:bCs/>
                <w:color w:val="FFFFFF"/>
              </w:rPr>
              <w:t xml:space="preserve"> Area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0" w14:textId="77777777" w:rsidR="0058697A" w:rsidRDefault="00000000">
            <w:r>
              <w:rPr>
                <w:b/>
                <w:bCs/>
                <w:color w:val="FFFFFF"/>
              </w:rPr>
              <w:t xml:space="preserve">Key Risk </w:t>
            </w:r>
            <w:proofErr w:type="spellStart"/>
            <w:r>
              <w:rPr>
                <w:b/>
                <w:bCs/>
                <w:color w:val="FFFFFF"/>
              </w:rPr>
              <w:t>Addressed</w:t>
            </w:r>
            <w:proofErr w:type="spellEnd"/>
          </w:p>
        </w:tc>
      </w:tr>
      <w:tr w:rsidR="0058697A" w:rsidRPr="007D704B" w14:paraId="112936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2" w14:textId="77777777" w:rsidR="0058697A" w:rsidRDefault="00000000">
            <w:r>
              <w:t>Co-Founder &amp; Technical Advisor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3" w14:textId="77777777" w:rsidR="0058697A" w:rsidRDefault="00000000">
            <w:r>
              <w:t>Fredrik Vangsal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4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CNC configuration, automation roadmap, digital thread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5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Technical execution risk — can the automation targets be achieved?</w:t>
            </w:r>
          </w:p>
        </w:tc>
      </w:tr>
      <w:tr w:rsidR="0058697A" w:rsidRPr="007D704B" w14:paraId="1129369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7" w14:textId="77777777" w:rsidR="0058697A" w:rsidRDefault="00000000">
            <w:r>
              <w:t xml:space="preserve">Industry &amp; </w:t>
            </w:r>
            <w:proofErr w:type="spellStart"/>
            <w:r>
              <w:t>Scaling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8" w14:textId="77777777" w:rsidR="0058697A" w:rsidRDefault="00000000">
            <w:r>
              <w:t>Bjørnar Torsnes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9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Production operations, quality systems, organizational growth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A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Operational scaling risk — can the company grow from 5 to 20 machines efficiently?</w:t>
            </w:r>
          </w:p>
        </w:tc>
      </w:tr>
      <w:tr w:rsidR="0058697A" w:rsidRPr="007D704B" w14:paraId="112936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C" w14:textId="77777777" w:rsidR="0058697A" w:rsidRDefault="00000000">
            <w:r>
              <w:t xml:space="preserve">Capital &amp; </w:t>
            </w:r>
            <w:proofErr w:type="spellStart"/>
            <w:r>
              <w:t>Scaleups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D" w14:textId="77777777" w:rsidR="0058697A" w:rsidRDefault="00000000">
            <w:r>
              <w:t>Andreas Mollatt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E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Fundraising, investor relations, financial structuring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F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Financing risk — can the multi-round strategy be executed on timeline?</w:t>
            </w:r>
          </w:p>
        </w:tc>
      </w:tr>
    </w:tbl>
    <w:p w14:paraId="112936A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This composition is intentional: each advisor addresses a distinct dimension of execution risk, with no overlap in expertise domains.</w:t>
      </w:r>
    </w:p>
    <w:p w14:paraId="112936A2" w14:textId="77777777" w:rsidR="0058697A" w:rsidRDefault="00000000">
      <w:pPr>
        <w:pStyle w:val="Overskrift1"/>
      </w:pPr>
      <w:proofErr w:type="spellStart"/>
      <w:r>
        <w:lastRenderedPageBreak/>
        <w:t>Advisory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8697A" w14:paraId="11293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3" w14:textId="77777777" w:rsidR="0058697A" w:rsidRDefault="00000000">
            <w:r>
              <w:rPr>
                <w:b/>
                <w:bCs/>
                <w:color w:val="FFFFFF"/>
              </w:rPr>
              <w:t>Advisor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4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Current</w:t>
            </w:r>
            <w:proofErr w:type="spellEnd"/>
            <w:r>
              <w:rPr>
                <w:b/>
                <w:bCs/>
                <w:color w:val="FFFFFF"/>
              </w:rPr>
              <w:t xml:space="preserve"> Status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5" w14:textId="77777777" w:rsidR="0058697A" w:rsidRDefault="00000000">
            <w:r>
              <w:rPr>
                <w:b/>
                <w:bCs/>
                <w:color w:val="FFFFFF"/>
              </w:rPr>
              <w:t>Formal Agreement</w:t>
            </w:r>
          </w:p>
        </w:tc>
      </w:tr>
      <w:tr w:rsidR="0058697A" w:rsidRPr="007D704B" w14:paraId="112936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7" w14:textId="77777777" w:rsidR="0058697A" w:rsidRDefault="00000000">
            <w:r>
              <w:t>Fredrik Vangsal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8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Co-Founder (Feb 2026),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9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Founder agreement signed; advisory role continues</w:t>
            </w:r>
          </w:p>
        </w:tc>
      </w:tr>
      <w:tr w:rsidR="0058697A" w:rsidRPr="007D704B" w14:paraId="112936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B" w14:textId="77777777" w:rsidR="0058697A" w:rsidRDefault="00000000">
            <w:r>
              <w:t>Bjørnar Torsnes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C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informal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D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Pending (to be formalized at Seed)</w:t>
            </w:r>
          </w:p>
        </w:tc>
      </w:tr>
      <w:tr w:rsidR="0058697A" w:rsidRPr="007D704B" w14:paraId="112936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F" w14:textId="77777777" w:rsidR="0058697A" w:rsidRDefault="00000000">
            <w:r>
              <w:t>Andreas Mollatt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0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informal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1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Pending (to be formalized at Seed)</w:t>
            </w:r>
          </w:p>
        </w:tc>
      </w:tr>
    </w:tbl>
    <w:p w14:paraId="112936B3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Formal advisory agreements will define scope, time commitment, compensation (equity and/or cash), confidentiality obligations, and IP assignment terms. Draft agreements are being prepared as part of Seed round documentation (see VDR 05.02).</w:t>
      </w:r>
    </w:p>
    <w:p w14:paraId="112936B4" w14:textId="77777777" w:rsidR="0058697A" w:rsidRPr="007D704B" w:rsidRDefault="0058697A">
      <w:pPr>
        <w:spacing w:before="240"/>
        <w:rPr>
          <w:lang w:val="en-US"/>
        </w:rPr>
      </w:pPr>
    </w:p>
    <w:p w14:paraId="112936B5" w14:textId="77777777" w:rsidR="0058697A" w:rsidRDefault="00000000">
      <w:pPr>
        <w:pStyle w:val="Overskrift2"/>
      </w:pPr>
      <w:r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58697A" w14:paraId="11293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6" w14:textId="77777777" w:rsidR="0058697A" w:rsidRDefault="00000000">
            <w:r>
              <w:rPr>
                <w:b/>
                <w:bCs/>
                <w:color w:val="FFFFFF"/>
              </w:rPr>
              <w:t xml:space="preserve">VDR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7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</w:tr>
      <w:tr w:rsidR="0058697A" w14:paraId="112936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9" w14:textId="77777777" w:rsidR="0058697A" w:rsidRDefault="00000000">
            <w:r>
              <w:rPr>
                <w:b/>
                <w:bCs/>
              </w:rPr>
              <w:t>01.02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A" w14:textId="77777777" w:rsidR="0058697A" w:rsidRDefault="00000000">
            <w:proofErr w:type="spellStart"/>
            <w:r>
              <w:t>Shareholders</w:t>
            </w:r>
            <w:proofErr w:type="spellEnd"/>
            <w:r>
              <w:t xml:space="preserve"> Agreement</w:t>
            </w:r>
          </w:p>
        </w:tc>
      </w:tr>
      <w:tr w:rsidR="0058697A" w:rsidRPr="007D704B" w14:paraId="112936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C" w14:textId="77777777" w:rsidR="0058697A" w:rsidRDefault="00000000">
            <w:r>
              <w:rPr>
                <w:b/>
                <w:bCs/>
              </w:rPr>
              <w:t>01.05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D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Organizational Structure — Current Org Chart</w:t>
            </w:r>
          </w:p>
        </w:tc>
      </w:tr>
      <w:tr w:rsidR="0058697A" w14:paraId="112936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F" w14:textId="77777777" w:rsidR="0058697A" w:rsidRDefault="00000000">
            <w:r>
              <w:rPr>
                <w:b/>
                <w:bCs/>
              </w:rPr>
              <w:t>05.02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0" w14:textId="77777777" w:rsidR="0058697A" w:rsidRDefault="00000000">
            <w:proofErr w:type="spellStart"/>
            <w:r>
              <w:t>Advisory</w:t>
            </w:r>
            <w:proofErr w:type="spellEnd"/>
            <w:r>
              <w:t xml:space="preserve"> Agreements (</w:t>
            </w:r>
            <w:proofErr w:type="spellStart"/>
            <w:r>
              <w:t>pending</w:t>
            </w:r>
            <w:proofErr w:type="spellEnd"/>
            <w:r>
              <w:t>)</w:t>
            </w:r>
          </w:p>
        </w:tc>
      </w:tr>
      <w:tr w:rsidR="0058697A" w14:paraId="112936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2" w14:textId="77777777" w:rsidR="0058697A" w:rsidRDefault="00000000">
            <w:r>
              <w:rPr>
                <w:b/>
                <w:bCs/>
              </w:rPr>
              <w:t>06.04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3" w14:textId="77777777" w:rsidR="0058697A" w:rsidRDefault="00000000">
            <w:r>
              <w:t>Key Hires Plan</w:t>
            </w:r>
          </w:p>
        </w:tc>
      </w:tr>
    </w:tbl>
    <w:p w14:paraId="112936C5" w14:textId="77777777" w:rsidR="00D57709" w:rsidRDefault="00D57709"/>
    <w:sectPr w:rsidR="00D577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77D6" w14:textId="77777777" w:rsidR="00D57709" w:rsidRDefault="00D57709">
      <w:r>
        <w:separator/>
      </w:r>
    </w:p>
  </w:endnote>
  <w:endnote w:type="continuationSeparator" w:id="0">
    <w:p w14:paraId="2E475319" w14:textId="77777777" w:rsidR="00D57709" w:rsidRDefault="00D5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36C6" w14:textId="33AE58E3" w:rsidR="0058697A" w:rsidRDefault="00000000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D704B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F93C" w14:textId="77777777" w:rsidR="00D57709" w:rsidRDefault="00D57709">
      <w:r>
        <w:separator/>
      </w:r>
    </w:p>
  </w:footnote>
  <w:footnote w:type="continuationSeparator" w:id="0">
    <w:p w14:paraId="07F3C318" w14:textId="77777777" w:rsidR="00D57709" w:rsidRDefault="00D57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36C5" w14:textId="77777777" w:rsidR="0058697A" w:rsidRDefault="00000000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4809"/>
    <w:multiLevelType w:val="hybridMultilevel"/>
    <w:tmpl w:val="975AD5BC"/>
    <w:lvl w:ilvl="0" w:tplc="06C87A12">
      <w:start w:val="1"/>
      <w:numFmt w:val="decimal"/>
      <w:lvlText w:val="%1."/>
      <w:lvlJc w:val="left"/>
      <w:pPr>
        <w:ind w:left="720" w:hanging="360"/>
      </w:pPr>
    </w:lvl>
    <w:lvl w:ilvl="1" w:tplc="9078BB0C">
      <w:numFmt w:val="decimal"/>
      <w:lvlText w:val=""/>
      <w:lvlJc w:val="left"/>
    </w:lvl>
    <w:lvl w:ilvl="2" w:tplc="4AB0B740">
      <w:numFmt w:val="decimal"/>
      <w:lvlText w:val=""/>
      <w:lvlJc w:val="left"/>
    </w:lvl>
    <w:lvl w:ilvl="3" w:tplc="9304A258">
      <w:numFmt w:val="decimal"/>
      <w:lvlText w:val=""/>
      <w:lvlJc w:val="left"/>
    </w:lvl>
    <w:lvl w:ilvl="4" w:tplc="8AEE323C">
      <w:numFmt w:val="decimal"/>
      <w:lvlText w:val=""/>
      <w:lvlJc w:val="left"/>
    </w:lvl>
    <w:lvl w:ilvl="5" w:tplc="A51CA506">
      <w:numFmt w:val="decimal"/>
      <w:lvlText w:val=""/>
      <w:lvlJc w:val="left"/>
    </w:lvl>
    <w:lvl w:ilvl="6" w:tplc="60A06F26">
      <w:numFmt w:val="decimal"/>
      <w:lvlText w:val=""/>
      <w:lvlJc w:val="left"/>
    </w:lvl>
    <w:lvl w:ilvl="7" w:tplc="829869BA">
      <w:numFmt w:val="decimal"/>
      <w:lvlText w:val=""/>
      <w:lvlJc w:val="left"/>
    </w:lvl>
    <w:lvl w:ilvl="8" w:tplc="7D7A466A">
      <w:numFmt w:val="decimal"/>
      <w:lvlText w:val=""/>
      <w:lvlJc w:val="left"/>
    </w:lvl>
  </w:abstractNum>
  <w:abstractNum w:abstractNumId="1" w15:restartNumberingAfterBreak="0">
    <w:nsid w:val="372C54E4"/>
    <w:multiLevelType w:val="hybridMultilevel"/>
    <w:tmpl w:val="DFD0ABBC"/>
    <w:lvl w:ilvl="0" w:tplc="FA30C10C">
      <w:start w:val="1"/>
      <w:numFmt w:val="bullet"/>
      <w:lvlText w:val="•"/>
      <w:lvlJc w:val="left"/>
      <w:pPr>
        <w:ind w:left="720" w:hanging="360"/>
      </w:pPr>
    </w:lvl>
    <w:lvl w:ilvl="1" w:tplc="A1F229F0">
      <w:numFmt w:val="decimal"/>
      <w:lvlText w:val=""/>
      <w:lvlJc w:val="left"/>
    </w:lvl>
    <w:lvl w:ilvl="2" w:tplc="307A3CC4">
      <w:numFmt w:val="decimal"/>
      <w:lvlText w:val=""/>
      <w:lvlJc w:val="left"/>
    </w:lvl>
    <w:lvl w:ilvl="3" w:tplc="A2DC4030">
      <w:numFmt w:val="decimal"/>
      <w:lvlText w:val=""/>
      <w:lvlJc w:val="left"/>
    </w:lvl>
    <w:lvl w:ilvl="4" w:tplc="CFA2089A">
      <w:numFmt w:val="decimal"/>
      <w:lvlText w:val=""/>
      <w:lvlJc w:val="left"/>
    </w:lvl>
    <w:lvl w:ilvl="5" w:tplc="5D0E7086">
      <w:numFmt w:val="decimal"/>
      <w:lvlText w:val=""/>
      <w:lvlJc w:val="left"/>
    </w:lvl>
    <w:lvl w:ilvl="6" w:tplc="22C8D628">
      <w:numFmt w:val="decimal"/>
      <w:lvlText w:val=""/>
      <w:lvlJc w:val="left"/>
    </w:lvl>
    <w:lvl w:ilvl="7" w:tplc="41523288">
      <w:numFmt w:val="decimal"/>
      <w:lvlText w:val=""/>
      <w:lvlJc w:val="left"/>
    </w:lvl>
    <w:lvl w:ilvl="8" w:tplc="06AA0810">
      <w:numFmt w:val="decimal"/>
      <w:lvlText w:val=""/>
      <w:lvlJc w:val="left"/>
    </w:lvl>
  </w:abstractNum>
  <w:abstractNum w:abstractNumId="2" w15:restartNumberingAfterBreak="0">
    <w:nsid w:val="75173C54"/>
    <w:multiLevelType w:val="hybridMultilevel"/>
    <w:tmpl w:val="D8582F04"/>
    <w:lvl w:ilvl="0" w:tplc="F0F23A06">
      <w:start w:val="1"/>
      <w:numFmt w:val="bullet"/>
      <w:lvlText w:val="●"/>
      <w:lvlJc w:val="left"/>
      <w:pPr>
        <w:ind w:left="720" w:hanging="360"/>
      </w:pPr>
    </w:lvl>
    <w:lvl w:ilvl="1" w:tplc="5B8A15A8">
      <w:start w:val="1"/>
      <w:numFmt w:val="bullet"/>
      <w:lvlText w:val="○"/>
      <w:lvlJc w:val="left"/>
      <w:pPr>
        <w:ind w:left="1440" w:hanging="360"/>
      </w:pPr>
    </w:lvl>
    <w:lvl w:ilvl="2" w:tplc="0F766AF6">
      <w:start w:val="1"/>
      <w:numFmt w:val="bullet"/>
      <w:lvlText w:val="■"/>
      <w:lvlJc w:val="left"/>
      <w:pPr>
        <w:ind w:left="2160" w:hanging="360"/>
      </w:pPr>
    </w:lvl>
    <w:lvl w:ilvl="3" w:tplc="F4C4CEDA">
      <w:start w:val="1"/>
      <w:numFmt w:val="bullet"/>
      <w:lvlText w:val="●"/>
      <w:lvlJc w:val="left"/>
      <w:pPr>
        <w:ind w:left="2880" w:hanging="360"/>
      </w:pPr>
    </w:lvl>
    <w:lvl w:ilvl="4" w:tplc="0872795E">
      <w:start w:val="1"/>
      <w:numFmt w:val="bullet"/>
      <w:lvlText w:val="○"/>
      <w:lvlJc w:val="left"/>
      <w:pPr>
        <w:ind w:left="3600" w:hanging="360"/>
      </w:pPr>
    </w:lvl>
    <w:lvl w:ilvl="5" w:tplc="97CAB000">
      <w:start w:val="1"/>
      <w:numFmt w:val="bullet"/>
      <w:lvlText w:val="■"/>
      <w:lvlJc w:val="left"/>
      <w:pPr>
        <w:ind w:left="4320" w:hanging="360"/>
      </w:pPr>
    </w:lvl>
    <w:lvl w:ilvl="6" w:tplc="9918AC70">
      <w:start w:val="1"/>
      <w:numFmt w:val="bullet"/>
      <w:lvlText w:val="●"/>
      <w:lvlJc w:val="left"/>
      <w:pPr>
        <w:ind w:left="5040" w:hanging="360"/>
      </w:pPr>
    </w:lvl>
    <w:lvl w:ilvl="7" w:tplc="F20200D8">
      <w:start w:val="1"/>
      <w:numFmt w:val="bullet"/>
      <w:lvlText w:val="●"/>
      <w:lvlJc w:val="left"/>
      <w:pPr>
        <w:ind w:left="5760" w:hanging="360"/>
      </w:pPr>
    </w:lvl>
    <w:lvl w:ilvl="8" w:tplc="D55CC604">
      <w:start w:val="1"/>
      <w:numFmt w:val="bullet"/>
      <w:lvlText w:val="●"/>
      <w:lvlJc w:val="left"/>
      <w:pPr>
        <w:ind w:left="6480" w:hanging="360"/>
      </w:pPr>
    </w:lvl>
  </w:abstractNum>
  <w:num w:numId="1" w16cid:durableId="1999262534">
    <w:abstractNumId w:val="2"/>
    <w:lvlOverride w:ilvl="0">
      <w:startOverride w:val="1"/>
    </w:lvlOverride>
  </w:num>
  <w:num w:numId="2" w16cid:durableId="2142916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7A"/>
    <w:rsid w:val="0058697A"/>
    <w:rsid w:val="007D704B"/>
    <w:rsid w:val="00D57709"/>
    <w:rsid w:val="00D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3663"/>
  <w15:docId w15:val="{55DDB9F4-3712-45AB-A623-889A41F2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2026-02-16T22:23:00Z</dcterms:created>
  <dcterms:modified xsi:type="dcterms:W3CDTF">2026-02-16T22:53:00Z</dcterms:modified>
</cp:coreProperties>
</file>